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1396">
      <w:pPr>
        <w:pStyle w:val="5"/>
        <w:spacing w:line="321" w:lineRule="auto"/>
        <w:rPr>
          <w:rFonts w:ascii="仿宋" w:hAnsi="仿宋" w:eastAsia="仿宋" w:cs="仿宋"/>
        </w:rPr>
      </w:pPr>
    </w:p>
    <w:p w14:paraId="5BD80975">
      <w:pPr>
        <w:pStyle w:val="5"/>
        <w:spacing w:line="321" w:lineRule="auto"/>
        <w:rPr>
          <w:rFonts w:ascii="仿宋" w:hAnsi="仿宋" w:eastAsia="仿宋" w:cs="仿宋"/>
        </w:rPr>
      </w:pPr>
    </w:p>
    <w:p w14:paraId="63577B9C">
      <w:pPr>
        <w:pStyle w:val="15"/>
        <w:widowControl w:val="0"/>
        <w:kinsoku/>
        <w:autoSpaceDE/>
        <w:autoSpaceDN/>
        <w:adjustRightInd/>
        <w:snapToGrid/>
        <w:spacing w:after="0" w:line="360" w:lineRule="auto"/>
        <w:ind w:left="0" w:leftChars="0" w:firstLine="0" w:firstLineChars="0"/>
        <w:jc w:val="center"/>
        <w:textAlignment w:val="auto"/>
        <w:rPr>
          <w:rFonts w:ascii="仿宋" w:hAnsi="仿宋" w:eastAsia="仿宋" w:cs="仿宋"/>
          <w:color w:val="auto"/>
          <w:sz w:val="56"/>
          <w:szCs w:val="56"/>
          <w:lang w:eastAsia="zh-CN"/>
        </w:rPr>
      </w:pPr>
      <w:r>
        <w:rPr>
          <w:rFonts w:hint="eastAsia" w:ascii="仿宋" w:hAnsi="仿宋" w:eastAsia="仿宋" w:cs="仿宋"/>
          <w:b/>
          <w:bCs/>
          <w:color w:val="auto"/>
          <w:sz w:val="56"/>
          <w:szCs w:val="56"/>
          <w:lang w:eastAsia="zh-CN"/>
        </w:rPr>
        <w:t>西平县公安局2025年全县视频监控维护项目</w:t>
      </w:r>
    </w:p>
    <w:p w14:paraId="31393299">
      <w:pPr>
        <w:jc w:val="center"/>
        <w:rPr>
          <w:rFonts w:ascii="仿宋" w:hAnsi="仿宋" w:eastAsia="仿宋" w:cs="仿宋"/>
          <w:b/>
          <w:bCs/>
          <w:color w:val="auto"/>
          <w:sz w:val="28"/>
          <w:szCs w:val="28"/>
          <w:lang w:eastAsia="zh-CN"/>
        </w:rPr>
      </w:pPr>
    </w:p>
    <w:p w14:paraId="6B74D444">
      <w:pPr>
        <w:jc w:val="center"/>
        <w:rPr>
          <w:rFonts w:ascii="仿宋" w:hAnsi="仿宋" w:eastAsia="仿宋" w:cs="仿宋"/>
          <w:b/>
          <w:bCs/>
          <w:color w:val="auto"/>
          <w:sz w:val="28"/>
          <w:szCs w:val="28"/>
          <w:lang w:eastAsia="zh-CN"/>
        </w:rPr>
      </w:pPr>
    </w:p>
    <w:p w14:paraId="42B99625">
      <w:pPr>
        <w:jc w:val="center"/>
        <w:rPr>
          <w:rFonts w:ascii="仿宋" w:hAnsi="仿宋" w:eastAsia="仿宋" w:cs="仿宋"/>
          <w:color w:val="auto"/>
          <w:lang w:eastAsia="zh-CN"/>
        </w:rPr>
      </w:pPr>
      <w:r>
        <w:rPr>
          <w:rFonts w:hint="eastAsia" w:ascii="仿宋" w:hAnsi="仿宋" w:eastAsia="仿宋" w:cs="仿宋"/>
          <w:b/>
          <w:bCs/>
          <w:color w:val="auto"/>
          <w:sz w:val="28"/>
          <w:szCs w:val="28"/>
          <w:lang w:eastAsia="zh-CN"/>
        </w:rPr>
        <w:t>项目编号：西政采招【2025】17号</w:t>
      </w:r>
    </w:p>
    <w:p w14:paraId="2D588AFA">
      <w:pPr>
        <w:pStyle w:val="15"/>
        <w:ind w:left="0" w:leftChars="0" w:firstLine="0" w:firstLineChars="0"/>
        <w:rPr>
          <w:rFonts w:ascii="仿宋" w:hAnsi="仿宋" w:eastAsia="仿宋" w:cs="仿宋"/>
          <w:lang w:eastAsia="zh-CN"/>
        </w:rPr>
      </w:pPr>
    </w:p>
    <w:p w14:paraId="45F1013B">
      <w:pPr>
        <w:spacing w:line="360" w:lineRule="auto"/>
        <w:jc w:val="both"/>
        <w:rPr>
          <w:rFonts w:ascii="仿宋" w:hAnsi="仿宋" w:eastAsia="仿宋" w:cs="仿宋"/>
          <w:b/>
          <w:bCs/>
          <w:color w:val="auto"/>
          <w:sz w:val="72"/>
          <w:szCs w:val="72"/>
          <w:lang w:eastAsia="zh-CN"/>
        </w:rPr>
      </w:pPr>
    </w:p>
    <w:p w14:paraId="499A9475">
      <w:pPr>
        <w:spacing w:line="360" w:lineRule="auto"/>
        <w:jc w:val="center"/>
        <w:rPr>
          <w:rFonts w:ascii="仿宋" w:hAnsi="仿宋" w:eastAsia="仿宋" w:cs="仿宋"/>
          <w:b/>
          <w:bCs/>
          <w:color w:val="auto"/>
          <w:sz w:val="72"/>
          <w:szCs w:val="72"/>
          <w:lang w:eastAsia="zh-CN"/>
        </w:rPr>
      </w:pPr>
    </w:p>
    <w:p w14:paraId="2EF0E565">
      <w:pPr>
        <w:spacing w:line="360" w:lineRule="auto"/>
        <w:jc w:val="center"/>
        <w:rPr>
          <w:rFonts w:ascii="仿宋" w:hAnsi="仿宋" w:eastAsia="仿宋" w:cs="仿宋"/>
          <w:b/>
          <w:bCs/>
          <w:color w:val="auto"/>
          <w:sz w:val="72"/>
          <w:szCs w:val="72"/>
          <w:lang w:eastAsia="zh-CN"/>
        </w:rPr>
      </w:pPr>
      <w:r>
        <w:rPr>
          <w:rFonts w:hint="eastAsia" w:ascii="仿宋" w:hAnsi="仿宋" w:eastAsia="仿宋" w:cs="仿宋"/>
          <w:b/>
          <w:bCs/>
          <w:color w:val="auto"/>
          <w:sz w:val="72"/>
          <w:szCs w:val="72"/>
          <w:lang w:eastAsia="zh-CN"/>
        </w:rPr>
        <w:t>公开招标文件</w:t>
      </w:r>
    </w:p>
    <w:p w14:paraId="2E5B5557">
      <w:pPr>
        <w:pStyle w:val="14"/>
        <w:ind w:firstLine="210"/>
        <w:rPr>
          <w:rFonts w:ascii="仿宋" w:hAnsi="仿宋" w:eastAsia="仿宋" w:cs="仿宋"/>
          <w:color w:val="auto"/>
          <w:lang w:eastAsia="zh-CN"/>
        </w:rPr>
      </w:pPr>
    </w:p>
    <w:p w14:paraId="0DBF5E81">
      <w:pPr>
        <w:spacing w:line="360" w:lineRule="auto"/>
        <w:jc w:val="center"/>
        <w:rPr>
          <w:rFonts w:ascii="仿宋" w:hAnsi="仿宋" w:eastAsia="仿宋" w:cs="仿宋"/>
          <w:b/>
          <w:bCs/>
          <w:color w:val="auto"/>
          <w:sz w:val="22"/>
          <w:szCs w:val="22"/>
          <w:lang w:eastAsia="zh-CN"/>
        </w:rPr>
      </w:pPr>
    </w:p>
    <w:p w14:paraId="51B9DEC1">
      <w:pPr>
        <w:spacing w:line="360" w:lineRule="auto"/>
        <w:ind w:firstLine="1644"/>
        <w:rPr>
          <w:rFonts w:ascii="仿宋" w:hAnsi="仿宋" w:eastAsia="仿宋" w:cs="仿宋"/>
          <w:b/>
          <w:bCs/>
          <w:color w:val="auto"/>
          <w:sz w:val="30"/>
          <w:szCs w:val="30"/>
          <w:lang w:eastAsia="zh-CN"/>
        </w:rPr>
      </w:pPr>
    </w:p>
    <w:p w14:paraId="279BB4F6">
      <w:pPr>
        <w:rPr>
          <w:rFonts w:ascii="仿宋" w:hAnsi="仿宋" w:eastAsia="仿宋" w:cs="仿宋"/>
          <w:color w:val="auto"/>
          <w:lang w:eastAsia="zh-CN"/>
        </w:rPr>
      </w:pPr>
    </w:p>
    <w:p w14:paraId="012366F7">
      <w:pPr>
        <w:rPr>
          <w:rFonts w:ascii="仿宋" w:hAnsi="仿宋" w:eastAsia="仿宋" w:cs="仿宋"/>
          <w:lang w:eastAsia="zh-CN"/>
        </w:rPr>
      </w:pPr>
    </w:p>
    <w:p w14:paraId="5FC13EE2">
      <w:pPr>
        <w:rPr>
          <w:rFonts w:ascii="仿宋" w:hAnsi="仿宋" w:eastAsia="仿宋" w:cs="仿宋"/>
          <w:lang w:eastAsia="zh-CN"/>
        </w:rPr>
      </w:pPr>
    </w:p>
    <w:p w14:paraId="6E8803CC">
      <w:pPr>
        <w:kinsoku/>
        <w:autoSpaceDE/>
        <w:autoSpaceDN/>
        <w:adjustRightInd/>
        <w:snapToGrid/>
        <w:spacing w:line="360" w:lineRule="auto"/>
        <w:jc w:val="both"/>
        <w:textAlignment w:val="auto"/>
        <w:rPr>
          <w:rFonts w:ascii="仿宋" w:hAnsi="仿宋" w:eastAsia="仿宋" w:cs="仿宋"/>
          <w:b/>
          <w:bCs/>
          <w:color w:val="auto"/>
          <w:sz w:val="28"/>
          <w:szCs w:val="28"/>
          <w:lang w:eastAsia="zh-CN"/>
        </w:rPr>
      </w:pPr>
    </w:p>
    <w:p w14:paraId="264F178B">
      <w:pPr>
        <w:kinsoku/>
        <w:autoSpaceDE/>
        <w:autoSpaceDN/>
        <w:adjustRightInd/>
        <w:snapToGrid/>
        <w:spacing w:line="480" w:lineRule="auto"/>
        <w:ind w:firstLine="964" w:firstLineChars="300"/>
        <w:jc w:val="both"/>
        <w:textAlignment w:val="auto"/>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招标人：西平县公安局</w:t>
      </w:r>
    </w:p>
    <w:p w14:paraId="63B9DD06">
      <w:pPr>
        <w:kinsoku/>
        <w:autoSpaceDE/>
        <w:autoSpaceDN/>
        <w:adjustRightInd/>
        <w:snapToGrid/>
        <w:spacing w:line="480" w:lineRule="auto"/>
        <w:ind w:firstLine="964" w:firstLineChars="300"/>
        <w:jc w:val="both"/>
        <w:textAlignment w:val="auto"/>
        <w:rPr>
          <w:rFonts w:hint="default"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招标代理机构：</w:t>
      </w:r>
      <w:r>
        <w:rPr>
          <w:rFonts w:hint="default" w:ascii="仿宋" w:hAnsi="仿宋" w:eastAsia="仿宋" w:cs="仿宋"/>
          <w:b/>
          <w:bCs/>
          <w:color w:val="auto"/>
          <w:sz w:val="32"/>
          <w:szCs w:val="32"/>
          <w:lang w:eastAsia="zh-CN"/>
        </w:rPr>
        <w:t>意成工程咨询有限公司</w:t>
      </w:r>
    </w:p>
    <w:p w14:paraId="4410A0A6">
      <w:pPr>
        <w:kinsoku/>
        <w:autoSpaceDE/>
        <w:autoSpaceDN/>
        <w:adjustRightInd/>
        <w:snapToGrid/>
        <w:spacing w:line="480" w:lineRule="auto"/>
        <w:ind w:firstLine="964" w:firstLineChars="300"/>
        <w:jc w:val="both"/>
        <w:textAlignment w:val="auto"/>
        <w:rPr>
          <w:rFonts w:ascii="仿宋" w:hAnsi="仿宋" w:eastAsia="仿宋" w:cs="仿宋"/>
          <w:sz w:val="32"/>
          <w:szCs w:val="32"/>
          <w:lang w:eastAsia="zh-CN"/>
        </w:rPr>
      </w:pPr>
      <w:r>
        <w:rPr>
          <w:rFonts w:hint="eastAsia" w:ascii="仿宋" w:hAnsi="仿宋" w:eastAsia="仿宋" w:cs="仿宋"/>
          <w:b/>
          <w:bCs/>
          <w:color w:val="auto"/>
          <w:sz w:val="32"/>
          <w:szCs w:val="32"/>
          <w:lang w:eastAsia="zh-CN"/>
        </w:rPr>
        <w:t>日期：二○二五年八月</w:t>
      </w:r>
    </w:p>
    <w:p w14:paraId="7138B923">
      <w:pPr>
        <w:spacing w:before="285" w:line="222" w:lineRule="auto"/>
        <w:ind w:left="3579"/>
        <w:rPr>
          <w:rFonts w:ascii="仿宋" w:hAnsi="仿宋" w:eastAsia="仿宋" w:cs="仿宋"/>
          <w:sz w:val="32"/>
          <w:szCs w:val="32"/>
          <w:lang w:eastAsia="zh-CN"/>
        </w:rPr>
        <w:sectPr>
          <w:footerReference r:id="rId3" w:type="default"/>
          <w:pgSz w:w="11906" w:h="16839"/>
          <w:pgMar w:top="1440" w:right="1080" w:bottom="1440" w:left="1803" w:header="0" w:footer="992" w:gutter="0"/>
          <w:cols w:space="720" w:num="1"/>
        </w:sectPr>
      </w:pPr>
    </w:p>
    <w:p w14:paraId="10182C19">
      <w:pPr>
        <w:spacing w:before="285" w:line="222" w:lineRule="auto"/>
        <w:ind w:left="3579"/>
        <w:rPr>
          <w:rFonts w:ascii="仿宋" w:hAnsi="仿宋" w:eastAsia="仿宋" w:cs="仿宋"/>
          <w:sz w:val="32"/>
          <w:szCs w:val="32"/>
          <w:lang w:eastAsia="zh-CN"/>
        </w:rPr>
      </w:pPr>
      <w:r>
        <w:rPr>
          <w:rFonts w:hint="eastAsia" w:ascii="仿宋" w:hAnsi="仿宋" w:eastAsia="仿宋" w:cs="仿宋"/>
          <w:sz w:val="32"/>
          <w:szCs w:val="32"/>
          <w:lang w:eastAsia="zh-CN"/>
        </w:rPr>
        <w:t>目    录</w:t>
      </w:r>
    </w:p>
    <w:p w14:paraId="6DF5E90E">
      <w:pPr>
        <w:pStyle w:val="5"/>
        <w:spacing w:line="282" w:lineRule="auto"/>
        <w:rPr>
          <w:rFonts w:ascii="仿宋" w:hAnsi="仿宋" w:eastAsia="仿宋" w:cs="仿宋"/>
          <w:lang w:eastAsia="zh-CN"/>
        </w:rPr>
      </w:pPr>
    </w:p>
    <w:p w14:paraId="5BEC867A">
      <w:pPr>
        <w:pStyle w:val="5"/>
        <w:spacing w:line="283" w:lineRule="auto"/>
        <w:rPr>
          <w:rFonts w:ascii="仿宋" w:hAnsi="仿宋" w:eastAsia="仿宋" w:cs="仿宋"/>
          <w:lang w:eastAsia="zh-CN"/>
        </w:rPr>
      </w:pPr>
    </w:p>
    <w:p w14:paraId="13170090">
      <w:pPr>
        <w:pStyle w:val="5"/>
        <w:spacing w:line="283" w:lineRule="auto"/>
        <w:rPr>
          <w:rFonts w:ascii="仿宋" w:hAnsi="仿宋" w:eastAsia="仿宋" w:cs="仿宋"/>
          <w:lang w:eastAsia="zh-CN"/>
        </w:rPr>
      </w:pPr>
    </w:p>
    <w:p w14:paraId="15067378">
      <w:pPr>
        <w:spacing w:before="78" w:line="218"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第一章    招标公告</w:t>
      </w:r>
    </w:p>
    <w:p w14:paraId="183EE004">
      <w:pPr>
        <w:pStyle w:val="5"/>
        <w:spacing w:line="272" w:lineRule="auto"/>
        <w:rPr>
          <w:rFonts w:ascii="仿宋" w:hAnsi="仿宋" w:eastAsia="仿宋" w:cs="仿宋"/>
          <w:lang w:eastAsia="zh-CN"/>
        </w:rPr>
      </w:pPr>
    </w:p>
    <w:p w14:paraId="67927322">
      <w:pPr>
        <w:spacing w:before="78" w:line="219"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第二章    招标需求</w:t>
      </w:r>
    </w:p>
    <w:p w14:paraId="1E87573D">
      <w:pPr>
        <w:pStyle w:val="5"/>
        <w:spacing w:line="271" w:lineRule="auto"/>
        <w:rPr>
          <w:rFonts w:ascii="仿宋" w:hAnsi="仿宋" w:eastAsia="仿宋" w:cs="仿宋"/>
          <w:lang w:eastAsia="zh-CN"/>
        </w:rPr>
      </w:pPr>
    </w:p>
    <w:p w14:paraId="7109EC60">
      <w:pPr>
        <w:spacing w:before="78" w:line="219"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第三章    投标人须知</w:t>
      </w:r>
    </w:p>
    <w:p w14:paraId="4D5C0319">
      <w:pPr>
        <w:pStyle w:val="5"/>
        <w:spacing w:line="271" w:lineRule="auto"/>
        <w:rPr>
          <w:rFonts w:ascii="仿宋" w:hAnsi="仿宋" w:eastAsia="仿宋" w:cs="仿宋"/>
          <w:lang w:eastAsia="zh-CN"/>
        </w:rPr>
      </w:pPr>
    </w:p>
    <w:p w14:paraId="79BEB53B">
      <w:pPr>
        <w:spacing w:before="79" w:line="636" w:lineRule="exact"/>
        <w:ind w:left="2470"/>
        <w:rPr>
          <w:rFonts w:ascii="仿宋" w:hAnsi="仿宋" w:eastAsia="仿宋" w:cs="仿宋"/>
          <w:sz w:val="24"/>
          <w:szCs w:val="24"/>
          <w:lang w:eastAsia="zh-CN"/>
        </w:rPr>
      </w:pPr>
      <w:r>
        <w:rPr>
          <w:rFonts w:hint="eastAsia" w:ascii="仿宋" w:hAnsi="仿宋" w:eastAsia="仿宋" w:cs="仿宋"/>
          <w:position w:val="30"/>
          <w:sz w:val="24"/>
          <w:szCs w:val="24"/>
          <w:lang w:eastAsia="zh-CN"/>
        </w:rPr>
        <w:t>投标人须知前附表</w:t>
      </w:r>
    </w:p>
    <w:p w14:paraId="7E530C63">
      <w:pPr>
        <w:spacing w:before="1" w:line="219" w:lineRule="auto"/>
        <w:ind w:left="2471"/>
        <w:rPr>
          <w:rFonts w:ascii="仿宋" w:hAnsi="仿宋" w:eastAsia="仿宋" w:cs="仿宋"/>
          <w:sz w:val="24"/>
          <w:szCs w:val="24"/>
          <w:lang w:eastAsia="zh-CN"/>
        </w:rPr>
      </w:pPr>
      <w:r>
        <w:rPr>
          <w:rFonts w:hint="eastAsia" w:ascii="仿宋" w:hAnsi="仿宋" w:eastAsia="仿宋" w:cs="仿宋"/>
          <w:sz w:val="24"/>
          <w:szCs w:val="24"/>
          <w:lang w:eastAsia="zh-CN"/>
        </w:rPr>
        <w:t>一.说明</w:t>
      </w:r>
    </w:p>
    <w:p w14:paraId="421158E6">
      <w:pPr>
        <w:pStyle w:val="5"/>
        <w:spacing w:line="270" w:lineRule="auto"/>
        <w:rPr>
          <w:rFonts w:ascii="仿宋" w:hAnsi="仿宋" w:eastAsia="仿宋" w:cs="仿宋"/>
          <w:lang w:eastAsia="zh-CN"/>
        </w:rPr>
      </w:pPr>
    </w:p>
    <w:p w14:paraId="69761C53">
      <w:pPr>
        <w:spacing w:before="78" w:line="220" w:lineRule="auto"/>
        <w:ind w:left="2471"/>
        <w:rPr>
          <w:rFonts w:ascii="仿宋" w:hAnsi="仿宋" w:eastAsia="仿宋" w:cs="仿宋"/>
          <w:sz w:val="24"/>
          <w:szCs w:val="24"/>
          <w:lang w:eastAsia="zh-CN"/>
        </w:rPr>
      </w:pPr>
      <w:r>
        <w:rPr>
          <w:rFonts w:hint="eastAsia" w:ascii="仿宋" w:hAnsi="仿宋" w:eastAsia="仿宋" w:cs="仿宋"/>
          <w:sz w:val="24"/>
          <w:szCs w:val="24"/>
          <w:lang w:eastAsia="zh-CN"/>
        </w:rPr>
        <w:t>二.招标文件</w:t>
      </w:r>
    </w:p>
    <w:p w14:paraId="0ED90C9D">
      <w:pPr>
        <w:pStyle w:val="5"/>
        <w:spacing w:line="270" w:lineRule="auto"/>
        <w:rPr>
          <w:rFonts w:ascii="仿宋" w:hAnsi="仿宋" w:eastAsia="仿宋" w:cs="仿宋"/>
          <w:lang w:eastAsia="zh-CN"/>
        </w:rPr>
      </w:pPr>
    </w:p>
    <w:p w14:paraId="34FE6C0D">
      <w:pPr>
        <w:spacing w:before="78" w:line="220" w:lineRule="auto"/>
        <w:ind w:left="2467"/>
        <w:rPr>
          <w:rFonts w:ascii="仿宋" w:hAnsi="仿宋" w:eastAsia="仿宋" w:cs="仿宋"/>
          <w:sz w:val="24"/>
          <w:szCs w:val="24"/>
          <w:lang w:eastAsia="zh-CN"/>
        </w:rPr>
      </w:pPr>
      <w:r>
        <w:rPr>
          <w:rFonts w:hint="eastAsia" w:ascii="仿宋" w:hAnsi="仿宋" w:eastAsia="仿宋" w:cs="仿宋"/>
          <w:sz w:val="24"/>
          <w:szCs w:val="24"/>
          <w:lang w:eastAsia="zh-CN"/>
        </w:rPr>
        <w:t>三.投标文件的编制</w:t>
      </w:r>
    </w:p>
    <w:p w14:paraId="0BA172C6">
      <w:pPr>
        <w:pStyle w:val="5"/>
        <w:spacing w:line="270" w:lineRule="auto"/>
        <w:rPr>
          <w:rFonts w:ascii="仿宋" w:hAnsi="仿宋" w:eastAsia="仿宋" w:cs="仿宋"/>
          <w:lang w:eastAsia="zh-CN"/>
        </w:rPr>
      </w:pPr>
    </w:p>
    <w:p w14:paraId="5D71008F">
      <w:pPr>
        <w:spacing w:before="79" w:line="219" w:lineRule="auto"/>
        <w:ind w:left="2490"/>
        <w:rPr>
          <w:rFonts w:ascii="仿宋" w:hAnsi="仿宋" w:eastAsia="仿宋" w:cs="仿宋"/>
          <w:sz w:val="24"/>
          <w:szCs w:val="24"/>
          <w:lang w:eastAsia="zh-CN"/>
        </w:rPr>
      </w:pPr>
      <w:r>
        <w:rPr>
          <w:rFonts w:hint="eastAsia" w:ascii="仿宋" w:hAnsi="仿宋" w:eastAsia="仿宋" w:cs="仿宋"/>
          <w:sz w:val="24"/>
          <w:szCs w:val="24"/>
          <w:lang w:eastAsia="zh-CN"/>
        </w:rPr>
        <w:t>四.投标文件的上传、递交</w:t>
      </w:r>
    </w:p>
    <w:p w14:paraId="0A1DB8A7">
      <w:pPr>
        <w:pStyle w:val="5"/>
        <w:spacing w:line="271" w:lineRule="auto"/>
        <w:rPr>
          <w:rFonts w:ascii="仿宋" w:hAnsi="仿宋" w:eastAsia="仿宋" w:cs="仿宋"/>
          <w:lang w:eastAsia="zh-CN"/>
        </w:rPr>
      </w:pPr>
    </w:p>
    <w:p w14:paraId="25BD8CCB">
      <w:pPr>
        <w:spacing w:before="79" w:line="636" w:lineRule="exact"/>
        <w:ind w:left="2471"/>
        <w:rPr>
          <w:rFonts w:ascii="仿宋" w:hAnsi="仿宋" w:eastAsia="仿宋" w:cs="仿宋"/>
          <w:sz w:val="24"/>
          <w:szCs w:val="24"/>
          <w:lang w:eastAsia="zh-CN"/>
        </w:rPr>
      </w:pPr>
      <w:r>
        <w:rPr>
          <w:rFonts w:hint="eastAsia" w:ascii="仿宋" w:hAnsi="仿宋" w:eastAsia="仿宋" w:cs="仿宋"/>
          <w:position w:val="30"/>
          <w:sz w:val="24"/>
          <w:szCs w:val="24"/>
          <w:lang w:eastAsia="zh-CN"/>
        </w:rPr>
        <w:t>五.开标</w:t>
      </w:r>
    </w:p>
    <w:p w14:paraId="1304A353">
      <w:pPr>
        <w:spacing w:line="220" w:lineRule="auto"/>
        <w:ind w:left="2469"/>
        <w:rPr>
          <w:rFonts w:ascii="仿宋" w:hAnsi="仿宋" w:eastAsia="仿宋" w:cs="仿宋"/>
          <w:sz w:val="24"/>
          <w:szCs w:val="24"/>
          <w:lang w:eastAsia="zh-CN"/>
        </w:rPr>
      </w:pPr>
      <w:r>
        <w:rPr>
          <w:rFonts w:hint="eastAsia" w:ascii="仿宋" w:hAnsi="仿宋" w:eastAsia="仿宋" w:cs="仿宋"/>
          <w:sz w:val="24"/>
          <w:szCs w:val="24"/>
          <w:lang w:eastAsia="zh-CN"/>
        </w:rPr>
        <w:t>六.评标</w:t>
      </w:r>
    </w:p>
    <w:p w14:paraId="250248C6">
      <w:pPr>
        <w:pStyle w:val="5"/>
        <w:spacing w:line="270" w:lineRule="auto"/>
        <w:rPr>
          <w:rFonts w:ascii="仿宋" w:hAnsi="仿宋" w:eastAsia="仿宋" w:cs="仿宋"/>
          <w:lang w:eastAsia="zh-CN"/>
        </w:rPr>
      </w:pPr>
    </w:p>
    <w:p w14:paraId="3CA3E9A7">
      <w:pPr>
        <w:spacing w:before="79" w:line="220" w:lineRule="auto"/>
        <w:ind w:left="2466"/>
        <w:rPr>
          <w:rFonts w:ascii="仿宋" w:hAnsi="仿宋" w:eastAsia="仿宋" w:cs="仿宋"/>
          <w:sz w:val="24"/>
          <w:szCs w:val="24"/>
          <w:lang w:eastAsia="zh-CN"/>
        </w:rPr>
      </w:pPr>
      <w:r>
        <w:rPr>
          <w:rFonts w:hint="eastAsia" w:ascii="仿宋" w:hAnsi="仿宋" w:eastAsia="仿宋" w:cs="仿宋"/>
          <w:sz w:val="24"/>
          <w:szCs w:val="24"/>
          <w:lang w:eastAsia="zh-CN"/>
        </w:rPr>
        <w:t>七.定标</w:t>
      </w:r>
    </w:p>
    <w:p w14:paraId="5E95FA19">
      <w:pPr>
        <w:pStyle w:val="5"/>
        <w:spacing w:line="270" w:lineRule="auto"/>
        <w:rPr>
          <w:rFonts w:ascii="仿宋" w:hAnsi="仿宋" w:eastAsia="仿宋" w:cs="仿宋"/>
          <w:lang w:eastAsia="zh-CN"/>
        </w:rPr>
      </w:pPr>
    </w:p>
    <w:p w14:paraId="1C879177">
      <w:pPr>
        <w:spacing w:before="78" w:line="220" w:lineRule="auto"/>
        <w:ind w:left="2471"/>
        <w:rPr>
          <w:rFonts w:ascii="仿宋" w:hAnsi="仿宋" w:eastAsia="仿宋" w:cs="仿宋"/>
          <w:sz w:val="24"/>
          <w:szCs w:val="24"/>
          <w:lang w:eastAsia="zh-CN"/>
        </w:rPr>
      </w:pPr>
      <w:r>
        <w:rPr>
          <w:rFonts w:hint="eastAsia" w:ascii="仿宋" w:hAnsi="仿宋" w:eastAsia="仿宋" w:cs="仿宋"/>
          <w:sz w:val="24"/>
          <w:szCs w:val="24"/>
          <w:lang w:eastAsia="zh-CN"/>
        </w:rPr>
        <w:t>八.合同授予</w:t>
      </w:r>
    </w:p>
    <w:p w14:paraId="609E03CA">
      <w:pPr>
        <w:pStyle w:val="5"/>
        <w:spacing w:line="269" w:lineRule="auto"/>
        <w:rPr>
          <w:rFonts w:ascii="仿宋" w:hAnsi="仿宋" w:eastAsia="仿宋" w:cs="仿宋"/>
          <w:lang w:eastAsia="zh-CN"/>
        </w:rPr>
      </w:pPr>
    </w:p>
    <w:p w14:paraId="135B3816">
      <w:pPr>
        <w:spacing w:before="79" w:line="219"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第四章    评标办法及评分标准</w:t>
      </w:r>
    </w:p>
    <w:p w14:paraId="2CC3674E">
      <w:pPr>
        <w:pStyle w:val="5"/>
        <w:spacing w:line="271" w:lineRule="auto"/>
        <w:rPr>
          <w:rFonts w:ascii="仿宋" w:hAnsi="仿宋" w:eastAsia="仿宋" w:cs="仿宋"/>
          <w:lang w:eastAsia="zh-CN"/>
        </w:rPr>
      </w:pPr>
    </w:p>
    <w:p w14:paraId="023C0968">
      <w:pPr>
        <w:spacing w:before="78" w:line="219"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第五章    政府采购合同主要条款</w:t>
      </w:r>
    </w:p>
    <w:p w14:paraId="2BED56C1">
      <w:pPr>
        <w:pStyle w:val="5"/>
        <w:spacing w:line="271" w:lineRule="auto"/>
        <w:rPr>
          <w:rFonts w:ascii="仿宋" w:hAnsi="仿宋" w:eastAsia="仿宋" w:cs="仿宋"/>
          <w:lang w:eastAsia="zh-CN"/>
        </w:rPr>
      </w:pPr>
    </w:p>
    <w:p w14:paraId="3B29C0F2">
      <w:pPr>
        <w:spacing w:before="79" w:line="219" w:lineRule="auto"/>
        <w:ind w:left="1283"/>
        <w:rPr>
          <w:rFonts w:ascii="仿宋" w:hAnsi="仿宋" w:eastAsia="仿宋" w:cs="仿宋"/>
          <w:sz w:val="24"/>
          <w:szCs w:val="24"/>
          <w:lang w:eastAsia="zh-CN"/>
        </w:rPr>
      </w:pPr>
      <w:r>
        <w:rPr>
          <w:rFonts w:hint="eastAsia" w:ascii="仿宋" w:hAnsi="仿宋" w:eastAsia="仿宋" w:cs="仿宋"/>
          <w:sz w:val="24"/>
          <w:szCs w:val="24"/>
          <w:lang w:eastAsia="zh-CN"/>
        </w:rPr>
        <w:t>第六章    投标文件格式</w:t>
      </w:r>
    </w:p>
    <w:p w14:paraId="58F3386E">
      <w:pPr>
        <w:spacing w:line="219" w:lineRule="auto"/>
        <w:rPr>
          <w:rFonts w:ascii="仿宋" w:hAnsi="仿宋" w:eastAsia="仿宋" w:cs="仿宋"/>
          <w:sz w:val="24"/>
          <w:szCs w:val="24"/>
          <w:lang w:eastAsia="zh-CN"/>
        </w:rPr>
        <w:sectPr>
          <w:footerReference r:id="rId4" w:type="default"/>
          <w:pgSz w:w="11906" w:h="16839"/>
          <w:pgMar w:top="1440" w:right="1803" w:bottom="1440" w:left="1803" w:header="0" w:footer="992" w:gutter="0"/>
          <w:pgNumType w:start="1"/>
          <w:cols w:space="720" w:num="1"/>
        </w:sectPr>
      </w:pPr>
    </w:p>
    <w:p w14:paraId="784AE922">
      <w:pPr>
        <w:spacing w:line="360" w:lineRule="auto"/>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第一章招标公告</w:t>
      </w:r>
    </w:p>
    <w:p w14:paraId="5527BD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仿宋" w:hAnsi="仿宋" w:eastAsia="仿宋" w:cs="仿宋"/>
          <w:b/>
          <w:bCs/>
          <w:sz w:val="36"/>
          <w:szCs w:val="36"/>
          <w:lang w:eastAsia="zh-CN"/>
        </w:rPr>
      </w:pPr>
      <w:r>
        <w:rPr>
          <w:rFonts w:hint="eastAsia" w:ascii="仿宋" w:hAnsi="仿宋" w:eastAsia="仿宋" w:cs="仿宋"/>
          <w:b/>
          <w:bCs/>
          <w:sz w:val="36"/>
          <w:szCs w:val="36"/>
          <w:lang w:eastAsia="zh-CN"/>
        </w:rPr>
        <w:t>西平县公安局2025年全县视频监控维护项目</w:t>
      </w:r>
    </w:p>
    <w:p w14:paraId="68FBBA2B">
      <w:pPr>
        <w:spacing w:line="360" w:lineRule="auto"/>
        <w:ind w:left="5060" w:hanging="5060" w:hangingChars="1400"/>
        <w:jc w:val="center"/>
        <w:rPr>
          <w:rFonts w:ascii="仿宋" w:hAnsi="仿宋" w:eastAsia="仿宋" w:cs="仿宋"/>
          <w:b/>
          <w:bCs/>
          <w:sz w:val="36"/>
          <w:szCs w:val="36"/>
        </w:rPr>
      </w:pPr>
      <w:r>
        <w:rPr>
          <w:rFonts w:hint="eastAsia" w:ascii="仿宋" w:hAnsi="仿宋" w:eastAsia="仿宋" w:cs="仿宋"/>
          <w:b/>
          <w:bCs/>
          <w:sz w:val="36"/>
          <w:szCs w:val="36"/>
        </w:rPr>
        <w:t>招标公告</w:t>
      </w:r>
    </w:p>
    <w:tbl>
      <w:tblPr>
        <w:tblStyle w:val="21"/>
        <w:tblW w:w="9417" w:type="dxa"/>
        <w:tblInd w:w="-47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17"/>
      </w:tblGrid>
      <w:tr w14:paraId="71676D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63" w:hRule="atLeast"/>
        </w:trPr>
        <w:tc>
          <w:tcPr>
            <w:tcW w:w="9417" w:type="dxa"/>
          </w:tcPr>
          <w:p w14:paraId="1CE31B87">
            <w:pPr>
              <w:spacing w:before="168" w:line="360" w:lineRule="auto"/>
              <w:ind w:left="119"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项目概况:</w:t>
            </w:r>
          </w:p>
          <w:p w14:paraId="5567822F">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西平县公安局2025年全县视频监控维护项目的潜在投标人应在驻马店市公共资源交易中心电子交易平台获取招标文件，并于2025年</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时</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分（北京时间）前递交投标文件。</w:t>
            </w:r>
          </w:p>
        </w:tc>
      </w:tr>
    </w:tbl>
    <w:p w14:paraId="49C549DD">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一、项目基本情况：</w:t>
      </w:r>
    </w:p>
    <w:p w14:paraId="55210B53">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1.项目编号：西政采招【2025】17号</w:t>
      </w:r>
    </w:p>
    <w:p w14:paraId="331D45A4">
      <w:pPr>
        <w:keepNext w:val="0"/>
        <w:keepLines w:val="0"/>
        <w:pageBreakBefore w:val="0"/>
        <w:widowControl/>
        <w:kinsoku w:val="0"/>
        <w:wordWrap/>
        <w:overflowPunct/>
        <w:topLinePunct w:val="0"/>
        <w:autoSpaceDE w:val="0"/>
        <w:autoSpaceDN w:val="0"/>
        <w:bidi w:val="0"/>
        <w:adjustRightInd w:val="0"/>
        <w:snapToGrid w:val="0"/>
        <w:spacing w:line="384" w:lineRule="auto"/>
        <w:ind w:firstLine="720" w:firstLineChars="300"/>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采购编号：西财招标-2025-29</w:t>
      </w:r>
    </w:p>
    <w:p w14:paraId="3D1529AF">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2.项目名称：西平县公安局2025年全县视频监控维护项目</w:t>
      </w:r>
    </w:p>
    <w:p w14:paraId="1F12E185">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3.采购方式：公开招标</w:t>
      </w:r>
    </w:p>
    <w:p w14:paraId="629E42E1">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4.预算金额：</w:t>
      </w:r>
      <w:r>
        <w:rPr>
          <w:rFonts w:hint="eastAsia" w:ascii="仿宋" w:hAnsi="仿宋" w:eastAsia="仿宋" w:cs="仿宋"/>
          <w:sz w:val="24"/>
          <w:szCs w:val="24"/>
          <w:lang w:val="en-US" w:eastAsia="zh-CN"/>
        </w:rPr>
        <w:t>2274438.02</w:t>
      </w:r>
      <w:r>
        <w:rPr>
          <w:rFonts w:hint="eastAsia" w:ascii="仿宋" w:hAnsi="仿宋" w:eastAsia="仿宋" w:cs="仿宋"/>
          <w:sz w:val="24"/>
          <w:szCs w:val="24"/>
          <w:lang w:eastAsia="zh-CN"/>
        </w:rPr>
        <w:t>元</w:t>
      </w:r>
    </w:p>
    <w:p w14:paraId="276D8A09">
      <w:pPr>
        <w:keepNext w:val="0"/>
        <w:keepLines w:val="0"/>
        <w:pageBreakBefore w:val="0"/>
        <w:widowControl/>
        <w:kinsoku w:val="0"/>
        <w:wordWrap/>
        <w:overflowPunct/>
        <w:topLinePunct w:val="0"/>
        <w:autoSpaceDE w:val="0"/>
        <w:autoSpaceDN w:val="0"/>
        <w:bidi w:val="0"/>
        <w:adjustRightInd w:val="0"/>
        <w:snapToGrid w:val="0"/>
        <w:spacing w:line="384" w:lineRule="auto"/>
        <w:ind w:firstLine="720" w:firstLineChars="300"/>
        <w:textAlignment w:val="baseline"/>
        <w:rPr>
          <w:rFonts w:ascii="仿宋" w:hAnsi="仿宋" w:eastAsia="仿宋" w:cs="仿宋"/>
        </w:rPr>
      </w:pPr>
      <w:r>
        <w:rPr>
          <w:rFonts w:hint="eastAsia" w:ascii="仿宋" w:hAnsi="仿宋" w:eastAsia="仿宋" w:cs="仿宋"/>
          <w:color w:val="auto"/>
          <w:sz w:val="24"/>
        </w:rPr>
        <w:t>最高限价</w:t>
      </w:r>
      <w:r>
        <w:rPr>
          <w:rFonts w:hint="eastAsia" w:ascii="仿宋" w:hAnsi="仿宋" w:eastAsia="仿宋" w:cs="仿宋"/>
          <w:color w:val="auto"/>
          <w:sz w:val="24"/>
          <w:lang w:eastAsia="zh-CN"/>
        </w:rPr>
        <w:t>：</w:t>
      </w:r>
      <w:r>
        <w:rPr>
          <w:rFonts w:hint="eastAsia" w:ascii="仿宋" w:hAnsi="仿宋" w:eastAsia="仿宋" w:cs="仿宋"/>
          <w:sz w:val="24"/>
          <w:szCs w:val="24"/>
          <w:lang w:val="en-US" w:eastAsia="zh-CN"/>
        </w:rPr>
        <w:t>2274438.02</w:t>
      </w:r>
      <w:r>
        <w:rPr>
          <w:rFonts w:hint="eastAsia" w:ascii="仿宋" w:hAnsi="仿宋" w:eastAsia="仿宋" w:cs="仿宋"/>
          <w:sz w:val="24"/>
          <w:szCs w:val="24"/>
          <w:lang w:eastAsia="zh-CN"/>
        </w:rPr>
        <w:t>元</w:t>
      </w:r>
    </w:p>
    <w:tbl>
      <w:tblPr>
        <w:tblStyle w:val="16"/>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41"/>
        <w:gridCol w:w="2849"/>
        <w:gridCol w:w="1664"/>
        <w:gridCol w:w="2138"/>
      </w:tblGrid>
      <w:tr w14:paraId="0036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26" w:type="pct"/>
            <w:vAlign w:val="center"/>
          </w:tcPr>
          <w:p w14:paraId="6F277604">
            <w:pPr>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860" w:type="pct"/>
            <w:vAlign w:val="center"/>
          </w:tcPr>
          <w:p w14:paraId="69665161">
            <w:pPr>
              <w:spacing w:line="360" w:lineRule="auto"/>
              <w:jc w:val="center"/>
              <w:rPr>
                <w:rFonts w:ascii="仿宋" w:hAnsi="仿宋" w:eastAsia="仿宋" w:cs="仿宋"/>
                <w:color w:val="auto"/>
                <w:sz w:val="24"/>
              </w:rPr>
            </w:pPr>
            <w:r>
              <w:rPr>
                <w:rFonts w:hint="eastAsia" w:ascii="仿宋" w:hAnsi="仿宋" w:eastAsia="仿宋" w:cs="仿宋"/>
                <w:color w:val="auto"/>
                <w:sz w:val="24"/>
                <w:lang w:eastAsia="zh-CN"/>
              </w:rPr>
              <w:t>标</w:t>
            </w:r>
            <w:r>
              <w:rPr>
                <w:rFonts w:hint="eastAsia" w:ascii="仿宋" w:hAnsi="仿宋" w:eastAsia="仿宋" w:cs="仿宋"/>
                <w:color w:val="auto"/>
                <w:sz w:val="24"/>
              </w:rPr>
              <w:t>包号</w:t>
            </w:r>
          </w:p>
        </w:tc>
        <w:tc>
          <w:tcPr>
            <w:tcW w:w="1590" w:type="pct"/>
            <w:vAlign w:val="center"/>
          </w:tcPr>
          <w:p w14:paraId="156C0E65">
            <w:pPr>
              <w:spacing w:line="360" w:lineRule="auto"/>
              <w:jc w:val="center"/>
              <w:rPr>
                <w:rFonts w:ascii="仿宋" w:hAnsi="仿宋" w:eastAsia="仿宋" w:cs="仿宋"/>
                <w:color w:val="auto"/>
                <w:sz w:val="24"/>
              </w:rPr>
            </w:pPr>
            <w:r>
              <w:rPr>
                <w:rFonts w:hint="eastAsia" w:ascii="仿宋" w:hAnsi="仿宋" w:eastAsia="仿宋" w:cs="仿宋"/>
                <w:color w:val="auto"/>
                <w:sz w:val="24"/>
                <w:lang w:eastAsia="zh-CN"/>
              </w:rPr>
              <w:t>包</w:t>
            </w:r>
            <w:r>
              <w:rPr>
                <w:rFonts w:hint="eastAsia" w:ascii="仿宋" w:hAnsi="仿宋" w:eastAsia="仿宋" w:cs="仿宋"/>
                <w:color w:val="auto"/>
                <w:sz w:val="24"/>
              </w:rPr>
              <w:t>名称</w:t>
            </w:r>
          </w:p>
        </w:tc>
        <w:tc>
          <w:tcPr>
            <w:tcW w:w="929" w:type="pct"/>
            <w:vAlign w:val="center"/>
          </w:tcPr>
          <w:p w14:paraId="2976D5B0">
            <w:pPr>
              <w:spacing w:line="360" w:lineRule="auto"/>
              <w:jc w:val="center"/>
              <w:rPr>
                <w:rFonts w:ascii="仿宋" w:hAnsi="仿宋" w:eastAsia="仿宋" w:cs="仿宋"/>
                <w:color w:val="auto"/>
                <w:sz w:val="24"/>
              </w:rPr>
            </w:pPr>
            <w:r>
              <w:rPr>
                <w:rFonts w:hint="eastAsia" w:ascii="仿宋" w:hAnsi="仿宋" w:eastAsia="仿宋" w:cs="仿宋"/>
                <w:color w:val="auto"/>
                <w:sz w:val="24"/>
              </w:rPr>
              <w:t>包预算（元）</w:t>
            </w:r>
          </w:p>
        </w:tc>
        <w:tc>
          <w:tcPr>
            <w:tcW w:w="1193" w:type="pct"/>
            <w:vAlign w:val="center"/>
          </w:tcPr>
          <w:p w14:paraId="7AE424EA">
            <w:pPr>
              <w:spacing w:line="360" w:lineRule="auto"/>
              <w:jc w:val="center"/>
              <w:rPr>
                <w:rFonts w:ascii="仿宋" w:hAnsi="仿宋" w:eastAsia="仿宋" w:cs="仿宋"/>
                <w:color w:val="auto"/>
                <w:sz w:val="24"/>
              </w:rPr>
            </w:pPr>
            <w:r>
              <w:rPr>
                <w:rFonts w:hint="eastAsia" w:ascii="仿宋" w:hAnsi="仿宋" w:eastAsia="仿宋" w:cs="仿宋"/>
                <w:color w:val="auto"/>
                <w:sz w:val="24"/>
              </w:rPr>
              <w:t>包最高限价（元）</w:t>
            </w:r>
          </w:p>
        </w:tc>
      </w:tr>
      <w:tr w14:paraId="76EF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26" w:type="pct"/>
            <w:vAlign w:val="center"/>
          </w:tcPr>
          <w:p w14:paraId="77F729D7">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860" w:type="pct"/>
            <w:vAlign w:val="center"/>
          </w:tcPr>
          <w:p w14:paraId="324CC5A6">
            <w:pPr>
              <w:spacing w:line="360" w:lineRule="auto"/>
              <w:jc w:val="center"/>
              <w:rPr>
                <w:rFonts w:ascii="仿宋" w:hAnsi="仿宋" w:eastAsia="仿宋" w:cs="仿宋"/>
                <w:color w:val="auto"/>
                <w:sz w:val="24"/>
              </w:rPr>
            </w:pPr>
            <w:r>
              <w:rPr>
                <w:rFonts w:hint="eastAsia" w:ascii="仿宋" w:hAnsi="仿宋" w:eastAsia="仿宋" w:cs="仿宋"/>
                <w:sz w:val="24"/>
                <w:szCs w:val="24"/>
                <w:lang w:eastAsia="zh-CN"/>
              </w:rPr>
              <w:t>西政采招【2025】17号A</w:t>
            </w:r>
          </w:p>
        </w:tc>
        <w:tc>
          <w:tcPr>
            <w:tcW w:w="1590" w:type="pct"/>
            <w:vAlign w:val="center"/>
          </w:tcPr>
          <w:p w14:paraId="3FC1C269">
            <w:pPr>
              <w:spacing w:line="360" w:lineRule="auto"/>
              <w:jc w:val="center"/>
              <w:textAlignment w:val="center"/>
              <w:rPr>
                <w:rFonts w:ascii="仿宋" w:hAnsi="仿宋" w:eastAsia="仿宋" w:cs="仿宋"/>
                <w:color w:val="auto"/>
                <w:sz w:val="24"/>
                <w:lang w:eastAsia="zh-CN"/>
              </w:rPr>
            </w:pPr>
            <w:r>
              <w:rPr>
                <w:rFonts w:hint="eastAsia" w:ascii="仿宋" w:hAnsi="仿宋" w:eastAsia="仿宋" w:cs="仿宋"/>
                <w:color w:val="auto"/>
                <w:sz w:val="24"/>
                <w:lang w:eastAsia="zh-CN"/>
              </w:rPr>
              <w:t>西平县公安局2025年全县视频监控维护项目</w:t>
            </w:r>
          </w:p>
        </w:tc>
        <w:tc>
          <w:tcPr>
            <w:tcW w:w="929" w:type="pct"/>
            <w:vAlign w:val="center"/>
          </w:tcPr>
          <w:p w14:paraId="6412BD1C">
            <w:pPr>
              <w:spacing w:line="360" w:lineRule="auto"/>
              <w:jc w:val="center"/>
              <w:rPr>
                <w:rFonts w:ascii="仿宋" w:hAnsi="仿宋" w:eastAsia="仿宋" w:cs="仿宋"/>
                <w:color w:val="auto"/>
                <w:sz w:val="24"/>
              </w:rPr>
            </w:pPr>
            <w:r>
              <w:rPr>
                <w:rFonts w:hint="eastAsia" w:ascii="仿宋" w:hAnsi="仿宋" w:eastAsia="仿宋" w:cs="仿宋"/>
                <w:sz w:val="24"/>
                <w:szCs w:val="24"/>
                <w:lang w:val="en-US" w:eastAsia="zh-CN"/>
              </w:rPr>
              <w:t>2274438.02</w:t>
            </w:r>
          </w:p>
        </w:tc>
        <w:tc>
          <w:tcPr>
            <w:tcW w:w="1193" w:type="pct"/>
            <w:vAlign w:val="center"/>
          </w:tcPr>
          <w:p w14:paraId="19A46238">
            <w:pPr>
              <w:spacing w:line="360" w:lineRule="auto"/>
              <w:jc w:val="center"/>
              <w:rPr>
                <w:rFonts w:ascii="仿宋" w:hAnsi="仿宋" w:eastAsia="仿宋" w:cs="仿宋"/>
                <w:color w:val="auto"/>
                <w:sz w:val="24"/>
              </w:rPr>
            </w:pPr>
            <w:r>
              <w:rPr>
                <w:rFonts w:hint="eastAsia" w:ascii="仿宋" w:hAnsi="仿宋" w:eastAsia="仿宋" w:cs="仿宋"/>
                <w:sz w:val="24"/>
                <w:szCs w:val="24"/>
                <w:lang w:val="en-US" w:eastAsia="zh-CN"/>
              </w:rPr>
              <w:t>2274438.02</w:t>
            </w:r>
          </w:p>
        </w:tc>
      </w:tr>
    </w:tbl>
    <w:p w14:paraId="24587AA8">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5.招标需求(包括但不限于标的的名称、数量、简要技术需求或服务要求等)详见招标文件。</w:t>
      </w:r>
    </w:p>
    <w:p w14:paraId="30468D78">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6.</w:t>
      </w:r>
      <w:r>
        <w:rPr>
          <w:rFonts w:hint="default" w:ascii="仿宋" w:hAnsi="仿宋" w:eastAsia="仿宋" w:cs="仿宋"/>
          <w:color w:val="auto"/>
          <w:sz w:val="24"/>
          <w:szCs w:val="24"/>
          <w:lang w:eastAsia="zh-CN"/>
        </w:rPr>
        <w:t>合同履行</w:t>
      </w:r>
      <w:r>
        <w:rPr>
          <w:rFonts w:hint="eastAsia" w:ascii="仿宋" w:hAnsi="仿宋" w:eastAsia="仿宋" w:cs="仿宋"/>
          <w:color w:val="auto"/>
          <w:sz w:val="24"/>
          <w:szCs w:val="24"/>
          <w:lang w:eastAsia="zh-CN"/>
        </w:rPr>
        <w:t>期限：</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val="zh-CN" w:eastAsia="zh-CN"/>
        </w:rPr>
        <w:t>年</w:t>
      </w:r>
    </w:p>
    <w:p w14:paraId="18B949F0">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7.本项目是否接受联合体投标：否</w:t>
      </w:r>
    </w:p>
    <w:p w14:paraId="469DEB5E">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8.是否接受进口产品：否</w:t>
      </w:r>
    </w:p>
    <w:p w14:paraId="5B8222E1">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9.是否专门面向中小企业：</w:t>
      </w:r>
      <w:r>
        <w:rPr>
          <w:rFonts w:hint="eastAsia" w:ascii="仿宋" w:hAnsi="仿宋" w:eastAsia="仿宋" w:cs="仿宋"/>
          <w:color w:val="auto"/>
          <w:sz w:val="24"/>
          <w:szCs w:val="24"/>
          <w:highlight w:val="none"/>
          <w:lang w:eastAsia="zh-CN"/>
        </w:rPr>
        <w:t>否</w:t>
      </w:r>
    </w:p>
    <w:p w14:paraId="70C2F42D">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二、申请人的资格要求：</w:t>
      </w:r>
    </w:p>
    <w:p w14:paraId="06307183">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060BE5B7">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2.落实政府采购政策需满足的资格要求：本项目执行促进中小型企业发展政策(监狱企业残疾人福利性企业视同小微企业)等政府采购政策。</w:t>
      </w:r>
    </w:p>
    <w:p w14:paraId="420DC61C">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p w14:paraId="1C0D1992">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根据《关于在政府采购活动中查询及使用信用记录有关问题的通知》财库【2016】125 号文件规定，对列入失信被执行人、重大税收违法失信主体、政府采购严重违法失信行为记录名单的</w:t>
      </w:r>
      <w:r>
        <w:rPr>
          <w:rFonts w:hint="eastAsia" w:ascii="仿宋" w:hAnsi="仿宋" w:eastAsia="仿宋" w:cs="仿宋"/>
          <w:sz w:val="24"/>
          <w:lang w:eastAsia="zh-CN"/>
        </w:rPr>
        <w:t>投标人</w:t>
      </w:r>
      <w:r>
        <w:rPr>
          <w:rFonts w:hint="eastAsia" w:ascii="仿宋" w:hAnsi="仿宋" w:eastAsia="仿宋" w:cs="仿宋"/>
          <w:sz w:val="24"/>
          <w:szCs w:val="24"/>
          <w:lang w:eastAsia="zh-CN"/>
        </w:rPr>
        <w:t>，拒绝其参与本项目政府采购活动。</w:t>
      </w:r>
    </w:p>
    <w:p w14:paraId="62B488A5">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三、获取招标文件：</w:t>
      </w:r>
    </w:p>
    <w:p w14:paraId="25C3A08C">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日至2025年</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日。每天上午8:00至12:00时，下午15:00至18:00（北京时间，法定节假日除外。</w:t>
      </w:r>
      <w:r>
        <w:rPr>
          <w:rFonts w:hint="eastAsia" w:ascii="仿宋" w:hAnsi="仿宋" w:eastAsia="仿宋" w:cs="仿宋"/>
          <w:sz w:val="24"/>
          <w:szCs w:val="24"/>
        </w:rPr>
        <w:t>）</w:t>
      </w:r>
    </w:p>
    <w:p w14:paraId="7E37D869">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2.地点：驻马店市公共资源交易中心电子交易平台</w:t>
      </w:r>
    </w:p>
    <w:p w14:paraId="1EF726AA">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3.方式：驻马店市公共资源交易平台下载电子版文件。</w:t>
      </w:r>
      <w:r>
        <w:rPr>
          <w:rFonts w:hint="eastAsia" w:ascii="仿宋" w:hAnsi="仿宋" w:eastAsia="仿宋" w:cs="仿宋"/>
          <w:sz w:val="24"/>
          <w:lang w:eastAsia="zh-CN"/>
        </w:rPr>
        <w:t>投标人</w:t>
      </w:r>
      <w:r>
        <w:rPr>
          <w:rFonts w:hint="eastAsia" w:ascii="仿宋" w:hAnsi="仿宋" w:eastAsia="仿宋" w:cs="仿宋"/>
          <w:sz w:val="24"/>
          <w:szCs w:val="24"/>
          <w:lang w:eastAsia="zh-CN"/>
        </w:rPr>
        <w:t>未按规定在网上下载招标文件的，其投标将被拒绝。</w:t>
      </w:r>
    </w:p>
    <w:p w14:paraId="5E88E3B0">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4.售价：0元</w:t>
      </w:r>
    </w:p>
    <w:p w14:paraId="756F3FC5">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四、 投标截止时间及地点：</w:t>
      </w:r>
    </w:p>
    <w:p w14:paraId="271ECADF">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时</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分（北京时间）</w:t>
      </w:r>
    </w:p>
    <w:p w14:paraId="0A31933D">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2.地点：驻马店市公共资源交易中心电子交易平台不见面开标大厅。</w:t>
      </w:r>
    </w:p>
    <w:p w14:paraId="6DBDA86F">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五、开标时间及地点：</w:t>
      </w:r>
    </w:p>
    <w:p w14:paraId="6975865A">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1.时间：2025年</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时</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分（北京时间）</w:t>
      </w:r>
    </w:p>
    <w:p w14:paraId="7F6A9BE6">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2.地点:驻马店市公共资源交易中心电子交易平台不见面开标大厅。</w:t>
      </w:r>
    </w:p>
    <w:p w14:paraId="394D5DF7">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六、 发布公告的媒介及招标公告期限：</w:t>
      </w:r>
    </w:p>
    <w:p w14:paraId="175115E9">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本次招标公告在《驻马店市公共资源交易中心网》、《河南省政府采购网》上发布，招标公告期限为</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个工作日。</w:t>
      </w:r>
    </w:p>
    <w:p w14:paraId="67A82EE0">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七、其他补充事宜：</w:t>
      </w:r>
    </w:p>
    <w:p w14:paraId="332102F6">
      <w:pPr>
        <w:keepNext w:val="0"/>
        <w:keepLines w:val="0"/>
        <w:pageBreakBefore w:val="0"/>
        <w:widowControl/>
        <w:kinsoku w:val="0"/>
        <w:wordWrap/>
        <w:overflowPunct/>
        <w:topLinePunct w:val="0"/>
        <w:autoSpaceDE w:val="0"/>
        <w:autoSpaceDN w:val="0"/>
        <w:bidi w:val="0"/>
        <w:adjustRightInd w:val="0"/>
        <w:snapToGrid w:val="0"/>
        <w:spacing w:line="384" w:lineRule="auto"/>
        <w:ind w:firstLine="480" w:firstLineChars="200"/>
        <w:textAlignment w:val="baseline"/>
        <w:outlineLvl w:val="0"/>
        <w:rPr>
          <w:rFonts w:ascii="仿宋" w:hAnsi="仿宋" w:eastAsia="仿宋" w:cs="仿宋"/>
          <w:sz w:val="24"/>
          <w:szCs w:val="24"/>
          <w:lang w:eastAsia="zh-CN"/>
        </w:rPr>
      </w:pPr>
      <w:r>
        <w:rPr>
          <w:rFonts w:hint="eastAsia" w:ascii="仿宋" w:hAnsi="仿宋" w:eastAsia="仿宋" w:cs="仿宋"/>
          <w:sz w:val="24"/>
          <w:szCs w:val="24"/>
          <w:lang w:eastAsia="zh-CN"/>
        </w:rPr>
        <w:t>1.本项目使用远程不见面交易的模式。</w:t>
      </w:r>
      <w:r>
        <w:rPr>
          <w:rFonts w:hint="eastAsia" w:ascii="仿宋" w:hAnsi="仿宋" w:eastAsia="仿宋" w:cs="仿宋"/>
          <w:sz w:val="24"/>
          <w:lang w:eastAsia="zh-CN"/>
        </w:rPr>
        <w:t>投标人</w:t>
      </w:r>
      <w:r>
        <w:rPr>
          <w:rFonts w:hint="eastAsia" w:ascii="仿宋" w:hAnsi="仿宋" w:eastAsia="仿宋" w:cs="仿宋"/>
          <w:sz w:val="24"/>
          <w:szCs w:val="24"/>
          <w:lang w:eastAsia="zh-CN"/>
        </w:rPr>
        <w:t>应于提交响应文件截止时间前将加密电子响应文件（.zmdtf格式）在驻马店市公共资源交易中心电子交易平台加密上传，逾期上传其响应将被拒绝。</w:t>
      </w:r>
    </w:p>
    <w:p w14:paraId="27216C49">
      <w:pPr>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14:paraId="2A97B5FC">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2.供应商注册：</w:t>
      </w:r>
    </w:p>
    <w:p w14:paraId="5E80D27E">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109062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3.招标文件下载： </w:t>
      </w:r>
    </w:p>
    <w:p w14:paraId="2CE88D6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凡有意参加招标活动者，登录“驻马店市公共资源交易中心（https://ggzy.zhumadian.gov.cn/TPFront/）”网站，凭领取的企业身份认证锁（CA密钥）登录系统进行网上免费下载采购文件。</w:t>
      </w:r>
      <w:r>
        <w:rPr>
          <w:rFonts w:hint="eastAsia" w:ascii="仿宋" w:hAnsi="仿宋" w:eastAsia="仿宋" w:cs="仿宋"/>
          <w:sz w:val="24"/>
          <w:lang w:eastAsia="zh-CN"/>
        </w:rPr>
        <w:t>投标人</w:t>
      </w:r>
      <w:r>
        <w:rPr>
          <w:rFonts w:hint="eastAsia" w:ascii="仿宋" w:hAnsi="仿宋" w:eastAsia="仿宋" w:cs="仿宋"/>
          <w:sz w:val="24"/>
          <w:szCs w:val="24"/>
          <w:lang w:eastAsia="zh-CN"/>
        </w:rPr>
        <w:t>未按规定在网上下载招标文件的，其响应将被拒绝。</w:t>
      </w:r>
    </w:p>
    <w:p w14:paraId="06F9992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4.本项目为远程异地不见面网络评标。</w:t>
      </w:r>
    </w:p>
    <w:p w14:paraId="357C7A46">
      <w:pPr>
        <w:spacing w:beforeLines="50" w:line="360" w:lineRule="auto"/>
        <w:ind w:firstLine="480" w:firstLineChars="200"/>
        <w:outlineLvl w:val="0"/>
        <w:rPr>
          <w:rFonts w:ascii="仿宋" w:hAnsi="仿宋" w:eastAsia="仿宋" w:cs="仿宋"/>
          <w:sz w:val="24"/>
          <w:szCs w:val="24"/>
          <w:lang w:eastAsia="zh-CN"/>
        </w:rPr>
      </w:pPr>
      <w:r>
        <w:rPr>
          <w:rFonts w:hint="eastAsia" w:ascii="仿宋" w:hAnsi="仿宋" w:eastAsia="仿宋" w:cs="仿宋"/>
          <w:sz w:val="24"/>
          <w:szCs w:val="24"/>
          <w:lang w:eastAsia="zh-CN"/>
        </w:rPr>
        <w:t>八、凡对本次招标提出询问，请按以下方式联系：</w:t>
      </w:r>
    </w:p>
    <w:p w14:paraId="6B20A92C">
      <w:pPr>
        <w:spacing w:line="360" w:lineRule="auto"/>
        <w:ind w:firstLine="480" w:firstLineChars="200"/>
        <w:rPr>
          <w:rFonts w:ascii="仿宋" w:hAnsi="仿宋" w:eastAsia="仿宋" w:cs="仿宋"/>
          <w:color w:val="auto"/>
          <w:sz w:val="24"/>
          <w:lang w:eastAsia="zh-CN"/>
        </w:rPr>
      </w:pPr>
      <w:bookmarkStart w:id="0" w:name="_Toc35393637"/>
      <w:r>
        <w:rPr>
          <w:rFonts w:hint="eastAsia" w:ascii="仿宋" w:hAnsi="仿宋" w:eastAsia="仿宋" w:cs="仿宋"/>
          <w:color w:val="auto"/>
          <w:sz w:val="24"/>
          <w:lang w:eastAsia="zh-CN"/>
        </w:rPr>
        <w:t>1.招标人信息</w:t>
      </w:r>
      <w:bookmarkEnd w:id="0"/>
    </w:p>
    <w:p w14:paraId="1A7E07A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招 标 人：西平县公安局</w:t>
      </w:r>
    </w:p>
    <w:p w14:paraId="552C0FDB">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 xml:space="preserve">地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址：</w:t>
      </w:r>
      <w:r>
        <w:rPr>
          <w:rFonts w:hint="eastAsia" w:ascii="仿宋" w:hAnsi="仿宋" w:eastAsia="仿宋" w:cs="仿宋"/>
          <w:color w:val="auto"/>
          <w:sz w:val="24"/>
          <w:lang w:val="en-US" w:eastAsia="zh-CN"/>
        </w:rPr>
        <w:t>西平县平安大道</w:t>
      </w:r>
    </w:p>
    <w:p w14:paraId="6E89F606">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联</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人：</w:t>
      </w:r>
      <w:r>
        <w:rPr>
          <w:rFonts w:hint="eastAsia" w:ascii="仿宋" w:hAnsi="仿宋" w:eastAsia="仿宋" w:cs="仿宋"/>
          <w:color w:val="auto"/>
          <w:sz w:val="24"/>
          <w:lang w:val="en-US" w:eastAsia="zh-CN"/>
        </w:rPr>
        <w:t>黄克辉</w:t>
      </w:r>
    </w:p>
    <w:p w14:paraId="18A09B66">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联系方式：</w:t>
      </w:r>
      <w:r>
        <w:rPr>
          <w:rFonts w:hint="eastAsia" w:ascii="仿宋" w:hAnsi="仿宋" w:eastAsia="仿宋" w:cs="仿宋"/>
          <w:color w:val="auto"/>
          <w:sz w:val="24"/>
          <w:lang w:val="en-US" w:eastAsia="zh-CN"/>
        </w:rPr>
        <w:t>18625332863</w:t>
      </w:r>
    </w:p>
    <w:p w14:paraId="1976E11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2.招标代理机构信息</w:t>
      </w:r>
    </w:p>
    <w:p w14:paraId="5CCB5CE3">
      <w:pPr>
        <w:spacing w:line="360" w:lineRule="auto"/>
        <w:ind w:firstLine="480" w:firstLineChars="200"/>
        <w:rPr>
          <w:rFonts w:hint="default" w:ascii="仿宋" w:hAnsi="仿宋" w:eastAsia="仿宋" w:cs="仿宋"/>
          <w:color w:val="auto"/>
          <w:sz w:val="24"/>
          <w:lang w:eastAsia="zh-CN"/>
        </w:rPr>
      </w:pPr>
      <w:r>
        <w:rPr>
          <w:rFonts w:hint="eastAsia" w:ascii="仿宋" w:hAnsi="仿宋" w:eastAsia="仿宋" w:cs="仿宋"/>
          <w:color w:val="auto"/>
          <w:sz w:val="24"/>
          <w:lang w:eastAsia="zh-CN"/>
        </w:rPr>
        <w:t>名</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称：</w:t>
      </w:r>
      <w:r>
        <w:rPr>
          <w:rFonts w:hint="default" w:ascii="仿宋" w:hAnsi="仿宋" w:eastAsia="仿宋" w:cs="仿宋"/>
          <w:color w:val="auto"/>
          <w:sz w:val="24"/>
          <w:lang w:eastAsia="zh-CN"/>
        </w:rPr>
        <w:t>意成工程咨询有限公司</w:t>
      </w:r>
    </w:p>
    <w:p w14:paraId="5F328A32">
      <w:pPr>
        <w:spacing w:line="360" w:lineRule="auto"/>
        <w:ind w:firstLine="480" w:firstLineChars="200"/>
        <w:rPr>
          <w:rFonts w:hint="default" w:ascii="仿宋" w:hAnsi="仿宋" w:eastAsia="仿宋" w:cs="仿宋"/>
          <w:color w:val="auto"/>
          <w:sz w:val="24"/>
          <w:lang w:eastAsia="zh-CN"/>
        </w:rPr>
      </w:pPr>
      <w:r>
        <w:rPr>
          <w:rFonts w:hint="eastAsia" w:ascii="仿宋" w:hAnsi="仿宋" w:eastAsia="仿宋" w:cs="仿宋"/>
          <w:color w:val="auto"/>
          <w:sz w:val="24"/>
          <w:lang w:eastAsia="zh-CN"/>
        </w:rPr>
        <w:t>地</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址：河南省郑州市中原区中原西路街道秦岭路与洛河西路交叉口西南角国弘商业B座18层1808-09室</w:t>
      </w:r>
    </w:p>
    <w:p w14:paraId="1B7B2E0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 xml:space="preserve">联 系 人：陈龙飞           </w:t>
      </w:r>
    </w:p>
    <w:p w14:paraId="654999E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联系方式：</w:t>
      </w:r>
      <w:r>
        <w:rPr>
          <w:rFonts w:hint="default" w:ascii="仿宋" w:hAnsi="仿宋" w:eastAsia="仿宋" w:cs="仿宋"/>
          <w:color w:val="auto"/>
          <w:sz w:val="24"/>
          <w:lang w:eastAsia="zh-CN"/>
        </w:rPr>
        <w:t>13383817454</w:t>
      </w:r>
      <w:r>
        <w:rPr>
          <w:rFonts w:hint="eastAsia" w:ascii="仿宋" w:hAnsi="仿宋" w:eastAsia="仿宋" w:cs="仿宋"/>
          <w:color w:val="auto"/>
          <w:sz w:val="24"/>
          <w:lang w:eastAsia="zh-CN"/>
        </w:rPr>
        <w:t> </w:t>
      </w:r>
    </w:p>
    <w:p w14:paraId="7CCB1B9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3.项目联系方式</w:t>
      </w:r>
    </w:p>
    <w:p w14:paraId="362CDC6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 xml:space="preserve">联 系 人：陈龙飞             </w:t>
      </w:r>
    </w:p>
    <w:p w14:paraId="1ED217DC">
      <w:pPr>
        <w:spacing w:line="360" w:lineRule="auto"/>
        <w:ind w:firstLine="480" w:firstLineChars="200"/>
        <w:rPr>
          <w:rFonts w:hint="default" w:ascii="仿宋" w:hAnsi="仿宋" w:eastAsia="仿宋" w:cs="仿宋"/>
          <w:color w:val="auto"/>
          <w:sz w:val="24"/>
        </w:rPr>
      </w:pPr>
      <w:r>
        <w:rPr>
          <w:rFonts w:hint="eastAsia" w:ascii="仿宋" w:hAnsi="仿宋" w:eastAsia="仿宋" w:cs="仿宋"/>
          <w:color w:val="auto"/>
          <w:sz w:val="24"/>
        </w:rPr>
        <w:t>联系方式：</w:t>
      </w:r>
      <w:r>
        <w:rPr>
          <w:rFonts w:hint="default" w:ascii="仿宋" w:hAnsi="仿宋" w:eastAsia="仿宋" w:cs="仿宋"/>
          <w:color w:val="auto"/>
          <w:sz w:val="24"/>
          <w:lang w:eastAsia="zh-CN"/>
        </w:rPr>
        <w:t>13383817454</w:t>
      </w:r>
    </w:p>
    <w:p w14:paraId="20C699AA">
      <w:pPr>
        <w:spacing w:line="336"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 </w:t>
      </w:r>
    </w:p>
    <w:p w14:paraId="429F13C1">
      <w:pPr>
        <w:rPr>
          <w:rFonts w:ascii="仿宋" w:hAnsi="仿宋" w:eastAsia="仿宋" w:cs="仿宋"/>
          <w:color w:val="auto"/>
          <w:sz w:val="24"/>
        </w:rPr>
      </w:pPr>
      <w:r>
        <w:rPr>
          <w:rFonts w:hint="eastAsia" w:ascii="仿宋" w:hAnsi="仿宋" w:eastAsia="仿宋" w:cs="仿宋"/>
          <w:color w:val="auto"/>
          <w:sz w:val="24"/>
        </w:rPr>
        <w:br w:type="page"/>
      </w:r>
    </w:p>
    <w:p w14:paraId="5B91BC4C">
      <w:pPr>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第二章</w:t>
      </w:r>
      <w:r>
        <w:rPr>
          <w:rFonts w:hint="eastAsia" w:ascii="仿宋" w:hAnsi="仿宋" w:eastAsia="仿宋" w:cs="仿宋"/>
          <w:b/>
          <w:bCs/>
          <w:sz w:val="36"/>
          <w:szCs w:val="36"/>
          <w:lang w:eastAsia="zh-CN"/>
        </w:rPr>
        <w:t xml:space="preserve"> 招标需求</w:t>
      </w:r>
    </w:p>
    <w:p w14:paraId="75617DE4">
      <w:pPr>
        <w:pStyle w:val="14"/>
        <w:ind w:firstLine="0" w:firstLineChars="0"/>
        <w:rPr>
          <w:rFonts w:ascii="仿宋" w:hAnsi="仿宋" w:eastAsia="仿宋" w:cs="仿宋"/>
        </w:rPr>
      </w:pPr>
    </w:p>
    <w:p w14:paraId="55CD7F3C">
      <w:pPr>
        <w:spacing w:line="360" w:lineRule="auto"/>
        <w:ind w:firstLine="482" w:firstLineChars="200"/>
        <w:rPr>
          <w:rFonts w:ascii="仿宋" w:hAnsi="仿宋" w:eastAsia="仿宋" w:cs="仿宋"/>
          <w:b/>
          <w:bCs/>
          <w:position w:val="17"/>
          <w:sz w:val="24"/>
          <w:szCs w:val="24"/>
          <w:lang w:eastAsia="zh-CN"/>
        </w:rPr>
      </w:pPr>
      <w:r>
        <w:rPr>
          <w:rFonts w:hint="eastAsia" w:ascii="仿宋" w:hAnsi="仿宋" w:eastAsia="仿宋" w:cs="仿宋"/>
          <w:b/>
          <w:bCs/>
          <w:position w:val="17"/>
          <w:sz w:val="24"/>
          <w:szCs w:val="24"/>
        </w:rPr>
        <w:t>一、项目</w:t>
      </w:r>
      <w:r>
        <w:rPr>
          <w:rFonts w:hint="eastAsia" w:ascii="仿宋" w:hAnsi="仿宋" w:eastAsia="仿宋" w:cs="仿宋"/>
          <w:b/>
          <w:bCs/>
          <w:position w:val="17"/>
          <w:sz w:val="24"/>
          <w:szCs w:val="24"/>
          <w:lang w:eastAsia="zh-CN"/>
        </w:rPr>
        <w:t>基本情况</w:t>
      </w:r>
    </w:p>
    <w:p w14:paraId="05F940B9">
      <w:pPr>
        <w:spacing w:line="360" w:lineRule="auto"/>
        <w:ind w:firstLine="480" w:firstLineChars="200"/>
        <w:rPr>
          <w:rFonts w:ascii="仿宋" w:hAnsi="仿宋" w:eastAsia="仿宋" w:cs="仿宋"/>
          <w:position w:val="17"/>
          <w:sz w:val="24"/>
          <w:szCs w:val="24"/>
          <w:lang w:eastAsia="zh-CN"/>
        </w:rPr>
      </w:pPr>
      <w:r>
        <w:rPr>
          <w:rFonts w:hint="eastAsia" w:ascii="仿宋" w:hAnsi="仿宋" w:eastAsia="仿宋" w:cs="仿宋"/>
          <w:position w:val="17"/>
          <w:sz w:val="24"/>
          <w:szCs w:val="24"/>
          <w:lang w:eastAsia="zh-CN"/>
        </w:rPr>
        <w:t>1、项目名称：西平县公安局2025年全县视频监控维护项目</w:t>
      </w:r>
    </w:p>
    <w:p w14:paraId="31A49B43">
      <w:pPr>
        <w:spacing w:line="360" w:lineRule="auto"/>
        <w:ind w:firstLine="480" w:firstLineChars="200"/>
        <w:rPr>
          <w:rFonts w:ascii="仿宋" w:hAnsi="仿宋" w:eastAsia="仿宋" w:cs="仿宋"/>
          <w:position w:val="17"/>
          <w:sz w:val="24"/>
          <w:szCs w:val="24"/>
          <w:lang w:eastAsia="zh-CN"/>
        </w:rPr>
      </w:pPr>
      <w:r>
        <w:rPr>
          <w:rFonts w:hint="eastAsia" w:ascii="仿宋" w:hAnsi="仿宋" w:eastAsia="仿宋" w:cs="仿宋"/>
          <w:position w:val="17"/>
          <w:sz w:val="24"/>
          <w:szCs w:val="24"/>
          <w:lang w:eastAsia="zh-CN"/>
        </w:rPr>
        <w:t>2、项目编号：西政采招【2025】17号</w:t>
      </w:r>
    </w:p>
    <w:p w14:paraId="768E89BE">
      <w:pPr>
        <w:spacing w:line="360" w:lineRule="auto"/>
        <w:ind w:firstLine="480" w:firstLineChars="200"/>
        <w:rPr>
          <w:rFonts w:ascii="仿宋" w:hAnsi="仿宋" w:eastAsia="仿宋" w:cs="仿宋"/>
          <w:position w:val="17"/>
          <w:sz w:val="24"/>
          <w:szCs w:val="24"/>
          <w:lang w:eastAsia="zh-CN"/>
        </w:rPr>
      </w:pPr>
      <w:r>
        <w:rPr>
          <w:rFonts w:hint="eastAsia" w:ascii="仿宋" w:hAnsi="仿宋" w:eastAsia="仿宋" w:cs="仿宋"/>
          <w:position w:val="17"/>
          <w:sz w:val="24"/>
          <w:szCs w:val="24"/>
          <w:lang w:eastAsia="zh-CN"/>
        </w:rPr>
        <w:t>3、资金来源：财政资金</w:t>
      </w:r>
    </w:p>
    <w:p w14:paraId="440DE244">
      <w:pPr>
        <w:pStyle w:val="14"/>
        <w:widowControl w:val="0"/>
        <w:kinsoku/>
        <w:autoSpaceDE/>
        <w:autoSpaceDN/>
        <w:adjustRightInd/>
        <w:snapToGrid/>
        <w:spacing w:line="360" w:lineRule="auto"/>
        <w:ind w:firstLine="482" w:firstLineChars="200"/>
        <w:textAlignment w:val="auto"/>
        <w:rPr>
          <w:rFonts w:ascii="仿宋" w:hAnsi="仿宋" w:eastAsia="仿宋" w:cs="仿宋"/>
          <w:b/>
          <w:bCs/>
          <w:position w:val="17"/>
          <w:sz w:val="24"/>
          <w:szCs w:val="24"/>
          <w:highlight w:val="none"/>
          <w:lang w:eastAsia="zh-CN"/>
        </w:rPr>
      </w:pPr>
      <w:r>
        <w:rPr>
          <w:rFonts w:hint="eastAsia" w:ascii="仿宋" w:hAnsi="仿宋" w:eastAsia="仿宋" w:cs="仿宋"/>
          <w:b/>
          <w:bCs/>
          <w:position w:val="17"/>
          <w:sz w:val="24"/>
          <w:szCs w:val="24"/>
          <w:highlight w:val="none"/>
          <w:lang w:eastAsia="zh-CN"/>
        </w:rPr>
        <w:t>二、</w:t>
      </w:r>
      <w:r>
        <w:rPr>
          <w:rFonts w:hint="eastAsia" w:ascii="仿宋" w:hAnsi="仿宋" w:eastAsia="仿宋" w:cs="仿宋"/>
          <w:b/>
          <w:bCs/>
          <w:position w:val="17"/>
          <w:sz w:val="24"/>
          <w:szCs w:val="24"/>
          <w:highlight w:val="none"/>
          <w:lang w:val="en-US" w:eastAsia="zh-CN"/>
        </w:rPr>
        <w:t>服务技术要求</w:t>
      </w:r>
    </w:p>
    <w:p w14:paraId="1E2F9E88">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、维保范围及内容</w:t>
      </w:r>
    </w:p>
    <w:p w14:paraId="0210A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）前端设备</w:t>
      </w:r>
      <w:r>
        <w:rPr>
          <w:rFonts w:hint="eastAsia" w:ascii="仿宋" w:hAnsi="仿宋" w:eastAsia="仿宋" w:cs="仿宋"/>
          <w:sz w:val="24"/>
          <w:szCs w:val="24"/>
          <w:lang w:val="en-US" w:eastAsia="zh-CN"/>
        </w:rPr>
        <w:t>维保</w:t>
      </w:r>
    </w:p>
    <w:p w14:paraId="65B1A5E3">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覆盖西平县城区及各乡镇的公安前端设备，具体包含高清监控设备共计1</w:t>
      </w:r>
      <w:r>
        <w:rPr>
          <w:rFonts w:hint="eastAsia" w:ascii="仿宋" w:hAnsi="仿宋" w:eastAsia="仿宋" w:cs="仿宋"/>
          <w:sz w:val="24"/>
          <w:szCs w:val="24"/>
          <w:lang w:val="en-US" w:eastAsia="zh-CN"/>
        </w:rPr>
        <w:t>957</w:t>
      </w:r>
      <w:r>
        <w:rPr>
          <w:rFonts w:hint="eastAsia" w:ascii="仿宋" w:hAnsi="仿宋" w:eastAsia="仿宋" w:cs="仿宋"/>
          <w:sz w:val="24"/>
          <w:szCs w:val="24"/>
          <w:lang w:eastAsia="zh-CN"/>
        </w:rPr>
        <w:t>路/处（</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城区监控</w:t>
      </w:r>
      <w:r>
        <w:rPr>
          <w:rFonts w:hint="eastAsia" w:ascii="仿宋" w:hAnsi="仿宋" w:eastAsia="仿宋" w:cs="仿宋"/>
          <w:sz w:val="24"/>
          <w:szCs w:val="24"/>
          <w:lang w:val="en-US" w:eastAsia="zh-CN"/>
        </w:rPr>
        <w:t>535</w:t>
      </w:r>
      <w:r>
        <w:rPr>
          <w:rFonts w:hint="eastAsia" w:ascii="仿宋" w:hAnsi="仿宋" w:eastAsia="仿宋" w:cs="仿宋"/>
          <w:sz w:val="24"/>
          <w:szCs w:val="24"/>
          <w:lang w:eastAsia="zh-CN"/>
        </w:rPr>
        <w:t>路、乡镇监控813路、两河监控230路、人脸识别系统</w:t>
      </w:r>
      <w:r>
        <w:rPr>
          <w:rFonts w:hint="eastAsia" w:ascii="仿宋" w:hAnsi="仿宋" w:eastAsia="仿宋" w:cs="仿宋"/>
          <w:sz w:val="24"/>
          <w:szCs w:val="24"/>
          <w:lang w:val="en-US" w:eastAsia="zh-CN"/>
        </w:rPr>
        <w:t>设备</w:t>
      </w: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5路、铁路沿线监控设备</w:t>
      </w:r>
      <w:r>
        <w:rPr>
          <w:rFonts w:hint="eastAsia" w:ascii="仿宋" w:hAnsi="仿宋" w:eastAsia="仿宋" w:cs="仿宋"/>
          <w:sz w:val="24"/>
          <w:szCs w:val="24"/>
          <w:lang w:val="en-US" w:eastAsia="zh-CN"/>
        </w:rPr>
        <w:t>12路、</w:t>
      </w:r>
      <w:r>
        <w:rPr>
          <w:rFonts w:hint="eastAsia" w:ascii="仿宋" w:hAnsi="仿宋" w:eastAsia="仿宋" w:cs="仿宋"/>
          <w:sz w:val="24"/>
          <w:szCs w:val="24"/>
          <w:lang w:eastAsia="zh-CN"/>
        </w:rPr>
        <w:t>微卡口110路，以及卡口抓拍设备</w:t>
      </w:r>
      <w:r>
        <w:rPr>
          <w:rFonts w:hint="eastAsia" w:ascii="仿宋" w:hAnsi="仿宋" w:eastAsia="仿宋" w:cs="仿宋"/>
          <w:sz w:val="24"/>
          <w:szCs w:val="24"/>
          <w:lang w:val="en-US" w:eastAsia="zh-CN"/>
        </w:rPr>
        <w:t>共92</w:t>
      </w:r>
      <w:r>
        <w:rPr>
          <w:rFonts w:hint="eastAsia" w:ascii="仿宋" w:hAnsi="仿宋" w:eastAsia="仿宋" w:cs="仿宋"/>
          <w:sz w:val="24"/>
          <w:szCs w:val="24"/>
          <w:lang w:eastAsia="zh-CN"/>
        </w:rPr>
        <w:t>套）（含电费）。</w:t>
      </w:r>
    </w:p>
    <w:p w14:paraId="6E7C8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交通管理设备方面，交通信号灯系统8</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个路口、电子警察系统14个路口、（</w:t>
      </w:r>
      <w:r>
        <w:rPr>
          <w:rFonts w:hint="eastAsia" w:ascii="仿宋" w:hAnsi="仿宋" w:eastAsia="仿宋" w:cs="仿宋"/>
          <w:sz w:val="24"/>
          <w:szCs w:val="24"/>
          <w:lang w:val="en-US" w:eastAsia="zh-CN"/>
        </w:rPr>
        <w:t>原</w:t>
      </w:r>
      <w:r>
        <w:rPr>
          <w:rFonts w:hint="eastAsia" w:ascii="仿宋" w:hAnsi="仿宋" w:eastAsia="仿宋" w:cs="仿宋"/>
          <w:sz w:val="24"/>
          <w:szCs w:val="24"/>
          <w:lang w:eastAsia="zh-CN"/>
        </w:rPr>
        <w:t>）违停抓拍系统70处、超速抓拍系统2处，6处行人闯红灯抓拍设备40路、户外高清LED大屏6套、</w:t>
      </w:r>
      <w:r>
        <w:rPr>
          <w:rFonts w:hint="eastAsia" w:ascii="仿宋" w:hAnsi="仿宋" w:eastAsia="仿宋" w:cs="仿宋"/>
          <w:sz w:val="24"/>
          <w:szCs w:val="24"/>
          <w:lang w:val="en-US" w:eastAsia="zh-CN"/>
        </w:rPr>
        <w:t>恶劣</w:t>
      </w:r>
      <w:r>
        <w:rPr>
          <w:rFonts w:hint="eastAsia" w:ascii="仿宋" w:hAnsi="仿宋" w:eastAsia="仿宋" w:cs="仿宋"/>
          <w:sz w:val="24"/>
          <w:szCs w:val="24"/>
          <w:lang w:eastAsia="zh-CN"/>
        </w:rPr>
        <w:t>天气高影响路段监测系统设备一批，以及国道电子警察抓拍系统6个路口、反向卡口抓拍设备6个路口、区间测速设备8套、逆行抓拍设备8套等（含电费）。</w:t>
      </w:r>
    </w:p>
    <w:p w14:paraId="58168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特定区域</w:t>
      </w:r>
      <w:r>
        <w:rPr>
          <w:rFonts w:hint="eastAsia" w:ascii="仿宋" w:hAnsi="仿宋" w:eastAsia="仿宋" w:cs="仿宋"/>
          <w:sz w:val="24"/>
          <w:szCs w:val="24"/>
          <w:lang w:val="en-US" w:eastAsia="zh-CN"/>
        </w:rPr>
        <w:t>设备</w:t>
      </w:r>
      <w:r>
        <w:rPr>
          <w:rFonts w:hint="eastAsia" w:ascii="仿宋" w:hAnsi="仿宋" w:eastAsia="仿宋" w:cs="仿宋"/>
          <w:sz w:val="24"/>
          <w:szCs w:val="24"/>
          <w:lang w:eastAsia="zh-CN"/>
        </w:rPr>
        <w:t>维保：</w:t>
      </w:r>
    </w:p>
    <w:p w14:paraId="6466F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针对公安看守所、拘留所实施400余路监控的专项维护，同时涵盖局机关院内楼层及办案中心120路监控、高空瞭望设备2路、布控球机3路、社区监控27路（</w:t>
      </w:r>
      <w:r>
        <w:rPr>
          <w:rFonts w:hint="eastAsia" w:ascii="仿宋" w:hAnsi="仿宋" w:eastAsia="仿宋" w:cs="仿宋"/>
          <w:sz w:val="24"/>
          <w:szCs w:val="24"/>
          <w:lang w:val="en-US" w:eastAsia="zh-CN"/>
        </w:rPr>
        <w:t>不含</w:t>
      </w:r>
      <w:r>
        <w:rPr>
          <w:rFonts w:hint="eastAsia" w:ascii="仿宋" w:hAnsi="仿宋" w:eastAsia="仿宋" w:cs="仿宋"/>
          <w:sz w:val="24"/>
          <w:szCs w:val="24"/>
          <w:lang w:eastAsia="zh-CN"/>
        </w:rPr>
        <w:t>电费）。</w:t>
      </w:r>
    </w:p>
    <w:p w14:paraId="06B796C0">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）中心管理平台系统</w:t>
      </w:r>
      <w:r>
        <w:rPr>
          <w:rFonts w:hint="eastAsia" w:ascii="仿宋" w:hAnsi="仿宋" w:eastAsia="仿宋" w:cs="仿宋"/>
          <w:sz w:val="24"/>
          <w:szCs w:val="24"/>
          <w:lang w:val="en-US" w:eastAsia="zh-CN"/>
        </w:rPr>
        <w:t>及设备技术</w:t>
      </w:r>
      <w:r>
        <w:rPr>
          <w:rFonts w:hint="eastAsia" w:ascii="仿宋" w:hAnsi="仿宋" w:eastAsia="仿宋" w:cs="仿宋"/>
          <w:sz w:val="24"/>
          <w:szCs w:val="24"/>
          <w:lang w:eastAsia="zh-CN"/>
        </w:rPr>
        <w:t>保障：</w:t>
      </w:r>
    </w:p>
    <w:p w14:paraId="51926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全面维护包含公安综合监控管理平台系统及相关设备、交通综合管理平台系统及相关设备、公安三合一作战平台系统及相关设备、公安高清视频会议系统及相关设备、公安户籍管理系统及相关设备、公安加密会议室系统及相关设备、110会议室及110指挥调度中心系统及设备、执法办案中心审讯系统/远程提讯系统/办案中心LED大屏等设备、公安内网、局机关大楼LED屏等设备（</w:t>
      </w:r>
      <w:r>
        <w:rPr>
          <w:rFonts w:hint="eastAsia" w:ascii="仿宋" w:hAnsi="仿宋" w:eastAsia="仿宋" w:cs="仿宋"/>
          <w:sz w:val="24"/>
          <w:szCs w:val="24"/>
          <w:lang w:val="en-US" w:eastAsia="zh-CN"/>
        </w:rPr>
        <w:t>不含</w:t>
      </w:r>
      <w:r>
        <w:rPr>
          <w:rFonts w:hint="eastAsia" w:ascii="仿宋" w:hAnsi="仿宋" w:eastAsia="仿宋" w:cs="仿宋"/>
          <w:sz w:val="24"/>
          <w:szCs w:val="24"/>
          <w:lang w:eastAsia="zh-CN"/>
        </w:rPr>
        <w:t>电费）。</w:t>
      </w:r>
    </w:p>
    <w:p w14:paraId="71596604">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）电费专项：</w:t>
      </w:r>
    </w:p>
    <w:p w14:paraId="76984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负责其他抓拍设备44处、电子围栏30处的电费缴纳。</w:t>
      </w:r>
    </w:p>
    <w:p w14:paraId="73D20D09">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、服务期限</w:t>
      </w:r>
    </w:p>
    <w:p w14:paraId="61F72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服务期限为一年（共计12个月），自合同签订之日起生效。</w:t>
      </w:r>
    </w:p>
    <w:p w14:paraId="3C2845B3">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、服务标准与要求</w:t>
      </w:r>
    </w:p>
    <w:p w14:paraId="25D3F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人员组织要求</w:t>
      </w:r>
      <w:r>
        <w:rPr>
          <w:rFonts w:hint="eastAsia" w:ascii="仿宋" w:hAnsi="仿宋" w:eastAsia="仿宋" w:cs="仿宋"/>
          <w:sz w:val="24"/>
          <w:szCs w:val="24"/>
          <w:lang w:eastAsia="zh-CN"/>
        </w:rPr>
        <w:t>：维保方需在项目所在地设立专门的维保服务机构，常驻维护人员不少于1</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人，同时根据实际需求灵活调配机动人员以应对特殊情况。</w:t>
      </w:r>
    </w:p>
    <w:p w14:paraId="6C1FA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维保车辆配置：维保方应配备不低于4辆维保应急检修抢修车，确保快速响应与高效抢修。</w:t>
      </w:r>
    </w:p>
    <w:p w14:paraId="3A52D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响应时间与故障修复效率：实行365天×24小时全天候服务模式，确保随时接听报修电话并迅速响应。对于一般故障，在12小时内完成修复；较大故障则需在24小时内解决。如遇不可抗力或特殊因素导致无法按时修复时，应及时报告并详细说明原因。</w:t>
      </w:r>
    </w:p>
    <w:p w14:paraId="28A1A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维保服务模式：包括执行业主方指派的检修任务、根据平台设备故障情况调度巡检维护人员现场排查处理、维保人员日常巡检中主动发现并处理设备故障，以及紧急故障事件的即时抢修。</w:t>
      </w:r>
    </w:p>
    <w:p w14:paraId="527D5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保密要求：在整个维护过程中，必须对数据、视频等敏感资料严格保密，严禁泄露给任何第三方。</w:t>
      </w:r>
    </w:p>
    <w:p w14:paraId="18800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建立维保台账：做好巡检记录等资料，应有相关维修维护记录作为档案保存。</w:t>
      </w:r>
    </w:p>
    <w:p w14:paraId="2A1AC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故障设备更换：</w:t>
      </w:r>
      <w:r>
        <w:rPr>
          <w:rFonts w:hint="eastAsia" w:ascii="仿宋" w:hAnsi="仿宋" w:eastAsia="仿宋" w:cs="仿宋"/>
          <w:sz w:val="24"/>
          <w:szCs w:val="24"/>
          <w:lang w:val="en-US" w:eastAsia="zh-CN"/>
        </w:rPr>
        <w:t>维保</w:t>
      </w:r>
      <w:r>
        <w:rPr>
          <w:rFonts w:hint="eastAsia" w:ascii="仿宋" w:hAnsi="仿宋" w:eastAsia="仿宋" w:cs="仿宋"/>
          <w:sz w:val="24"/>
          <w:szCs w:val="24"/>
          <w:lang w:eastAsia="zh-CN"/>
        </w:rPr>
        <w:t>过程中如设备无法修复，需要更换设备或配件，维保方应及时报告</w:t>
      </w:r>
      <w:r>
        <w:rPr>
          <w:rFonts w:hint="eastAsia" w:ascii="仿宋" w:hAnsi="仿宋" w:eastAsia="仿宋" w:cs="仿宋"/>
          <w:sz w:val="24"/>
          <w:szCs w:val="24"/>
          <w:lang w:val="en-US" w:eastAsia="zh-CN"/>
        </w:rPr>
        <w:t>招标</w:t>
      </w:r>
      <w:r>
        <w:rPr>
          <w:rFonts w:hint="eastAsia" w:ascii="仿宋" w:hAnsi="仿宋" w:eastAsia="仿宋" w:cs="仿宋"/>
          <w:sz w:val="24"/>
          <w:szCs w:val="24"/>
          <w:lang w:eastAsia="zh-CN"/>
        </w:rPr>
        <w:t>人并说明情况，备品备件由</w:t>
      </w:r>
      <w:r>
        <w:rPr>
          <w:rFonts w:hint="eastAsia" w:ascii="仿宋" w:hAnsi="仿宋" w:eastAsia="仿宋" w:cs="仿宋"/>
          <w:sz w:val="24"/>
          <w:szCs w:val="24"/>
          <w:lang w:val="en-US" w:eastAsia="zh-CN"/>
        </w:rPr>
        <w:t>招标</w:t>
      </w:r>
      <w:r>
        <w:rPr>
          <w:rFonts w:hint="eastAsia" w:ascii="仿宋" w:hAnsi="仿宋" w:eastAsia="仿宋" w:cs="仿宋"/>
          <w:sz w:val="24"/>
          <w:szCs w:val="24"/>
          <w:lang w:eastAsia="zh-CN"/>
        </w:rPr>
        <w:t>人自行购买或根据故障紧急程度委托维保方购买。</w:t>
      </w:r>
    </w:p>
    <w:p w14:paraId="42EB0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仿宋" w:hAnsi="仿宋" w:eastAsia="仿宋" w:cs="仿宋"/>
          <w:sz w:val="24"/>
          <w:szCs w:val="24"/>
          <w:lang w:eastAsia="zh-CN"/>
        </w:rPr>
        <w:t>应急备品备件保障：为保障重点点位视频监控的稳定性与连续性，</w:t>
      </w:r>
      <w:r>
        <w:rPr>
          <w:rFonts w:hint="eastAsia" w:ascii="仿宋" w:hAnsi="仿宋" w:eastAsia="仿宋" w:cs="仿宋"/>
          <w:sz w:val="24"/>
          <w:szCs w:val="24"/>
          <w:lang w:val="en-US" w:eastAsia="zh-CN"/>
        </w:rPr>
        <w:t>为</w:t>
      </w:r>
      <w:r>
        <w:rPr>
          <w:rFonts w:hint="eastAsia" w:ascii="仿宋" w:hAnsi="仿宋" w:eastAsia="仿宋" w:cs="仿宋"/>
          <w:sz w:val="24"/>
          <w:szCs w:val="24"/>
          <w:lang w:eastAsia="zh-CN"/>
        </w:rPr>
        <w:t>预防潜在或突发性故障风险，维保方需提供一定数量的应急备品备件（</w:t>
      </w:r>
      <w:r>
        <w:rPr>
          <w:rFonts w:hint="eastAsia" w:ascii="仿宋" w:hAnsi="仿宋" w:eastAsia="仿宋" w:cs="仿宋"/>
          <w:sz w:val="24"/>
          <w:szCs w:val="24"/>
          <w:lang w:val="en-US" w:eastAsia="zh-CN"/>
        </w:rPr>
        <w:t>详见</w:t>
      </w:r>
      <w:r>
        <w:rPr>
          <w:rFonts w:hint="eastAsia" w:ascii="仿宋" w:hAnsi="仿宋" w:eastAsia="仿宋" w:cs="仿宋"/>
          <w:sz w:val="24"/>
          <w:szCs w:val="24"/>
          <w:lang w:eastAsia="zh-CN"/>
        </w:rPr>
        <w:t>清单）。</w:t>
      </w:r>
    </w:p>
    <w:tbl>
      <w:tblPr>
        <w:tblStyle w:val="16"/>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6"/>
        <w:gridCol w:w="1184"/>
        <w:gridCol w:w="6288"/>
        <w:gridCol w:w="726"/>
      </w:tblGrid>
      <w:tr w14:paraId="023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00" w:type="pct"/>
            <w:gridSpan w:val="4"/>
            <w:shd w:val="clear" w:color="auto" w:fill="auto"/>
            <w:vAlign w:val="center"/>
          </w:tcPr>
          <w:p w14:paraId="0635B4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000000"/>
                <w:sz w:val="24"/>
                <w:szCs w:val="24"/>
                <w:u w:val="none"/>
                <w:lang w:val="en-US" w:eastAsia="zh-CN"/>
              </w:rPr>
            </w:pPr>
            <w:r>
              <w:rPr>
                <w:rFonts w:hint="eastAsia" w:ascii="仿宋" w:hAnsi="仿宋" w:eastAsia="仿宋" w:cs="仿宋"/>
                <w:b w:val="0"/>
                <w:bCs w:val="0"/>
                <w:i w:val="0"/>
                <w:iCs w:val="0"/>
                <w:color w:val="000000"/>
                <w:kern w:val="0"/>
                <w:sz w:val="24"/>
                <w:szCs w:val="24"/>
                <w:u w:val="none"/>
                <w:lang w:val="en-US" w:eastAsia="zh-CN" w:bidi="ar"/>
              </w:rPr>
              <w:t>应急备品备件清单</w:t>
            </w:r>
          </w:p>
        </w:tc>
      </w:tr>
      <w:tr w14:paraId="1CD6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65A1A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62" w:type="pct"/>
            <w:shd w:val="clear" w:color="auto" w:fill="auto"/>
            <w:vAlign w:val="center"/>
          </w:tcPr>
          <w:p w14:paraId="262E573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3515" w:type="pct"/>
            <w:shd w:val="clear" w:color="auto" w:fill="auto"/>
            <w:vAlign w:val="center"/>
          </w:tcPr>
          <w:p w14:paraId="1F54739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技术指标</w:t>
            </w:r>
          </w:p>
        </w:tc>
        <w:tc>
          <w:tcPr>
            <w:tcW w:w="404" w:type="pct"/>
            <w:shd w:val="clear" w:color="auto" w:fill="auto"/>
            <w:vAlign w:val="center"/>
          </w:tcPr>
          <w:p w14:paraId="067513C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数量单位</w:t>
            </w:r>
          </w:p>
        </w:tc>
      </w:tr>
      <w:tr w14:paraId="41C3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7" w:type="pct"/>
            <w:shd w:val="clear" w:color="auto" w:fill="auto"/>
            <w:vAlign w:val="center"/>
          </w:tcPr>
          <w:p w14:paraId="33B0A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2" w:type="pct"/>
            <w:shd w:val="clear" w:color="auto" w:fill="auto"/>
            <w:vAlign w:val="center"/>
          </w:tcPr>
          <w:p w14:paraId="757A8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（全结构）全彩枪球一体机</w:t>
            </w:r>
          </w:p>
        </w:tc>
        <w:tc>
          <w:tcPr>
            <w:tcW w:w="3515" w:type="pct"/>
            <w:shd w:val="clear" w:color="auto" w:fill="auto"/>
            <w:vAlign w:val="center"/>
          </w:tcPr>
          <w:p w14:paraId="478204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1、摄像机内置不少于3个镜头，可输出至少一路全景视频和一路细节视频，其中全景路内置不少于2个镜头，细节路内置1个镜头；全景路视频分辨率不小于3840 × 1080，细节路视频分辨率不小于2560x1440。</w:t>
            </w:r>
          </w:p>
          <w:p w14:paraId="3B6D54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2、全景通道内置2个镜头，光圈不小于F1.0，具有不小于1/1.8靶面尺寸，内置4颗补光灯。</w:t>
            </w:r>
          </w:p>
          <w:p w14:paraId="225B9C5F">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3、细节通道内置镜头，具备不小于1/1.8靶面尺寸，内置10颗红外补光灯及1颗白光灯。</w:t>
            </w:r>
          </w:p>
          <w:p w14:paraId="50476FF7">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4、细节通道内置镜头，支持不小于32倍光学变倍，镜头最大焦距不小于188mm。</w:t>
            </w:r>
          </w:p>
          <w:p w14:paraId="651C044E">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5、全景通道可输出两个镜头无缝拼接的全景图像，拼接偏差像素不大于4个像素，全景画面水平视场角不小于192°。</w:t>
            </w:r>
          </w:p>
          <w:p w14:paraId="2277B1DF">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6、全景通道可进行垂直旋转，旋转范围不低于10°可调。</w:t>
            </w:r>
          </w:p>
          <w:p w14:paraId="776179DD">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7、摄像机可在预览画面及抓拍图片中叠加人员和车辆的移动轨迹，轨迹颜色支持红色、黄色、蓝色、绿色、及紫色，轨迹末尾具有一个方向箭头，指向目标离开的方向，抓拍图片大小不大于500KB。</w:t>
            </w:r>
          </w:p>
          <w:p w14:paraId="5DFF98B2">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8、红外距离不小于200米。</w:t>
            </w:r>
          </w:p>
          <w:p w14:paraId="46F772CB">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9、具有设备抓包功能，可判断是否有磁盘和录像剩余空间是否不足。支持配置抓包时长、输出路径、网卡类型、IP、端口等，若录像剩余空间不足 50%或者磁盘不存在，弹出提示“当前选中的磁盘空间不足，请先格式化磁盘或调整抓包输出路径”;若录像剩余空间超过 50%，则停止录像功能并输出抓包文件。</w:t>
            </w:r>
          </w:p>
          <w:p w14:paraId="49970CB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10、支持水平旋转范围360°连续旋转，垂直旋转范围-20°~90°。</w:t>
            </w:r>
          </w:p>
          <w:p w14:paraId="652900C7">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11、具备声音报警功能，可设置11种警戒音、提示音、自定义语音，报警次数1～50次可设；可通过区域入侵侦测、越界侦测、进入区域侦测、离开区域侦测等报警事件，联动声音报警。</w:t>
            </w:r>
          </w:p>
          <w:p w14:paraId="2B6FB4C6">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12、内置不少于2个GPU芯片。</w:t>
            </w:r>
          </w:p>
          <w:p w14:paraId="7F1FB591">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13、支持同时检测监控场景内出现的不少于30张人脸，并可进行抓拍。。</w:t>
            </w:r>
          </w:p>
          <w:p w14:paraId="1C6F80B3">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14、支持7路报警输入接口，2路报警输出接口，支持1路音频输入和输出接口。</w:t>
            </w:r>
          </w:p>
          <w:p w14:paraId="064ACCF9">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15、支持数据感知功能，可同时支持3路web监听通道，设备响应web端发送的查询请求，并返回对应的感知数据；断网重连后，报警信息可继续上传。</w:t>
            </w:r>
          </w:p>
          <w:p w14:paraId="4A37296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16、支持GB35114安全加密。</w:t>
            </w:r>
          </w:p>
          <w:p w14:paraId="798A22FF">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17、IP67；6000 V防雷、防浪涌、防突波，符合GB/T17626.2/3/4/5/6四级标准。</w:t>
            </w:r>
          </w:p>
        </w:tc>
        <w:tc>
          <w:tcPr>
            <w:tcW w:w="404" w:type="pct"/>
            <w:shd w:val="clear" w:color="auto" w:fill="auto"/>
            <w:vAlign w:val="center"/>
          </w:tcPr>
          <w:p w14:paraId="4BD91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5台</w:t>
            </w:r>
          </w:p>
        </w:tc>
      </w:tr>
      <w:tr w14:paraId="2A97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7" w:type="pct"/>
            <w:shd w:val="clear" w:color="auto" w:fill="auto"/>
            <w:vAlign w:val="center"/>
          </w:tcPr>
          <w:p w14:paraId="77F469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2" w:type="pct"/>
            <w:shd w:val="clear" w:color="auto" w:fill="auto"/>
            <w:vAlign w:val="center"/>
          </w:tcPr>
          <w:p w14:paraId="1A8D4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高清智能全结构枪机</w:t>
            </w:r>
          </w:p>
        </w:tc>
        <w:tc>
          <w:tcPr>
            <w:tcW w:w="3515" w:type="pct"/>
            <w:shd w:val="clear" w:color="auto" w:fill="auto"/>
            <w:vAlign w:val="center"/>
          </w:tcPr>
          <w:p w14:paraId="1031C7E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1、不低于400万像素，主码流支持2560×1440@25fps，子码流支持704×576@25fps，第三码流支持1920×1080@25fps。</w:t>
            </w:r>
          </w:p>
          <w:p w14:paraId="11DF1F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2、具有不小于1/1.8"英寸传感器。</w:t>
            </w:r>
          </w:p>
          <w:p w14:paraId="10BF20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3、最低照度彩色不大于0.0002lx，黑白不大于0.0001 lx。</w:t>
            </w:r>
          </w:p>
          <w:p w14:paraId="41CE41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4、内置2.7~13.5mm镜头，支持电动变焦。</w:t>
            </w:r>
          </w:p>
          <w:p w14:paraId="1923CFD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5、支持H.264、H.265、MJPEG视频编码格式，且具有High Profile编码能力。</w:t>
            </w:r>
          </w:p>
          <w:p w14:paraId="1DA82C8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6、内置GPU芯片。</w:t>
            </w:r>
          </w:p>
          <w:p w14:paraId="7554B2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周界防范功能，当区域入侵、越界侦测、进入区域、离开区域报警布防开启后，出现行人、非机动车、机动车目标时能触发报警，当检测区域中篮球滚动、小狗移动、树叶晃动及光线明暗变化时不会触发报警。</w:t>
            </w:r>
          </w:p>
          <w:p w14:paraId="616D9F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8、支持对两眼瞳距不小于40像素的人脸进行检验。</w:t>
            </w:r>
          </w:p>
          <w:p w14:paraId="142DED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9、支持侧脸过滤功能，可过滤与样机镜头呈上下、左右角度达到预设值的人脸。</w:t>
            </w:r>
          </w:p>
          <w:p w14:paraId="19926C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10、支持人数统计功能，可设置最多8个人数统计区域，区域名称可自定义；可设置人员密度报警、人数异常报警、停留时间异常报警，每个人数统计区域可设置最多3种报警类型。</w:t>
            </w:r>
          </w:p>
          <w:p w14:paraId="1E4709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11、支持IP67防尘防水。</w:t>
            </w:r>
          </w:p>
        </w:tc>
        <w:tc>
          <w:tcPr>
            <w:tcW w:w="404" w:type="pct"/>
            <w:shd w:val="clear" w:color="auto" w:fill="auto"/>
            <w:vAlign w:val="center"/>
          </w:tcPr>
          <w:p w14:paraId="0173B3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10台</w:t>
            </w:r>
          </w:p>
        </w:tc>
      </w:tr>
      <w:tr w14:paraId="77B9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24045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2" w:type="pct"/>
            <w:shd w:val="clear" w:color="auto" w:fill="auto"/>
            <w:vAlign w:val="center"/>
          </w:tcPr>
          <w:p w14:paraId="53FE51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高清智能网络摄像机</w:t>
            </w:r>
          </w:p>
        </w:tc>
        <w:tc>
          <w:tcPr>
            <w:tcW w:w="3515" w:type="pct"/>
            <w:shd w:val="clear" w:color="auto" w:fill="auto"/>
            <w:vAlign w:val="center"/>
          </w:tcPr>
          <w:p w14:paraId="7974FC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1、不低于400万像素，支持输出2560×1440@25fps主码流。</w:t>
            </w:r>
          </w:p>
          <w:p w14:paraId="13F5C10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2、具有不小于1/1.8"英寸传感器。</w:t>
            </w:r>
          </w:p>
          <w:p w14:paraId="15A4B4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3、最低照度：彩色不大于0.0002lx，黑白不大于0.0001lx。</w:t>
            </w:r>
          </w:p>
          <w:p w14:paraId="62ABE9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4、镜头焦距：2.8-12mm，支持电动变焦，光圈不小于F1.0。</w:t>
            </w:r>
          </w:p>
          <w:p w14:paraId="72E54B2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5、支持H.264、H.265、MJPEG视频压缩标准。</w:t>
            </w:r>
          </w:p>
          <w:p w14:paraId="2A475E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6、同一场景相同图像质量下设备在H.264或H.265编码时，开启智能编码和不开启智能编码相比，码率节约≥90%。</w:t>
            </w:r>
          </w:p>
          <w:p w14:paraId="62F5FE5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7、内置1颗CPU/GPU/NPU一体智能算法芯片。</w:t>
            </w:r>
          </w:p>
          <w:p w14:paraId="540511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8、当智能分析行为类型为区域入侵、越界入侵、进入区域、离开区域时，报警检测目标设置为人体和/或车辆时，在设定的检测区域内出现光线明暗变化、 篮球滚动、狗行走、树摇晃、旗帜飘动情况时，不触发报警。</w:t>
            </w:r>
          </w:p>
          <w:p w14:paraId="6F5F0F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9、内置1个麦克风，1个扬声器，支持1路报警输入，1路报警输出，1路音频输入，1路音频输出，1个RS485接口，支持DC12V/POE供电。</w:t>
            </w:r>
          </w:p>
          <w:p w14:paraId="72A0F6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10、支持不低于IP67防护等级。</w:t>
            </w:r>
          </w:p>
        </w:tc>
        <w:tc>
          <w:tcPr>
            <w:tcW w:w="404" w:type="pct"/>
            <w:shd w:val="clear" w:color="auto" w:fill="auto"/>
            <w:vAlign w:val="center"/>
          </w:tcPr>
          <w:p w14:paraId="2B299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4台</w:t>
            </w:r>
          </w:p>
        </w:tc>
      </w:tr>
      <w:tr w14:paraId="1AD2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2D4FE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2" w:type="pct"/>
            <w:shd w:val="clear" w:color="auto" w:fill="auto"/>
            <w:vAlign w:val="center"/>
          </w:tcPr>
          <w:p w14:paraId="0BAE50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摄像机专用球机电源</w:t>
            </w:r>
          </w:p>
        </w:tc>
        <w:tc>
          <w:tcPr>
            <w:tcW w:w="3515" w:type="pct"/>
            <w:shd w:val="clear" w:color="auto" w:fill="auto"/>
            <w:vAlign w:val="center"/>
          </w:tcPr>
          <w:p w14:paraId="003F8F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DC24V或DC36V电源适配器，根据具体设备类型确定。</w:t>
            </w:r>
          </w:p>
        </w:tc>
        <w:tc>
          <w:tcPr>
            <w:tcW w:w="404" w:type="pct"/>
            <w:shd w:val="clear" w:color="auto" w:fill="auto"/>
            <w:vAlign w:val="center"/>
          </w:tcPr>
          <w:p w14:paraId="344407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30个</w:t>
            </w:r>
          </w:p>
        </w:tc>
      </w:tr>
      <w:tr w14:paraId="4663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0A899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2" w:type="pct"/>
            <w:shd w:val="clear" w:color="auto" w:fill="auto"/>
            <w:vAlign w:val="center"/>
          </w:tcPr>
          <w:p w14:paraId="73F0E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摄像机专用枪机电源</w:t>
            </w:r>
          </w:p>
        </w:tc>
        <w:tc>
          <w:tcPr>
            <w:tcW w:w="3515" w:type="pct"/>
            <w:shd w:val="clear" w:color="auto" w:fill="auto"/>
            <w:vAlign w:val="center"/>
          </w:tcPr>
          <w:p w14:paraId="7437959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DC12V电源适配器</w:t>
            </w:r>
          </w:p>
          <w:p w14:paraId="08E54C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输入规格: AC176V~260V，50Hz，0.8A</w:t>
            </w:r>
          </w:p>
          <w:p w14:paraId="5D21E8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输出规格: 额定：DC12V/1.5A；最大：DC12V/2.0A</w:t>
            </w:r>
          </w:p>
          <w:p w14:paraId="572055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输入效率≥85.00%</w:t>
            </w:r>
          </w:p>
          <w:p w14:paraId="60CB10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负载调整率: ±5%</w:t>
            </w:r>
          </w:p>
          <w:p w14:paraId="68117A3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纹波/噪声: 150mVp-p</w:t>
            </w:r>
          </w:p>
          <w:p w14:paraId="52E6293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输出功率: 24W Max</w:t>
            </w:r>
          </w:p>
        </w:tc>
        <w:tc>
          <w:tcPr>
            <w:tcW w:w="404" w:type="pct"/>
            <w:shd w:val="clear" w:color="auto" w:fill="auto"/>
            <w:vAlign w:val="center"/>
          </w:tcPr>
          <w:p w14:paraId="16646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140个</w:t>
            </w:r>
          </w:p>
        </w:tc>
      </w:tr>
      <w:tr w14:paraId="411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60C74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2" w:type="pct"/>
            <w:shd w:val="clear" w:color="auto" w:fill="auto"/>
            <w:vAlign w:val="center"/>
          </w:tcPr>
          <w:p w14:paraId="4C91D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网络交换机</w:t>
            </w:r>
          </w:p>
        </w:tc>
        <w:tc>
          <w:tcPr>
            <w:tcW w:w="3515" w:type="pct"/>
            <w:shd w:val="clear" w:color="auto" w:fill="auto"/>
            <w:vAlign w:val="center"/>
          </w:tcPr>
          <w:p w14:paraId="0B54A9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1、交换容量≥ 600Gbps/6Tbps，包转发率≥200Mpps/360Mpps；</w:t>
            </w:r>
          </w:p>
          <w:p w14:paraId="07E7D5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2、千兆电口≥48个，万兆SFP+光口≥4个；Console口≥1个</w:t>
            </w:r>
          </w:p>
          <w:p w14:paraId="3D823B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3、支持MAC地址≥32K，支持4K个VLAN；</w:t>
            </w:r>
          </w:p>
          <w:p w14:paraId="35DD2B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4、支持IGMP v1/v2/v3 Snooping，支持STP、RSTP、MSTP协议，支持静态路由；</w:t>
            </w:r>
          </w:p>
          <w:p w14:paraId="29B8FE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5、支持IEEE 802.3az 标准的 EEE节能技术：当EEE使能时，从而大幅度的减小端口在该阶段的功耗，达到节能的目的。</w:t>
            </w:r>
          </w:p>
        </w:tc>
        <w:tc>
          <w:tcPr>
            <w:tcW w:w="404" w:type="pct"/>
            <w:shd w:val="clear" w:color="auto" w:fill="auto"/>
            <w:vAlign w:val="center"/>
          </w:tcPr>
          <w:p w14:paraId="11EA6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r>
      <w:tr w14:paraId="0BC3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17" w:type="pct"/>
            <w:shd w:val="clear" w:color="auto" w:fill="auto"/>
            <w:vAlign w:val="center"/>
          </w:tcPr>
          <w:p w14:paraId="3699694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62" w:type="pct"/>
            <w:shd w:val="clear" w:color="auto" w:fill="auto"/>
            <w:vAlign w:val="center"/>
          </w:tcPr>
          <w:p w14:paraId="29620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便携式调试终端</w:t>
            </w:r>
          </w:p>
        </w:tc>
        <w:tc>
          <w:tcPr>
            <w:tcW w:w="3515" w:type="pct"/>
            <w:shd w:val="clear" w:color="auto" w:fill="auto"/>
            <w:vAlign w:val="center"/>
          </w:tcPr>
          <w:p w14:paraId="0F316A8C">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1.处理器：制程≤7纳米、主频：≥2.3GHz、核心：≥6核、线程：≥12线程、三级缓存：≥16MB</w:t>
            </w:r>
          </w:p>
          <w:p w14:paraId="01F995D4">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2.内存：16G DDR4 3200MHz 内存</w:t>
            </w:r>
          </w:p>
          <w:p w14:paraId="4DC2D5F9">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3.显卡：AMD Radeon Vega显卡</w:t>
            </w:r>
          </w:p>
          <w:p w14:paraId="7226F35E">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4.声卡：集成音频设备，麦克风，扬声器</w:t>
            </w:r>
          </w:p>
          <w:p w14:paraId="4B002892">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5.硬盘：512G SSD M.2 2242 NVMe固态硬盘，支持双硬盘</w:t>
            </w:r>
          </w:p>
          <w:p w14:paraId="297399E2">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6.无线网卡：配置802.11 AX无线网卡（集成蓝牙功能）；最新WIFI6标准，2400Mbps传输速率</w:t>
            </w:r>
          </w:p>
          <w:p w14:paraId="68C3F0D3">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7.摄像头:720P高清摄像头，支持物理防窥功能，保护个人隐私</w:t>
            </w:r>
          </w:p>
          <w:p w14:paraId="2B10ACF1">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8.键盘:防泼溅键盘</w:t>
            </w:r>
          </w:p>
          <w:p w14:paraId="0CF2F99B">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9.读卡器：4合一读卡器</w:t>
            </w:r>
          </w:p>
          <w:p w14:paraId="2462510D">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10.指纹识别：自带指纹识别（指纹电源一体化）</w:t>
            </w:r>
          </w:p>
          <w:p w14:paraId="25B302A6">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11.接口：≥2个USB3.2 GEN1接口（支持关机充电），2个USB3.2 Gen2全功能Type-C接口（PD+DP），RJ45接口、HDMI输出接口；</w:t>
            </w:r>
          </w:p>
          <w:p w14:paraId="194EC3D7">
            <w:pPr>
              <w:tabs>
                <w:tab w:val="center" w:pos="6083"/>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12.显示屏:≥14" IPS 屏幕，300nits，100% sRGB 色域屏幕</w:t>
            </w:r>
          </w:p>
          <w:p w14:paraId="0C599E43">
            <w:pPr>
              <w:tabs>
                <w:tab w:val="center" w:pos="6083"/>
              </w:tabs>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13.电池：≥4芯60WH</w:t>
            </w:r>
          </w:p>
        </w:tc>
        <w:tc>
          <w:tcPr>
            <w:tcW w:w="404" w:type="pct"/>
            <w:shd w:val="clear" w:color="auto" w:fill="auto"/>
            <w:vAlign w:val="center"/>
          </w:tcPr>
          <w:p w14:paraId="34923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r>
      <w:tr w14:paraId="001A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7" w:hRule="atLeast"/>
          <w:jc w:val="center"/>
        </w:trPr>
        <w:tc>
          <w:tcPr>
            <w:tcW w:w="417" w:type="pct"/>
            <w:shd w:val="clear" w:color="auto" w:fill="auto"/>
            <w:vAlign w:val="center"/>
          </w:tcPr>
          <w:p w14:paraId="5D78162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62" w:type="pct"/>
            <w:shd w:val="clear" w:color="auto" w:fill="auto"/>
            <w:vAlign w:val="center"/>
          </w:tcPr>
          <w:p w14:paraId="79D1F31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终端安全管理系统</w:t>
            </w:r>
          </w:p>
        </w:tc>
        <w:tc>
          <w:tcPr>
            <w:tcW w:w="3515" w:type="pct"/>
            <w:shd w:val="clear" w:color="auto" w:fill="auto"/>
            <w:vAlign w:val="center"/>
          </w:tcPr>
          <w:p w14:paraId="3D76ED43">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支持启发式病毒扫描，全量级病毒库，可以确保客户端在断网状态下仍然具备病毒查杀能力，不依赖于云端病毒库。</w:t>
            </w:r>
          </w:p>
          <w:p w14:paraId="44613A91">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可以实时监控文件的修改进行病毒查杀；可以实时监控存储介质的连接进行病毒查杀；可以实时监控进程的执行进行病毒查杀。处理方式支持询问模式和自动处理两种方式。</w:t>
            </w:r>
          </w:p>
          <w:p w14:paraId="715FB45C">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支持将病毒放入隔离区，支持隔离区文件删除、恢复与误报还原。</w:t>
            </w:r>
          </w:p>
          <w:p w14:paraId="21318F6C">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支持自定义病毒处理方式，包括用户手动处理、自动处理模式。</w:t>
            </w:r>
          </w:p>
          <w:p w14:paraId="06ACB8FE">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支持内存病毒监控，可以自动清除或者删除病毒文件，并在隔离区中备份。</w:t>
            </w:r>
          </w:p>
          <w:p w14:paraId="18B2E2ED">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支持查杀DOS、Windows等系统的ZIP、GZIP、ARJ、CAB、RAR、LZH、UPX、ASPACK、FSG等多种压缩包裹格式的文件。</w:t>
            </w:r>
          </w:p>
          <w:p w14:paraId="677C2EE0">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支持对注册表、引导区监控。</w:t>
            </w:r>
          </w:p>
          <w:p w14:paraId="4540864F">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支持进行病毒库和程序离线升级（客户端页面导入离线升级包进行升级）。</w:t>
            </w:r>
          </w:p>
          <w:p w14:paraId="4CEEB3E0">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支持对磁盘引导区进行监控防护，防止引导区被篡改。</w:t>
            </w:r>
          </w:p>
        </w:tc>
        <w:tc>
          <w:tcPr>
            <w:tcW w:w="404" w:type="pct"/>
            <w:shd w:val="clear" w:color="auto" w:fill="auto"/>
            <w:vAlign w:val="center"/>
          </w:tcPr>
          <w:p w14:paraId="4B58017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1套</w:t>
            </w:r>
          </w:p>
        </w:tc>
      </w:tr>
    </w:tbl>
    <w:p w14:paraId="1CEC3731">
      <w:pPr>
        <w:spacing w:line="360" w:lineRule="auto"/>
        <w:ind w:firstLine="482" w:firstLineChars="200"/>
        <w:rPr>
          <w:rFonts w:ascii="仿宋" w:hAnsi="仿宋" w:eastAsia="仿宋" w:cs="仿宋"/>
          <w:b/>
          <w:bCs/>
          <w:position w:val="17"/>
          <w:sz w:val="24"/>
          <w:szCs w:val="24"/>
          <w:highlight w:val="yellow"/>
        </w:rPr>
      </w:pPr>
      <w:r>
        <w:rPr>
          <w:rFonts w:hint="eastAsia" w:ascii="仿宋" w:hAnsi="仿宋" w:eastAsia="仿宋" w:cs="仿宋"/>
          <w:b/>
          <w:bCs/>
          <w:position w:val="17"/>
          <w:sz w:val="24"/>
          <w:szCs w:val="24"/>
          <w:highlight w:val="none"/>
          <w:lang w:eastAsia="zh-CN"/>
        </w:rPr>
        <w:t>三</w:t>
      </w:r>
      <w:r>
        <w:rPr>
          <w:rFonts w:hint="eastAsia" w:ascii="仿宋" w:hAnsi="仿宋" w:eastAsia="仿宋" w:cs="仿宋"/>
          <w:b/>
          <w:bCs/>
          <w:position w:val="17"/>
          <w:sz w:val="24"/>
          <w:szCs w:val="24"/>
          <w:highlight w:val="none"/>
        </w:rPr>
        <w:t>、商务要求</w:t>
      </w:r>
    </w:p>
    <w:p w14:paraId="39860E76">
      <w:pPr>
        <w:spacing w:line="110" w:lineRule="exact"/>
        <w:rPr>
          <w:rFonts w:ascii="仿宋" w:hAnsi="仿宋" w:eastAsia="仿宋" w:cs="仿宋"/>
        </w:rPr>
      </w:pPr>
    </w:p>
    <w:tbl>
      <w:tblPr>
        <w:tblStyle w:val="21"/>
        <w:tblW w:w="50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43"/>
        <w:gridCol w:w="6337"/>
      </w:tblGrid>
      <w:tr w14:paraId="4D1E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9" w:type="pct"/>
            <w:vAlign w:val="center"/>
          </w:tcPr>
          <w:p w14:paraId="4F1250A3">
            <w:pPr>
              <w:pStyle w:val="22"/>
              <w:spacing w:before="154" w:line="220" w:lineRule="auto"/>
              <w:jc w:val="center"/>
              <w:rPr>
                <w:rFonts w:ascii="仿宋" w:hAnsi="仿宋" w:eastAsia="仿宋" w:cs="仿宋"/>
              </w:rPr>
            </w:pPr>
            <w:r>
              <w:rPr>
                <w:rFonts w:hint="eastAsia" w:ascii="仿宋" w:hAnsi="仿宋" w:eastAsia="仿宋" w:cs="仿宋"/>
              </w:rPr>
              <w:t>服务期限</w:t>
            </w:r>
          </w:p>
        </w:tc>
        <w:tc>
          <w:tcPr>
            <w:tcW w:w="3780" w:type="pct"/>
            <w:vAlign w:val="center"/>
          </w:tcPr>
          <w:p w14:paraId="4105B525">
            <w:pPr>
              <w:pStyle w:val="22"/>
              <w:spacing w:before="154" w:line="360" w:lineRule="auto"/>
              <w:jc w:val="both"/>
              <w:rPr>
                <w:rFonts w:ascii="仿宋" w:hAnsi="仿宋" w:eastAsia="仿宋" w:cs="仿宋"/>
                <w:lang w:eastAsia="zh-CN"/>
              </w:rPr>
            </w:pPr>
            <w:r>
              <w:rPr>
                <w:rFonts w:hint="eastAsia" w:ascii="仿宋" w:hAnsi="仿宋" w:eastAsia="仿宋" w:cs="仿宋"/>
                <w:lang w:val="en-US" w:eastAsia="zh-CN"/>
              </w:rPr>
              <w:t>一年</w:t>
            </w:r>
          </w:p>
        </w:tc>
      </w:tr>
      <w:tr w14:paraId="55B5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219" w:type="pct"/>
            <w:vAlign w:val="center"/>
          </w:tcPr>
          <w:p w14:paraId="550E0C49">
            <w:pPr>
              <w:pStyle w:val="22"/>
              <w:spacing w:before="118" w:line="220" w:lineRule="auto"/>
              <w:jc w:val="center"/>
              <w:rPr>
                <w:rFonts w:ascii="仿宋" w:hAnsi="仿宋" w:eastAsia="仿宋" w:cs="仿宋"/>
              </w:rPr>
            </w:pPr>
            <w:r>
              <w:rPr>
                <w:rFonts w:hint="eastAsia" w:ascii="仿宋" w:hAnsi="仿宋" w:eastAsia="仿宋" w:cs="仿宋"/>
              </w:rPr>
              <w:t>服务地点</w:t>
            </w:r>
          </w:p>
        </w:tc>
        <w:tc>
          <w:tcPr>
            <w:tcW w:w="3780" w:type="pct"/>
            <w:vAlign w:val="center"/>
          </w:tcPr>
          <w:p w14:paraId="642465B5">
            <w:pPr>
              <w:pStyle w:val="22"/>
              <w:adjustRightInd/>
              <w:snapToGrid/>
              <w:jc w:val="both"/>
              <w:rPr>
                <w:rFonts w:ascii="仿宋" w:hAnsi="仿宋" w:eastAsia="仿宋" w:cs="仿宋"/>
              </w:rPr>
            </w:pPr>
            <w:r>
              <w:rPr>
                <w:rFonts w:hint="eastAsia" w:ascii="仿宋" w:hAnsi="仿宋" w:eastAsia="仿宋" w:cs="仿宋"/>
                <w:lang w:eastAsia="zh-CN"/>
              </w:rPr>
              <w:t>招标人指定地点</w:t>
            </w:r>
            <w:r>
              <w:rPr>
                <w:rFonts w:hint="eastAsia" w:ascii="仿宋" w:hAnsi="仿宋" w:eastAsia="仿宋" w:cs="仿宋"/>
              </w:rPr>
              <w:t>。</w:t>
            </w:r>
          </w:p>
        </w:tc>
      </w:tr>
      <w:tr w14:paraId="03CD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219" w:type="pct"/>
            <w:vAlign w:val="center"/>
          </w:tcPr>
          <w:p w14:paraId="5E58382D">
            <w:pPr>
              <w:pStyle w:val="22"/>
              <w:spacing w:before="118" w:line="220" w:lineRule="auto"/>
              <w:jc w:val="center"/>
              <w:rPr>
                <w:rFonts w:hint="default" w:ascii="仿宋" w:hAnsi="仿宋" w:eastAsia="仿宋" w:cs="仿宋"/>
                <w:lang w:val="en-US" w:eastAsia="zh-CN"/>
              </w:rPr>
            </w:pPr>
            <w:r>
              <w:rPr>
                <w:rFonts w:hint="eastAsia" w:ascii="仿宋" w:hAnsi="仿宋" w:eastAsia="仿宋" w:cs="仿宋"/>
                <w:lang w:val="en-US" w:eastAsia="zh-CN"/>
              </w:rPr>
              <w:t>服务标准</w:t>
            </w:r>
          </w:p>
        </w:tc>
        <w:tc>
          <w:tcPr>
            <w:tcW w:w="3780" w:type="pct"/>
            <w:vAlign w:val="center"/>
          </w:tcPr>
          <w:p w14:paraId="0832CC3F">
            <w:pPr>
              <w:pStyle w:val="22"/>
              <w:adjustRightInd/>
              <w:snapToGrid/>
              <w:jc w:val="both"/>
              <w:rPr>
                <w:rFonts w:ascii="仿宋" w:hAnsi="仿宋" w:eastAsia="仿宋" w:cs="仿宋"/>
                <w:lang w:eastAsia="zh-CN"/>
              </w:rPr>
            </w:pPr>
            <w:r>
              <w:rPr>
                <w:rFonts w:hint="eastAsia" w:ascii="仿宋" w:hAnsi="仿宋" w:eastAsia="仿宋" w:cs="仿宋"/>
                <w:lang w:eastAsia="zh-CN"/>
              </w:rPr>
              <w:t>符合国家、行业标准、规范，满足</w:t>
            </w:r>
            <w:r>
              <w:rPr>
                <w:rFonts w:hint="eastAsia" w:ascii="仿宋" w:hAnsi="仿宋" w:eastAsia="仿宋" w:cs="仿宋"/>
                <w:lang w:val="en-US" w:eastAsia="zh-CN"/>
              </w:rPr>
              <w:t>招标人</w:t>
            </w:r>
            <w:r>
              <w:rPr>
                <w:rFonts w:hint="eastAsia" w:ascii="仿宋" w:hAnsi="仿宋" w:eastAsia="仿宋" w:cs="仿宋"/>
                <w:lang w:eastAsia="zh-CN"/>
              </w:rPr>
              <w:t>要求。</w:t>
            </w:r>
          </w:p>
        </w:tc>
      </w:tr>
      <w:tr w14:paraId="579C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219" w:type="pct"/>
            <w:vAlign w:val="center"/>
          </w:tcPr>
          <w:p w14:paraId="6904B4BC">
            <w:pPr>
              <w:pStyle w:val="22"/>
              <w:spacing w:before="99" w:line="222" w:lineRule="auto"/>
              <w:jc w:val="center"/>
              <w:rPr>
                <w:rFonts w:ascii="仿宋" w:hAnsi="仿宋" w:eastAsia="仿宋" w:cs="仿宋"/>
              </w:rPr>
            </w:pPr>
            <w:r>
              <w:rPr>
                <w:rFonts w:hint="eastAsia" w:ascii="仿宋" w:hAnsi="仿宋" w:eastAsia="仿宋" w:cs="仿宋"/>
              </w:rPr>
              <w:t>合同签订时间</w:t>
            </w:r>
          </w:p>
        </w:tc>
        <w:tc>
          <w:tcPr>
            <w:tcW w:w="3780" w:type="pct"/>
            <w:vAlign w:val="center"/>
          </w:tcPr>
          <w:p w14:paraId="68DAA942">
            <w:pPr>
              <w:pStyle w:val="22"/>
              <w:adjustRightInd/>
              <w:snapToGrid/>
              <w:jc w:val="both"/>
              <w:rPr>
                <w:rFonts w:ascii="仿宋" w:hAnsi="仿宋" w:eastAsia="仿宋" w:cs="仿宋"/>
                <w:lang w:eastAsia="zh-CN"/>
              </w:rPr>
            </w:pPr>
            <w:r>
              <w:rPr>
                <w:rFonts w:hint="eastAsia" w:ascii="仿宋" w:hAnsi="仿宋" w:eastAsia="仿宋" w:cs="仿宋"/>
                <w:lang w:eastAsia="zh-CN"/>
              </w:rPr>
              <w:t>中标通知书发出之日起2个工作日内。</w:t>
            </w:r>
          </w:p>
        </w:tc>
      </w:tr>
      <w:tr w14:paraId="4C47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219" w:type="pct"/>
            <w:vAlign w:val="center"/>
          </w:tcPr>
          <w:p w14:paraId="2A2B2D32">
            <w:pPr>
              <w:pStyle w:val="22"/>
              <w:spacing w:before="99" w:line="222"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付款方式</w:t>
            </w:r>
          </w:p>
        </w:tc>
        <w:tc>
          <w:tcPr>
            <w:tcW w:w="3780" w:type="pct"/>
            <w:vAlign w:val="center"/>
          </w:tcPr>
          <w:p w14:paraId="71B70E71">
            <w:pPr>
              <w:pStyle w:val="22"/>
              <w:adjustRightInd/>
              <w:snapToGrid/>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签订合同后一次性付清合同总价款的100%</w:t>
            </w:r>
          </w:p>
        </w:tc>
      </w:tr>
      <w:tr w14:paraId="3C3A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219" w:type="pct"/>
            <w:vAlign w:val="center"/>
          </w:tcPr>
          <w:p w14:paraId="078F2E35">
            <w:pPr>
              <w:pStyle w:val="22"/>
              <w:spacing w:before="99" w:line="222" w:lineRule="auto"/>
              <w:jc w:val="center"/>
              <w:rPr>
                <w:rFonts w:hint="default" w:ascii="仿宋" w:hAnsi="仿宋" w:eastAsia="仿宋" w:cs="仿宋"/>
                <w:lang w:val="en-US" w:eastAsia="zh-CN"/>
              </w:rPr>
            </w:pPr>
            <w:r>
              <w:rPr>
                <w:rFonts w:hint="eastAsia" w:ascii="仿宋" w:hAnsi="仿宋" w:eastAsia="仿宋" w:cs="仿宋"/>
                <w:lang w:val="en-US" w:eastAsia="zh-CN"/>
              </w:rPr>
              <w:t>质量要求</w:t>
            </w:r>
          </w:p>
        </w:tc>
        <w:tc>
          <w:tcPr>
            <w:tcW w:w="3780" w:type="pct"/>
            <w:vAlign w:val="center"/>
          </w:tcPr>
          <w:p w14:paraId="060E07E7">
            <w:pPr>
              <w:pStyle w:val="22"/>
              <w:adjustRightInd/>
              <w:snapToGrid/>
              <w:jc w:val="both"/>
              <w:rPr>
                <w:rFonts w:hint="default" w:ascii="仿宋" w:hAnsi="仿宋" w:eastAsia="仿宋" w:cs="仿宋"/>
                <w:lang w:val="en-US" w:eastAsia="zh-CN"/>
              </w:rPr>
            </w:pPr>
            <w:r>
              <w:rPr>
                <w:rFonts w:hint="eastAsia" w:ascii="仿宋" w:hAnsi="仿宋" w:eastAsia="仿宋" w:cs="仿宋"/>
                <w:lang w:val="en-US" w:eastAsia="zh-CN"/>
              </w:rPr>
              <w:t>合格，满足招标人要求。</w:t>
            </w:r>
          </w:p>
        </w:tc>
      </w:tr>
    </w:tbl>
    <w:p w14:paraId="5D84487B">
      <w:pPr>
        <w:rPr>
          <w:rFonts w:ascii="仿宋" w:hAnsi="仿宋" w:eastAsia="仿宋" w:cs="仿宋"/>
          <w:sz w:val="28"/>
          <w:szCs w:val="28"/>
          <w:lang w:eastAsia="zh-CN"/>
        </w:rPr>
      </w:pPr>
    </w:p>
    <w:p w14:paraId="67D98593">
      <w:pPr>
        <w:spacing w:line="360" w:lineRule="auto"/>
        <w:ind w:firstLine="482" w:firstLineChars="200"/>
        <w:rPr>
          <w:rFonts w:ascii="仿宋" w:hAnsi="仿宋" w:eastAsia="仿宋" w:cs="仿宋"/>
          <w:b/>
          <w:bCs/>
          <w:position w:val="17"/>
          <w:sz w:val="24"/>
          <w:szCs w:val="24"/>
          <w:lang w:eastAsia="zh-CN"/>
        </w:rPr>
      </w:pPr>
      <w:r>
        <w:rPr>
          <w:rFonts w:hint="eastAsia" w:ascii="仿宋" w:hAnsi="仿宋" w:eastAsia="仿宋" w:cs="仿宋"/>
          <w:b/>
          <w:bCs/>
          <w:position w:val="17"/>
          <w:sz w:val="24"/>
          <w:szCs w:val="24"/>
          <w:lang w:eastAsia="zh-CN"/>
        </w:rPr>
        <w:t>四、招标人对项目的特殊要求及说明</w:t>
      </w:r>
    </w:p>
    <w:p w14:paraId="22413500">
      <w:pPr>
        <w:spacing w:line="111" w:lineRule="exact"/>
        <w:rPr>
          <w:rFonts w:ascii="仿宋" w:hAnsi="仿宋" w:eastAsia="仿宋" w:cs="仿宋"/>
          <w:lang w:eastAsia="zh-CN"/>
        </w:rPr>
      </w:pPr>
    </w:p>
    <w:tbl>
      <w:tblPr>
        <w:tblStyle w:val="21"/>
        <w:tblW w:w="93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7811"/>
      </w:tblGrid>
      <w:tr w14:paraId="69CB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54" w:type="dxa"/>
            <w:vAlign w:val="center"/>
          </w:tcPr>
          <w:p w14:paraId="515EACCC">
            <w:pPr>
              <w:pStyle w:val="22"/>
              <w:spacing w:line="360" w:lineRule="auto"/>
              <w:jc w:val="center"/>
              <w:rPr>
                <w:rFonts w:ascii="仿宋" w:hAnsi="仿宋" w:eastAsia="仿宋" w:cs="仿宋"/>
                <w:lang w:eastAsia="zh-CN"/>
              </w:rPr>
            </w:pPr>
            <w:r>
              <w:rPr>
                <w:rFonts w:hint="eastAsia" w:ascii="仿宋" w:hAnsi="仿宋" w:eastAsia="仿宋" w:cs="仿宋"/>
                <w:lang w:eastAsia="zh-CN"/>
              </w:rPr>
              <w:t>招标人的特殊要求及说明理由</w:t>
            </w:r>
          </w:p>
        </w:tc>
        <w:tc>
          <w:tcPr>
            <w:tcW w:w="7811" w:type="dxa"/>
          </w:tcPr>
          <w:p w14:paraId="37CF27E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1.包括投标人特殊资格等要求。</w:t>
            </w:r>
          </w:p>
          <w:p w14:paraId="1B01E81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2.本项目是否收取履约保证金：否</w:t>
            </w:r>
          </w:p>
          <w:p w14:paraId="01FA68D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3.确定中标人和中标候选人：本项目评审（标）委员会根据全体评审（标）成员签字的原始评审（标）记录和评审（标）结果编写评审（标）报告，推荐两名中标候选人。招标代理机构应当履行核对评审（标）结果职责，并在评审评标结束后2个工作日内将评标报告通过公共资源电子交易系统提交招标人，招标人应当在收到评审报告1个工作日内通过公共资源电子交易系统线上确定中标人。 </w:t>
            </w:r>
          </w:p>
          <w:p w14:paraId="4FF65042">
            <w:pPr>
              <w:spacing w:line="360" w:lineRule="auto"/>
              <w:rPr>
                <w:rFonts w:ascii="仿宋" w:hAnsi="仿宋" w:eastAsia="仿宋" w:cs="仿宋"/>
                <w:lang w:eastAsia="zh-CN"/>
              </w:rPr>
            </w:pPr>
            <w:r>
              <w:rPr>
                <w:rFonts w:hint="eastAsia" w:ascii="仿宋" w:hAnsi="仿宋" w:eastAsia="仿宋" w:cs="仿宋"/>
                <w:sz w:val="24"/>
                <w:szCs w:val="24"/>
                <w:lang w:eastAsia="zh-CN"/>
              </w:rPr>
              <w:t>4.招标项目对应的企业划分标准所属行业为：</w:t>
            </w:r>
            <w:r>
              <w:rPr>
                <w:rFonts w:hint="eastAsia" w:ascii="仿宋" w:hAnsi="仿宋" w:eastAsia="仿宋" w:cs="仿宋"/>
                <w:sz w:val="24"/>
                <w:szCs w:val="24"/>
                <w:highlight w:val="none"/>
                <w:lang w:eastAsia="zh-CN"/>
              </w:rPr>
              <w:t>软件和信息技术服务业</w:t>
            </w:r>
            <w:r>
              <w:rPr>
                <w:rFonts w:hint="eastAsia" w:ascii="仿宋" w:hAnsi="仿宋" w:eastAsia="仿宋" w:cs="仿宋"/>
                <w:sz w:val="24"/>
                <w:szCs w:val="24"/>
                <w:lang w:eastAsia="zh-CN"/>
              </w:rPr>
              <w:t>。</w:t>
            </w:r>
          </w:p>
        </w:tc>
      </w:tr>
    </w:tbl>
    <w:p w14:paraId="33EDB5FE">
      <w:pPr>
        <w:rPr>
          <w:rFonts w:ascii="仿宋" w:hAnsi="仿宋" w:eastAsia="仿宋" w:cs="仿宋"/>
          <w:lang w:eastAsia="zh-CN"/>
        </w:rPr>
        <w:sectPr>
          <w:footerReference r:id="rId5" w:type="default"/>
          <w:pgSz w:w="11906" w:h="16839"/>
          <w:pgMar w:top="1440" w:right="1803" w:bottom="1440" w:left="1803" w:header="0" w:footer="992" w:gutter="0"/>
          <w:cols w:space="720" w:num="1"/>
        </w:sectPr>
      </w:pPr>
    </w:p>
    <w:p w14:paraId="1BB40D9A">
      <w:pPr>
        <w:shd w:val="clear" w:color="auto" w:fill="FFFFFF"/>
        <w:kinsoku/>
        <w:wordWrap w:val="0"/>
        <w:spacing w:line="360" w:lineRule="auto"/>
        <w:rPr>
          <w:rFonts w:ascii="仿宋" w:hAnsi="仿宋" w:eastAsia="仿宋" w:cs="仿宋"/>
          <w:b/>
          <w:bCs/>
          <w:color w:val="auto"/>
          <w:sz w:val="24"/>
          <w:lang w:eastAsia="zh-CN"/>
        </w:rPr>
      </w:pPr>
      <w:r>
        <w:rPr>
          <w:rFonts w:hint="eastAsia" w:ascii="仿宋" w:hAnsi="仿宋" w:eastAsia="仿宋" w:cs="仿宋"/>
          <w:b/>
          <w:bCs/>
          <w:color w:val="auto"/>
          <w:sz w:val="24"/>
          <w:lang w:eastAsia="zh-CN"/>
        </w:rPr>
        <w:t>附件1：</w:t>
      </w:r>
    </w:p>
    <w:p w14:paraId="6A8E7F25">
      <w:pPr>
        <w:jc w:val="center"/>
        <w:rPr>
          <w:rFonts w:ascii="仿宋" w:hAnsi="仿宋" w:eastAsia="仿宋" w:cs="仿宋"/>
          <w:b/>
          <w:bCs/>
          <w:sz w:val="28"/>
          <w:szCs w:val="28"/>
          <w:lang w:eastAsia="zh-CN"/>
        </w:rPr>
      </w:pPr>
      <w:bookmarkStart w:id="1" w:name="_Toc10267"/>
      <w:r>
        <w:rPr>
          <w:rFonts w:hint="eastAsia" w:ascii="仿宋" w:hAnsi="仿宋" w:eastAsia="仿宋" w:cs="仿宋"/>
          <w:b/>
          <w:bCs/>
          <w:sz w:val="28"/>
          <w:szCs w:val="28"/>
          <w:lang w:eastAsia="zh-CN"/>
        </w:rPr>
        <w:t>统计上大中小微型企业划分标准</w:t>
      </w:r>
      <w:bookmarkEnd w:id="1"/>
    </w:p>
    <w:tbl>
      <w:tblPr>
        <w:tblStyle w:val="16"/>
        <w:tblW w:w="0" w:type="auto"/>
        <w:jc w:val="center"/>
        <w:shd w:val="clear" w:color="auto" w:fill="FFFFFF"/>
        <w:tblLayout w:type="fixed"/>
        <w:tblCellMar>
          <w:top w:w="0" w:type="dxa"/>
          <w:left w:w="0" w:type="dxa"/>
          <w:bottom w:w="0" w:type="dxa"/>
          <w:right w:w="0" w:type="dxa"/>
        </w:tblCellMar>
      </w:tblPr>
      <w:tblGrid>
        <w:gridCol w:w="2133"/>
        <w:gridCol w:w="1472"/>
        <w:gridCol w:w="760"/>
        <w:gridCol w:w="1213"/>
        <w:gridCol w:w="1827"/>
        <w:gridCol w:w="1595"/>
        <w:gridCol w:w="1008"/>
      </w:tblGrid>
      <w:tr w14:paraId="6916606F">
        <w:tblPrEx>
          <w:shd w:val="clear" w:color="auto" w:fill="FFFFFF"/>
          <w:tblCellMar>
            <w:top w:w="0" w:type="dxa"/>
            <w:left w:w="0" w:type="dxa"/>
            <w:bottom w:w="0" w:type="dxa"/>
            <w:right w:w="0" w:type="dxa"/>
          </w:tblCellMar>
        </w:tblPrEx>
        <w:trPr>
          <w:trHeight w:val="615" w:hRule="atLeast"/>
          <w:jc w:val="center"/>
        </w:trPr>
        <w:tc>
          <w:tcPr>
            <w:tcW w:w="2133"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3A600682">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6A3A828">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84329DF">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39BADBB">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4A2193A">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中型</w:t>
            </w:r>
          </w:p>
        </w:tc>
        <w:tc>
          <w:tcPr>
            <w:tcW w:w="15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FD176F7">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小型</w:t>
            </w:r>
          </w:p>
        </w:tc>
        <w:tc>
          <w:tcPr>
            <w:tcW w:w="100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EA7C66C">
            <w:pPr>
              <w:kinsoku/>
              <w:wordWrap w:val="0"/>
              <w:spacing w:line="360" w:lineRule="auto"/>
              <w:jc w:val="center"/>
              <w:rPr>
                <w:rFonts w:ascii="仿宋" w:hAnsi="仿宋" w:eastAsia="仿宋" w:cs="仿宋"/>
                <w:color w:val="auto"/>
                <w:lang w:eastAsia="zh-CN"/>
              </w:rPr>
            </w:pPr>
            <w:r>
              <w:rPr>
                <w:rFonts w:hint="eastAsia" w:ascii="仿宋" w:hAnsi="仿宋" w:eastAsia="仿宋" w:cs="仿宋"/>
                <w:b/>
                <w:bCs/>
                <w:color w:val="auto"/>
                <w:spacing w:val="8"/>
                <w:kern w:val="2"/>
                <w:lang w:eastAsia="zh-CN"/>
              </w:rPr>
              <w:t>微型</w:t>
            </w:r>
          </w:p>
        </w:tc>
      </w:tr>
      <w:tr w14:paraId="374FDD4D">
        <w:tblPrEx>
          <w:tblCellMar>
            <w:top w:w="0" w:type="dxa"/>
            <w:left w:w="0" w:type="dxa"/>
            <w:bottom w:w="0" w:type="dxa"/>
            <w:right w:w="0" w:type="dxa"/>
          </w:tblCellMar>
        </w:tblPrEx>
        <w:trPr>
          <w:trHeight w:val="390" w:hRule="atLeast"/>
          <w:jc w:val="center"/>
        </w:trPr>
        <w:tc>
          <w:tcPr>
            <w:tcW w:w="2133"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68395857">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1D599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86380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CE463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340EF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500≤Y＜20000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BBB73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50≤Y＜500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996E3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Y＜50</w:t>
            </w:r>
          </w:p>
        </w:tc>
      </w:tr>
      <w:tr w14:paraId="742FEB93">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BCDE72">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C9BBA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8AB8A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CACC3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F14E5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F52DC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2D476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w:t>
            </w:r>
          </w:p>
        </w:tc>
      </w:tr>
      <w:tr w14:paraId="4044C628">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9060B5">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20660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81D3B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B9432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43C5C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2000≤Y＜40000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355D8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C32EE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Y＜300</w:t>
            </w:r>
          </w:p>
        </w:tc>
      </w:tr>
      <w:tr w14:paraId="0FD6EF8F">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76469E4">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00FAE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4240C6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BF68C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15FE5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6000≤Y＜80000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D7ADB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300≤Y＜6000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D70FC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Y＜300</w:t>
            </w:r>
          </w:p>
        </w:tc>
      </w:tr>
      <w:tr w14:paraId="2D5AB60A">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A7BD97">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E138B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E44B6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616F4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5043E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5000≤Z＜80000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F9073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300≤Z＜5000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85C7F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Z＜300</w:t>
            </w:r>
          </w:p>
        </w:tc>
      </w:tr>
      <w:tr w14:paraId="10386733">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9BBDC7">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638F6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0841C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DC7AE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6AEE0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20≤X＜200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05F84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5≤X＜20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2465D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X＜5</w:t>
            </w:r>
          </w:p>
        </w:tc>
      </w:tr>
      <w:tr w14:paraId="4F19FD13">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556AD56">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E005C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48378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9582A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A4E11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5000≤Y＜40000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FE28A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1000≤Y＜5000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52632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Y＜1000</w:t>
            </w:r>
          </w:p>
        </w:tc>
      </w:tr>
      <w:tr w14:paraId="5922D7C0">
        <w:tblPrEx>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37B4341">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AA457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A7FBE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9F4CB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8A4F3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6D4CC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10≤X＜50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A0154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7A76F45F">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6FDEF5">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B413E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5C1F4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A1067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8B794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500≤Y＜20000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79282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100≤Y＜500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9B729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3FC65D55">
        <w:tblPrEx>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0AC8C67">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39DFC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7B83F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92C20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96595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90AAC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231C1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w:t>
            </w:r>
          </w:p>
        </w:tc>
      </w:tr>
      <w:tr w14:paraId="3D385D10">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EB39E6">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006FD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9C1D4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808ED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4580F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70F29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200≤Y＜3000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D8AE7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Y＜200</w:t>
            </w:r>
          </w:p>
        </w:tc>
      </w:tr>
      <w:tr w14:paraId="11198BEF">
        <w:tblPrEx>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16D6D8">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F6EA3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C7A04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36745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D8961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100≤X＜200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E59D0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3C44F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w:t>
            </w:r>
          </w:p>
        </w:tc>
      </w:tr>
      <w:tr w14:paraId="4747260C">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116B57A">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DB8E1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74408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B11E6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C9016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CB3D6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73D7F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0C881D31">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8D6EA16">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4EB3A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8F525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C6A24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7A3C1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46343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A83BE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w:t>
            </w:r>
          </w:p>
        </w:tc>
      </w:tr>
      <w:tr w14:paraId="10AB0BF8">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284F067">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19023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8BC48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A51F2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A7DB6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2000≤Y＜30000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D12422D">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6AA9B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43130E71">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0EE8E4C">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0E6F1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8E46D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CEA82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91B29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387BC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DB046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7101258A">
        <w:tblPrEx>
          <w:shd w:val="clear" w:color="auto" w:fill="FFFFFF"/>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3FCE654">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4F711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ED2FF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93D14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0E52C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0F437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0ABBE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47D45774">
        <w:tblPrEx>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61634D">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76EAE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905C3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26913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4B0B87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438D7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486D1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2E5105C5">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256DBB7">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7E068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2F95FC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848F3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33380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3CE91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100≤Y＜2000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F1D9E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2313C6D2">
        <w:tblPrEx>
          <w:shd w:val="clear" w:color="auto" w:fill="FFFFFF"/>
          <w:tblCellMar>
            <w:top w:w="0" w:type="dxa"/>
            <w:left w:w="0" w:type="dxa"/>
            <w:bottom w:w="0" w:type="dxa"/>
            <w:right w:w="0" w:type="dxa"/>
          </w:tblCellMar>
        </w:tblPrEx>
        <w:trPr>
          <w:trHeight w:val="390"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B6CBA53">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D92A4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4625A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4A255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58D8C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100≤X＜2000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D1721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40F6B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070A2FDC">
        <w:tblPrEx>
          <w:tblCellMar>
            <w:top w:w="0" w:type="dxa"/>
            <w:left w:w="0" w:type="dxa"/>
            <w:bottom w:w="0" w:type="dxa"/>
            <w:right w:w="0" w:type="dxa"/>
          </w:tblCellMar>
        </w:tblPrEx>
        <w:trPr>
          <w:trHeight w:val="390"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7BADAA0">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85197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2A7E1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BD835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4F754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1000≤Y＜100000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B3663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C369D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3DB116BE">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909E05">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15"/>
                <w:lang w:eastAsia="zh-CN"/>
              </w:rPr>
              <w:t>软件和信息技术服</w:t>
            </w:r>
            <w:r>
              <w:rPr>
                <w:rFonts w:hint="eastAsia" w:ascii="仿宋" w:hAnsi="仿宋" w:eastAsia="仿宋" w:cs="仿宋"/>
                <w:color w:val="auto"/>
                <w:spacing w:val="8"/>
                <w:lang w:eastAsia="zh-CN"/>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D318D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204DB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EF2C3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1136A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0741D6">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5CD5B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1F994097">
        <w:tblPrEx>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858296">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E1E57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579424">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95BDF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FD72C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1000≤Y＜10000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F61AD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2F061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Y＜50</w:t>
            </w:r>
          </w:p>
        </w:tc>
      </w:tr>
      <w:tr w14:paraId="35862948">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A106A0">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530E4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5FD2D0">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EB1D2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22832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 1000≤Y＜200000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047457">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100≤Y＜1000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B227D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Y＜100</w:t>
            </w:r>
          </w:p>
        </w:tc>
      </w:tr>
      <w:tr w14:paraId="6BECCBCE">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39615C3">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9133F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7AB5E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37D5C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86B48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5000≤Z＜10000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80AD2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2000≤Z＜5000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B021F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Z＜2000</w:t>
            </w:r>
          </w:p>
        </w:tc>
      </w:tr>
      <w:tr w14:paraId="1DCFAFCA">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D8B58AB">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4EA77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4983C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B9A87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E79E8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300≤X＜1000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41822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8204D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X＜100</w:t>
            </w:r>
          </w:p>
        </w:tc>
      </w:tr>
      <w:tr w14:paraId="0F55AAF0">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A82CAF0">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44D066">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9A7552">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D9CA8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6BDFC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1000≤Y＜5000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2636C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500≤Y＜1000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131CD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Y＜500</w:t>
            </w:r>
          </w:p>
        </w:tc>
      </w:tr>
      <w:tr w14:paraId="46C7CC58">
        <w:tblPrEx>
          <w:shd w:val="clear" w:color="auto" w:fill="FFFFFF"/>
          <w:tblCellMar>
            <w:top w:w="0" w:type="dxa"/>
            <w:left w:w="0" w:type="dxa"/>
            <w:bottom w:w="0" w:type="dxa"/>
            <w:right w:w="0" w:type="dxa"/>
          </w:tblCellMar>
        </w:tblPrEx>
        <w:trPr>
          <w:trHeight w:val="345" w:hRule="atLeast"/>
          <w:jc w:val="center"/>
        </w:trPr>
        <w:tc>
          <w:tcPr>
            <w:tcW w:w="213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CD2C9DE">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21110E">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B7FDA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42E70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16CCF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9D7CCC">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92953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r w14:paraId="3458F132">
        <w:tblPrEx>
          <w:shd w:val="clear" w:color="auto" w:fill="FFFFFF"/>
          <w:tblCellMar>
            <w:top w:w="0" w:type="dxa"/>
            <w:left w:w="0" w:type="dxa"/>
            <w:bottom w:w="0" w:type="dxa"/>
            <w:right w:w="0" w:type="dxa"/>
          </w:tblCellMar>
        </w:tblPrEx>
        <w:trPr>
          <w:trHeight w:val="345" w:hRule="atLeast"/>
          <w:jc w:val="center"/>
        </w:trPr>
        <w:tc>
          <w:tcPr>
            <w:tcW w:w="213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6ED2E6">
            <w:pPr>
              <w:kinsoku/>
              <w:wordWrap w:val="0"/>
              <w:spacing w:line="360" w:lineRule="auto"/>
              <w:rPr>
                <w:rFonts w:ascii="仿宋" w:hAnsi="仿宋" w:eastAsia="仿宋" w:cs="仿宋"/>
                <w:color w:val="auto"/>
                <w:spacing w:val="8"/>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1DA03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557129">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67AB8F">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9F55EA">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8000≤Z＜120000</w:t>
            </w:r>
          </w:p>
        </w:tc>
        <w:tc>
          <w:tcPr>
            <w:tcW w:w="15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B3788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100≤Z＜8000</w:t>
            </w:r>
          </w:p>
        </w:tc>
        <w:tc>
          <w:tcPr>
            <w:tcW w:w="100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E6FF18">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Z＜100</w:t>
            </w:r>
          </w:p>
        </w:tc>
      </w:tr>
      <w:tr w14:paraId="363887F8">
        <w:tblPrEx>
          <w:shd w:val="clear" w:color="auto" w:fill="FFFFFF"/>
          <w:tblCellMar>
            <w:top w:w="0" w:type="dxa"/>
            <w:left w:w="0" w:type="dxa"/>
            <w:bottom w:w="0" w:type="dxa"/>
            <w:right w:w="0" w:type="dxa"/>
          </w:tblCellMar>
        </w:tblPrEx>
        <w:trPr>
          <w:trHeight w:val="390" w:hRule="atLeast"/>
          <w:jc w:val="center"/>
        </w:trPr>
        <w:tc>
          <w:tcPr>
            <w:tcW w:w="2133"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EDD510C">
            <w:pPr>
              <w:kinsoku/>
              <w:wordWrap w:val="0"/>
              <w:spacing w:line="360" w:lineRule="auto"/>
              <w:jc w:val="both"/>
              <w:rPr>
                <w:rFonts w:ascii="仿宋" w:hAnsi="仿宋" w:eastAsia="仿宋" w:cs="仿宋"/>
                <w:color w:val="auto"/>
                <w:lang w:eastAsia="zh-CN"/>
              </w:rPr>
            </w:pPr>
            <w:r>
              <w:rPr>
                <w:rFonts w:hint="eastAsia" w:ascii="仿宋" w:hAnsi="仿宋" w:eastAsia="仿宋" w:cs="仿宋"/>
                <w:color w:val="auto"/>
                <w:spacing w:val="8"/>
                <w:lang w:eastAsia="zh-CN"/>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8C917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3558261">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84DB2B">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41712D">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100≤X＜300</w:t>
            </w:r>
          </w:p>
        </w:tc>
        <w:tc>
          <w:tcPr>
            <w:tcW w:w="15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257A73">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10≤X＜100</w:t>
            </w:r>
          </w:p>
        </w:tc>
        <w:tc>
          <w:tcPr>
            <w:tcW w:w="100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F778C5">
            <w:pPr>
              <w:kinsoku/>
              <w:wordWrap w:val="0"/>
              <w:spacing w:line="360" w:lineRule="auto"/>
              <w:jc w:val="center"/>
              <w:rPr>
                <w:rFonts w:ascii="仿宋" w:hAnsi="仿宋" w:eastAsia="仿宋" w:cs="仿宋"/>
                <w:color w:val="auto"/>
                <w:lang w:eastAsia="zh-CN"/>
              </w:rPr>
            </w:pPr>
            <w:r>
              <w:rPr>
                <w:rFonts w:hint="eastAsia" w:ascii="仿宋" w:hAnsi="仿宋" w:eastAsia="仿宋" w:cs="仿宋"/>
                <w:color w:val="auto"/>
                <w:spacing w:val="8"/>
                <w:lang w:eastAsia="zh-CN"/>
              </w:rPr>
              <w:t>X＜10</w:t>
            </w:r>
          </w:p>
        </w:tc>
      </w:tr>
    </w:tbl>
    <w:p w14:paraId="7854DA3F">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rPr>
      </w:pPr>
      <w:r>
        <w:rPr>
          <w:rFonts w:hint="eastAsia" w:ascii="仿宋" w:hAnsi="仿宋" w:eastAsia="仿宋" w:cs="仿宋"/>
          <w:color w:val="auto"/>
        </w:rPr>
        <w:t>说明：</w:t>
      </w:r>
    </w:p>
    <w:p w14:paraId="3172C6D3">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
          <w:bCs/>
          <w:color w:val="auto"/>
          <w:lang w:eastAsia="zh-CN"/>
        </w:rPr>
        <w:t>.大型、中型和小型企业须同时满足所列指标的下限，否则下划一档；微型企业只须满足所列指标中的一项即可。</w:t>
      </w:r>
    </w:p>
    <w:p w14:paraId="71307337">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2.附表中各行业的范围以《国民经济行业分类》（GB/T4754-2017）为准。</w:t>
      </w:r>
      <w:r>
        <w:rPr>
          <w:rFonts w:hint="eastAsia" w:ascii="仿宋" w:hAnsi="仿宋" w:eastAsia="仿宋" w:cs="仿宋"/>
          <w:b/>
          <w:bCs/>
          <w:color w:val="auto"/>
          <w:lang w:eastAsia="zh-CN"/>
        </w:rPr>
        <w:t>带*的项为行业组合类别</w:t>
      </w:r>
      <w:r>
        <w:rPr>
          <w:rFonts w:hint="eastAsia" w:ascii="仿宋" w:hAnsi="仿宋" w:eastAsia="仿宋" w:cs="仿宋"/>
          <w:color w:val="auto"/>
          <w:lang w:eastAsia="zh-CN"/>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44945D">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lang w:eastAsia="zh-CN"/>
        </w:rPr>
      </w:pPr>
      <w:bookmarkStart w:id="2" w:name="_Toc15047"/>
      <w:r>
        <w:rPr>
          <w:rFonts w:hint="eastAsia" w:ascii="仿宋" w:hAnsi="仿宋" w:eastAsia="仿宋" w:cs="仿宋"/>
          <w:color w:val="auto"/>
          <w:lang w:eastAsia="zh-CN"/>
        </w:rPr>
        <w:t>3.企业划分指标以现行统计制度为准。</w:t>
      </w:r>
      <w:bookmarkEnd w:id="2"/>
    </w:p>
    <w:p w14:paraId="1BDFA7D8">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（1）从业人员，是指期末从业人员数，没有期末从业人员数的，采用全年平均人员数代替。</w:t>
      </w:r>
    </w:p>
    <w:p w14:paraId="3F4F5A1E">
      <w:pPr>
        <w:widowControl w:val="0"/>
        <w:kinsoku/>
        <w:wordWrap w:val="0"/>
        <w:autoSpaceDE/>
        <w:autoSpaceDN/>
        <w:adjustRightInd/>
        <w:snapToGrid/>
        <w:spacing w:line="400" w:lineRule="exact"/>
        <w:ind w:firstLine="420"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D1EE5F0">
      <w:pPr>
        <w:widowControl w:val="0"/>
        <w:kinsoku/>
        <w:wordWrap w:val="0"/>
        <w:autoSpaceDE/>
        <w:autoSpaceDN/>
        <w:adjustRightInd/>
        <w:snapToGrid/>
        <w:spacing w:line="400" w:lineRule="exact"/>
        <w:ind w:firstLine="420" w:firstLineChars="200"/>
        <w:textAlignment w:val="auto"/>
        <w:rPr>
          <w:rFonts w:ascii="仿宋" w:hAnsi="仿宋" w:eastAsia="仿宋" w:cs="仿宋"/>
          <w:position w:val="22"/>
          <w:sz w:val="36"/>
          <w:szCs w:val="36"/>
          <w:lang w:eastAsia="zh-CN"/>
        </w:rPr>
      </w:pPr>
      <w:r>
        <w:rPr>
          <w:rFonts w:hint="eastAsia" w:ascii="仿宋" w:hAnsi="仿宋" w:eastAsia="仿宋" w:cs="仿宋"/>
          <w:color w:val="auto"/>
          <w:lang w:eastAsia="zh-CN"/>
        </w:rPr>
        <w:t>（3）资产总额，采用资产总计代替。</w:t>
      </w:r>
      <w:r>
        <w:rPr>
          <w:rFonts w:hint="eastAsia" w:ascii="仿宋" w:hAnsi="仿宋" w:eastAsia="仿宋" w:cs="仿宋"/>
          <w:position w:val="22"/>
          <w:sz w:val="36"/>
          <w:szCs w:val="36"/>
          <w:lang w:eastAsia="zh-CN"/>
        </w:rPr>
        <w:br w:type="page"/>
      </w:r>
    </w:p>
    <w:p w14:paraId="06F5678C">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投标人须知</w:t>
      </w:r>
    </w:p>
    <w:p w14:paraId="02D9C978">
      <w:pPr>
        <w:spacing w:before="1" w:line="218"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投标人须知前附表</w:t>
      </w:r>
    </w:p>
    <w:p w14:paraId="1D34B126">
      <w:pPr>
        <w:spacing w:line="111" w:lineRule="exact"/>
        <w:rPr>
          <w:rFonts w:ascii="仿宋" w:hAnsi="仿宋" w:eastAsia="仿宋" w:cs="仿宋"/>
          <w:lang w:eastAsia="zh-CN"/>
        </w:rPr>
      </w:pPr>
    </w:p>
    <w:tbl>
      <w:tblPr>
        <w:tblStyle w:val="16"/>
        <w:tblW w:w="9490" w:type="dxa"/>
        <w:tblInd w:w="-5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8740"/>
      </w:tblGrid>
      <w:tr w14:paraId="33FFD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750" w:type="dxa"/>
            <w:tcBorders>
              <w:top w:val="single" w:color="auto" w:sz="4" w:space="0"/>
              <w:left w:val="single" w:color="auto" w:sz="4" w:space="0"/>
              <w:bottom w:val="single" w:color="auto" w:sz="4" w:space="0"/>
              <w:right w:val="single" w:color="auto" w:sz="4" w:space="0"/>
            </w:tcBorders>
            <w:vAlign w:val="center"/>
          </w:tcPr>
          <w:p w14:paraId="5991D318">
            <w:pPr>
              <w:spacing w:line="360" w:lineRule="auto"/>
              <w:rPr>
                <w:rFonts w:ascii="仿宋" w:hAnsi="仿宋" w:eastAsia="仿宋" w:cs="仿宋"/>
                <w:color w:val="auto"/>
                <w:sz w:val="24"/>
              </w:rPr>
            </w:pPr>
            <w:r>
              <w:rPr>
                <w:rFonts w:hint="eastAsia" w:ascii="仿宋" w:hAnsi="仿宋" w:eastAsia="仿宋" w:cs="仿宋"/>
                <w:color w:val="auto"/>
                <w:sz w:val="24"/>
              </w:rPr>
              <w:t>序号</w:t>
            </w:r>
          </w:p>
        </w:tc>
        <w:tc>
          <w:tcPr>
            <w:tcW w:w="8740" w:type="dxa"/>
            <w:tcBorders>
              <w:top w:val="single" w:color="auto" w:sz="4" w:space="0"/>
              <w:left w:val="single" w:color="auto" w:sz="4" w:space="0"/>
              <w:bottom w:val="single" w:color="auto" w:sz="4" w:space="0"/>
              <w:right w:val="single" w:color="auto" w:sz="4" w:space="0"/>
            </w:tcBorders>
            <w:vAlign w:val="center"/>
          </w:tcPr>
          <w:p w14:paraId="4D5E2E61">
            <w:pPr>
              <w:spacing w:line="360" w:lineRule="auto"/>
              <w:jc w:val="center"/>
              <w:rPr>
                <w:rFonts w:ascii="仿宋" w:hAnsi="仿宋" w:eastAsia="仿宋" w:cs="仿宋"/>
                <w:color w:val="auto"/>
                <w:sz w:val="24"/>
              </w:rPr>
            </w:pPr>
            <w:r>
              <w:rPr>
                <w:rFonts w:hint="eastAsia" w:ascii="仿宋" w:hAnsi="仿宋" w:eastAsia="仿宋" w:cs="仿宋"/>
                <w:color w:val="auto"/>
                <w:sz w:val="24"/>
              </w:rPr>
              <w:t>内容要求</w:t>
            </w:r>
          </w:p>
        </w:tc>
      </w:tr>
      <w:tr w14:paraId="75CF9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750" w:type="dxa"/>
            <w:tcBorders>
              <w:top w:val="single" w:color="auto" w:sz="4" w:space="0"/>
              <w:left w:val="single" w:color="auto" w:sz="4" w:space="0"/>
              <w:bottom w:val="single" w:color="auto" w:sz="4" w:space="0"/>
              <w:right w:val="single" w:color="auto" w:sz="4" w:space="0"/>
            </w:tcBorders>
            <w:vAlign w:val="center"/>
          </w:tcPr>
          <w:p w14:paraId="132178F9">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8740" w:type="dxa"/>
            <w:tcBorders>
              <w:top w:val="single" w:color="auto" w:sz="4" w:space="0"/>
              <w:left w:val="single" w:color="auto" w:sz="4" w:space="0"/>
              <w:bottom w:val="single" w:color="auto" w:sz="4" w:space="0"/>
              <w:right w:val="single" w:color="auto" w:sz="4" w:space="0"/>
            </w:tcBorders>
            <w:vAlign w:val="center"/>
          </w:tcPr>
          <w:p w14:paraId="1AFCB0B0">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1.1 项目名称：西平县公安局2025年全县视频监控维护项目</w:t>
            </w:r>
          </w:p>
          <w:p w14:paraId="6F59D3A8">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1.2 招标人名称：西平县公安局</w:t>
            </w:r>
          </w:p>
          <w:p w14:paraId="753BC075">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1.3 项目编号：西政采招【2025】17号</w:t>
            </w:r>
          </w:p>
        </w:tc>
      </w:tr>
      <w:tr w14:paraId="1ECA1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750" w:type="dxa"/>
            <w:tcBorders>
              <w:top w:val="single" w:color="auto" w:sz="4" w:space="0"/>
              <w:left w:val="single" w:color="auto" w:sz="4" w:space="0"/>
              <w:bottom w:val="single" w:color="auto" w:sz="4" w:space="0"/>
              <w:right w:val="single" w:color="auto" w:sz="4" w:space="0"/>
            </w:tcBorders>
            <w:vAlign w:val="center"/>
          </w:tcPr>
          <w:p w14:paraId="01C0D6B4">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8740" w:type="dxa"/>
            <w:tcBorders>
              <w:top w:val="single" w:color="auto" w:sz="4" w:space="0"/>
              <w:left w:val="single" w:color="auto" w:sz="4" w:space="0"/>
              <w:bottom w:val="single" w:color="auto" w:sz="4" w:space="0"/>
              <w:right w:val="single" w:color="auto" w:sz="4" w:space="0"/>
            </w:tcBorders>
            <w:vAlign w:val="center"/>
          </w:tcPr>
          <w:p w14:paraId="75EF5864">
            <w:pPr>
              <w:spacing w:line="360" w:lineRule="auto"/>
              <w:rPr>
                <w:rFonts w:ascii="仿宋" w:hAnsi="仿宋" w:eastAsia="仿宋" w:cs="仿宋"/>
                <w:color w:val="auto"/>
                <w:sz w:val="24"/>
                <w:lang w:eastAsia="zh-CN"/>
              </w:rPr>
            </w:pPr>
            <w:r>
              <w:rPr>
                <w:rFonts w:hint="eastAsia" w:ascii="仿宋" w:hAnsi="仿宋" w:eastAsia="仿宋" w:cs="仿宋"/>
                <w:b/>
                <w:color w:val="auto"/>
                <w:sz w:val="24"/>
                <w:lang w:eastAsia="zh-CN"/>
              </w:rPr>
              <w:t>合格投标人：</w:t>
            </w:r>
            <w:r>
              <w:rPr>
                <w:rFonts w:hint="eastAsia" w:ascii="仿宋" w:hAnsi="仿宋" w:eastAsia="仿宋" w:cs="仿宋"/>
                <w:color w:val="auto"/>
                <w:sz w:val="24"/>
                <w:lang w:eastAsia="zh-CN"/>
              </w:rPr>
              <w:t>具备招标公告第二项规定的条件。</w:t>
            </w:r>
          </w:p>
        </w:tc>
      </w:tr>
      <w:tr w14:paraId="59E3A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50" w:type="dxa"/>
            <w:tcBorders>
              <w:top w:val="single" w:color="auto" w:sz="4" w:space="0"/>
              <w:left w:val="single" w:color="auto" w:sz="4" w:space="0"/>
              <w:bottom w:val="single" w:color="auto" w:sz="4" w:space="0"/>
              <w:right w:val="single" w:color="auto" w:sz="4" w:space="0"/>
            </w:tcBorders>
            <w:vAlign w:val="center"/>
          </w:tcPr>
          <w:p w14:paraId="75C350AD">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8740" w:type="dxa"/>
            <w:tcBorders>
              <w:top w:val="single" w:color="auto" w:sz="4" w:space="0"/>
              <w:left w:val="single" w:color="auto" w:sz="4" w:space="0"/>
              <w:bottom w:val="single" w:color="auto" w:sz="4" w:space="0"/>
              <w:right w:val="single" w:color="auto" w:sz="4" w:space="0"/>
            </w:tcBorders>
            <w:vAlign w:val="center"/>
          </w:tcPr>
          <w:p w14:paraId="71103CE8">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投标报价及费用：</w:t>
            </w:r>
          </w:p>
          <w:p w14:paraId="0D918F0C">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3.1 本项目投标以人民币报价。</w:t>
            </w:r>
          </w:p>
          <w:p w14:paraId="5678A6A6">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3.2 投标人的报价均超过采购预算或最高限价，</w:t>
            </w:r>
            <w:r>
              <w:rPr>
                <w:rFonts w:hint="eastAsia" w:ascii="仿宋" w:hAnsi="仿宋" w:eastAsia="仿宋" w:cs="仿宋"/>
                <w:color w:val="auto"/>
                <w:sz w:val="24"/>
                <w:lang w:val="en-US" w:eastAsia="zh-CN"/>
              </w:rPr>
              <w:t>招标</w:t>
            </w:r>
            <w:r>
              <w:rPr>
                <w:rFonts w:hint="eastAsia" w:ascii="仿宋" w:hAnsi="仿宋" w:eastAsia="仿宋" w:cs="仿宋"/>
                <w:color w:val="auto"/>
                <w:sz w:val="24"/>
                <w:lang w:eastAsia="zh-CN"/>
              </w:rPr>
              <w:t>人不能支付的，按废标处理</w:t>
            </w:r>
            <w:r>
              <w:rPr>
                <w:rFonts w:ascii="仿宋" w:hAnsi="仿宋" w:eastAsia="仿宋" w:cs="仿宋"/>
                <w:color w:val="auto"/>
                <w:sz w:val="24"/>
                <w:lang w:eastAsia="zh-CN"/>
              </w:rPr>
              <w:t>。</w:t>
            </w:r>
          </w:p>
        </w:tc>
      </w:tr>
      <w:tr w14:paraId="34955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750" w:type="dxa"/>
            <w:tcBorders>
              <w:top w:val="single" w:color="auto" w:sz="4" w:space="0"/>
              <w:left w:val="single" w:color="auto" w:sz="4" w:space="0"/>
              <w:bottom w:val="single" w:color="auto" w:sz="4" w:space="0"/>
              <w:right w:val="single" w:color="auto" w:sz="4" w:space="0"/>
            </w:tcBorders>
            <w:vAlign w:val="center"/>
          </w:tcPr>
          <w:p w14:paraId="7237B625">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8740" w:type="dxa"/>
            <w:tcBorders>
              <w:top w:val="single" w:color="auto" w:sz="4" w:space="0"/>
              <w:left w:val="single" w:color="auto" w:sz="4" w:space="0"/>
              <w:bottom w:val="single" w:color="auto" w:sz="4" w:space="0"/>
              <w:right w:val="single" w:color="auto" w:sz="4" w:space="0"/>
            </w:tcBorders>
            <w:vAlign w:val="center"/>
          </w:tcPr>
          <w:p w14:paraId="4A0C35F4">
            <w:pPr>
              <w:spacing w:line="360" w:lineRule="auto"/>
              <w:rPr>
                <w:rFonts w:ascii="仿宋" w:hAnsi="仿宋" w:eastAsia="仿宋" w:cs="仿宋"/>
                <w:color w:val="auto"/>
                <w:sz w:val="24"/>
                <w:lang w:eastAsia="zh-CN"/>
              </w:rPr>
            </w:pPr>
            <w:r>
              <w:rPr>
                <w:rFonts w:hint="eastAsia" w:ascii="仿宋" w:hAnsi="仿宋" w:eastAsia="仿宋" w:cs="仿宋"/>
                <w:b/>
                <w:color w:val="auto"/>
                <w:sz w:val="24"/>
                <w:lang w:eastAsia="zh-CN"/>
              </w:rPr>
              <w:t>现场踏勘或标前答疑：</w:t>
            </w:r>
            <w:r>
              <w:rPr>
                <w:rFonts w:hint="eastAsia" w:ascii="仿宋" w:hAnsi="仿宋" w:eastAsia="仿宋" w:cs="仿宋"/>
                <w:color w:val="auto"/>
                <w:sz w:val="24"/>
                <w:lang w:eastAsia="zh-CN"/>
              </w:rPr>
              <w:t>本项目不组织现场踏勘或标前答疑会。</w:t>
            </w:r>
          </w:p>
        </w:tc>
      </w:tr>
      <w:tr w14:paraId="021B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50" w:type="dxa"/>
            <w:tcBorders>
              <w:top w:val="single" w:color="auto" w:sz="4" w:space="0"/>
              <w:left w:val="single" w:color="auto" w:sz="4" w:space="0"/>
              <w:bottom w:val="single" w:color="auto" w:sz="4" w:space="0"/>
              <w:right w:val="single" w:color="auto" w:sz="4" w:space="0"/>
            </w:tcBorders>
            <w:vAlign w:val="center"/>
          </w:tcPr>
          <w:p w14:paraId="35278507">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5</w:t>
            </w:r>
          </w:p>
        </w:tc>
        <w:tc>
          <w:tcPr>
            <w:tcW w:w="8740" w:type="dxa"/>
            <w:tcBorders>
              <w:top w:val="single" w:color="auto" w:sz="4" w:space="0"/>
              <w:left w:val="single" w:color="auto" w:sz="4" w:space="0"/>
              <w:bottom w:val="single" w:color="auto" w:sz="4" w:space="0"/>
              <w:right w:val="single" w:color="auto" w:sz="4" w:space="0"/>
            </w:tcBorders>
            <w:vAlign w:val="center"/>
          </w:tcPr>
          <w:p w14:paraId="0E6FEAE3">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投标文件组成：</w:t>
            </w:r>
            <w:r>
              <w:rPr>
                <w:rFonts w:hint="eastAsia" w:ascii="仿宋" w:hAnsi="仿宋" w:eastAsia="仿宋" w:cs="仿宋"/>
                <w:color w:val="auto"/>
                <w:sz w:val="24"/>
                <w:lang w:eastAsia="zh-CN"/>
              </w:rPr>
              <w:t>加密版电子投标文件。</w:t>
            </w:r>
          </w:p>
        </w:tc>
      </w:tr>
      <w:tr w14:paraId="078F8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50" w:type="dxa"/>
            <w:tcBorders>
              <w:top w:val="single" w:color="auto" w:sz="4" w:space="0"/>
              <w:left w:val="single" w:color="auto" w:sz="4" w:space="0"/>
              <w:bottom w:val="single" w:color="auto" w:sz="4" w:space="0"/>
              <w:right w:val="single" w:color="auto" w:sz="4" w:space="0"/>
            </w:tcBorders>
            <w:vAlign w:val="center"/>
          </w:tcPr>
          <w:p w14:paraId="736D451A">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6</w:t>
            </w:r>
          </w:p>
        </w:tc>
        <w:tc>
          <w:tcPr>
            <w:tcW w:w="8740" w:type="dxa"/>
            <w:tcBorders>
              <w:top w:val="single" w:color="auto" w:sz="4" w:space="0"/>
              <w:left w:val="single" w:color="auto" w:sz="4" w:space="0"/>
              <w:bottom w:val="single" w:color="auto" w:sz="4" w:space="0"/>
              <w:right w:val="single" w:color="auto" w:sz="4" w:space="0"/>
            </w:tcBorders>
            <w:vAlign w:val="center"/>
          </w:tcPr>
          <w:p w14:paraId="4679081D">
            <w:pPr>
              <w:spacing w:line="360" w:lineRule="auto"/>
              <w:rPr>
                <w:rFonts w:ascii="仿宋" w:hAnsi="仿宋" w:eastAsia="仿宋" w:cs="仿宋"/>
                <w:color w:val="auto"/>
                <w:sz w:val="24"/>
                <w:lang w:eastAsia="zh-CN"/>
              </w:rPr>
            </w:pPr>
            <w:r>
              <w:rPr>
                <w:rFonts w:hint="eastAsia" w:ascii="仿宋" w:hAnsi="仿宋" w:eastAsia="仿宋" w:cs="仿宋"/>
                <w:b/>
                <w:color w:val="auto"/>
                <w:sz w:val="24"/>
                <w:lang w:eastAsia="zh-CN"/>
              </w:rPr>
              <w:t>投标截止时间及地点：</w:t>
            </w:r>
            <w:r>
              <w:rPr>
                <w:rFonts w:hint="eastAsia" w:ascii="仿宋" w:hAnsi="仿宋" w:eastAsia="仿宋" w:cs="仿宋"/>
                <w:color w:val="auto"/>
                <w:sz w:val="24"/>
                <w:lang w:eastAsia="zh-CN"/>
              </w:rPr>
              <w:t>详见招标公告。</w:t>
            </w:r>
          </w:p>
        </w:tc>
      </w:tr>
      <w:tr w14:paraId="626B4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50" w:type="dxa"/>
            <w:tcBorders>
              <w:top w:val="single" w:color="auto" w:sz="4" w:space="0"/>
              <w:left w:val="single" w:color="auto" w:sz="4" w:space="0"/>
              <w:bottom w:val="single" w:color="auto" w:sz="4" w:space="0"/>
              <w:right w:val="single" w:color="auto" w:sz="4" w:space="0"/>
            </w:tcBorders>
            <w:vAlign w:val="center"/>
          </w:tcPr>
          <w:p w14:paraId="2B6F8AD8">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7</w:t>
            </w:r>
          </w:p>
        </w:tc>
        <w:tc>
          <w:tcPr>
            <w:tcW w:w="8740" w:type="dxa"/>
            <w:tcBorders>
              <w:top w:val="single" w:color="auto" w:sz="4" w:space="0"/>
              <w:left w:val="single" w:color="auto" w:sz="4" w:space="0"/>
              <w:bottom w:val="single" w:color="auto" w:sz="4" w:space="0"/>
              <w:right w:val="single" w:color="auto" w:sz="4" w:space="0"/>
            </w:tcBorders>
            <w:vAlign w:val="center"/>
          </w:tcPr>
          <w:p w14:paraId="57C62ECC">
            <w:pPr>
              <w:spacing w:line="360" w:lineRule="auto"/>
              <w:rPr>
                <w:rFonts w:ascii="仿宋" w:hAnsi="仿宋" w:eastAsia="仿宋" w:cs="仿宋"/>
                <w:color w:val="auto"/>
                <w:sz w:val="24"/>
                <w:lang w:eastAsia="zh-CN"/>
              </w:rPr>
            </w:pPr>
            <w:r>
              <w:rPr>
                <w:rFonts w:hint="eastAsia" w:ascii="仿宋" w:hAnsi="仿宋" w:eastAsia="仿宋" w:cs="仿宋"/>
                <w:b/>
                <w:color w:val="auto"/>
                <w:sz w:val="24"/>
                <w:lang w:eastAsia="zh-CN"/>
              </w:rPr>
              <w:t>开标时间及地点：</w:t>
            </w:r>
            <w:r>
              <w:rPr>
                <w:rFonts w:hint="eastAsia" w:ascii="仿宋" w:hAnsi="仿宋" w:eastAsia="仿宋" w:cs="仿宋"/>
                <w:color w:val="auto"/>
                <w:sz w:val="24"/>
                <w:lang w:eastAsia="zh-CN"/>
              </w:rPr>
              <w:t>详见招标公告。</w:t>
            </w:r>
          </w:p>
        </w:tc>
      </w:tr>
      <w:tr w14:paraId="41816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50" w:type="dxa"/>
            <w:tcBorders>
              <w:top w:val="single" w:color="auto" w:sz="4" w:space="0"/>
              <w:left w:val="single" w:color="auto" w:sz="4" w:space="0"/>
              <w:bottom w:val="single" w:color="auto" w:sz="4" w:space="0"/>
              <w:right w:val="single" w:color="auto" w:sz="4" w:space="0"/>
            </w:tcBorders>
            <w:vAlign w:val="center"/>
          </w:tcPr>
          <w:p w14:paraId="20FCCB71">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8</w:t>
            </w:r>
          </w:p>
        </w:tc>
        <w:tc>
          <w:tcPr>
            <w:tcW w:w="8740" w:type="dxa"/>
            <w:tcBorders>
              <w:top w:val="single" w:color="auto" w:sz="4" w:space="0"/>
              <w:left w:val="single" w:color="auto" w:sz="4" w:space="0"/>
              <w:bottom w:val="single" w:color="auto" w:sz="4" w:space="0"/>
              <w:right w:val="single" w:color="auto" w:sz="4" w:space="0"/>
            </w:tcBorders>
            <w:vAlign w:val="center"/>
          </w:tcPr>
          <w:p w14:paraId="0A412475">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评标办法（含中标候选人数量，不超过3个）:</w:t>
            </w:r>
            <w:r>
              <w:rPr>
                <w:rFonts w:hint="eastAsia" w:ascii="仿宋" w:hAnsi="仿宋" w:eastAsia="仿宋" w:cs="仿宋"/>
                <w:color w:val="auto"/>
                <w:sz w:val="24"/>
                <w:lang w:eastAsia="zh-CN"/>
              </w:rPr>
              <w:t>本项目采用综合评分法。</w:t>
            </w:r>
          </w:p>
        </w:tc>
      </w:tr>
      <w:tr w14:paraId="6AEDE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750" w:type="dxa"/>
            <w:tcBorders>
              <w:top w:val="single" w:color="auto" w:sz="4" w:space="0"/>
              <w:left w:val="single" w:color="auto" w:sz="4" w:space="0"/>
              <w:bottom w:val="single" w:color="auto" w:sz="4" w:space="0"/>
              <w:right w:val="single" w:color="auto" w:sz="4" w:space="0"/>
            </w:tcBorders>
            <w:vAlign w:val="center"/>
          </w:tcPr>
          <w:p w14:paraId="2D9A0794">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9</w:t>
            </w:r>
          </w:p>
        </w:tc>
        <w:tc>
          <w:tcPr>
            <w:tcW w:w="8740" w:type="dxa"/>
            <w:tcBorders>
              <w:top w:val="single" w:color="auto" w:sz="4" w:space="0"/>
              <w:left w:val="single" w:color="auto" w:sz="4" w:space="0"/>
              <w:bottom w:val="single" w:color="auto" w:sz="4" w:space="0"/>
              <w:right w:val="single" w:color="auto" w:sz="4" w:space="0"/>
            </w:tcBorders>
            <w:vAlign w:val="center"/>
          </w:tcPr>
          <w:p w14:paraId="03C4398F">
            <w:pPr>
              <w:spacing w:line="384"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中标公告及中标通知书：</w:t>
            </w:r>
            <w:r>
              <w:rPr>
                <w:rFonts w:hint="eastAsia" w:ascii="仿宋" w:hAnsi="仿宋" w:eastAsia="仿宋" w:cs="仿宋"/>
                <w:bCs/>
                <w:color w:val="auto"/>
                <w:sz w:val="24"/>
                <w:lang w:eastAsia="zh-CN"/>
              </w:rPr>
              <w:t>本项目评标委员会根据全体评标成员签字的原始评标记录和评标结果编写评评标报告，招标代理机构应当履行核对评标结果职责，并在评审评标结束后2个工作日内将评标报告通过公共资源电子交易系统提交招标人，招标人应当在收到评标报告1个工作日内通过公共资源交易系统线上确定中标人，中标人确定后，代理机构及时在《驻马店市公共资源交易中心网》、《河南省政府采购网》上发布中标公告，同时在驻马店市公共资源交易中心电子交易平台上向中标人推送电子版中标通知书，请中标人及时自助下载。</w:t>
            </w:r>
          </w:p>
        </w:tc>
      </w:tr>
      <w:tr w14:paraId="4CB64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50" w:type="dxa"/>
            <w:tcBorders>
              <w:top w:val="single" w:color="auto" w:sz="4" w:space="0"/>
              <w:left w:val="single" w:color="auto" w:sz="4" w:space="0"/>
              <w:bottom w:val="single" w:color="auto" w:sz="4" w:space="0"/>
              <w:right w:val="single" w:color="auto" w:sz="4" w:space="0"/>
            </w:tcBorders>
            <w:vAlign w:val="center"/>
          </w:tcPr>
          <w:p w14:paraId="41C1EBAC">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0</w:t>
            </w:r>
          </w:p>
        </w:tc>
        <w:tc>
          <w:tcPr>
            <w:tcW w:w="8740" w:type="dxa"/>
            <w:tcBorders>
              <w:top w:val="single" w:color="auto" w:sz="4" w:space="0"/>
              <w:left w:val="single" w:color="auto" w:sz="4" w:space="0"/>
              <w:bottom w:val="single" w:color="auto" w:sz="4" w:space="0"/>
              <w:right w:val="single" w:color="auto" w:sz="4" w:space="0"/>
            </w:tcBorders>
            <w:vAlign w:val="center"/>
          </w:tcPr>
          <w:p w14:paraId="55FBA7D9">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投标保证金交纳与退还：</w:t>
            </w:r>
            <w:r>
              <w:rPr>
                <w:rFonts w:hint="eastAsia" w:ascii="仿宋" w:hAnsi="仿宋" w:eastAsia="仿宋" w:cs="仿宋"/>
                <w:color w:val="auto"/>
                <w:sz w:val="24"/>
                <w:lang w:eastAsia="zh-CN"/>
              </w:rPr>
              <w:t>本项目不收取投标保证金。</w:t>
            </w:r>
          </w:p>
        </w:tc>
      </w:tr>
      <w:tr w14:paraId="5B2A1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750" w:type="dxa"/>
            <w:tcBorders>
              <w:top w:val="single" w:color="auto" w:sz="4" w:space="0"/>
              <w:left w:val="single" w:color="auto" w:sz="4" w:space="0"/>
              <w:bottom w:val="single" w:color="auto" w:sz="4" w:space="0"/>
              <w:right w:val="single" w:color="auto" w:sz="4" w:space="0"/>
            </w:tcBorders>
            <w:vAlign w:val="center"/>
          </w:tcPr>
          <w:p w14:paraId="2DF939B8">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1</w:t>
            </w:r>
          </w:p>
        </w:tc>
        <w:tc>
          <w:tcPr>
            <w:tcW w:w="8740" w:type="dxa"/>
            <w:tcBorders>
              <w:top w:val="single" w:color="auto" w:sz="4" w:space="0"/>
              <w:left w:val="single" w:color="auto" w:sz="4" w:space="0"/>
              <w:bottom w:val="single" w:color="auto" w:sz="4" w:space="0"/>
              <w:right w:val="single" w:color="auto" w:sz="4" w:space="0"/>
            </w:tcBorders>
            <w:vAlign w:val="center"/>
          </w:tcPr>
          <w:p w14:paraId="31A7D111">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签订合同：</w:t>
            </w:r>
            <w:r>
              <w:rPr>
                <w:rFonts w:hint="eastAsia" w:ascii="仿宋" w:hAnsi="仿宋" w:eastAsia="仿宋" w:cs="仿宋"/>
                <w:color w:val="auto"/>
                <w:sz w:val="24"/>
                <w:lang w:eastAsia="zh-CN"/>
              </w:rPr>
              <w:t>详见第二章招标需求第三项商务要求。</w:t>
            </w:r>
          </w:p>
        </w:tc>
      </w:tr>
      <w:tr w14:paraId="6FD82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50" w:type="dxa"/>
            <w:tcBorders>
              <w:top w:val="single" w:color="auto" w:sz="4" w:space="0"/>
              <w:left w:val="single" w:color="auto" w:sz="4" w:space="0"/>
              <w:bottom w:val="single" w:color="auto" w:sz="4" w:space="0"/>
              <w:right w:val="single" w:color="auto" w:sz="4" w:space="0"/>
            </w:tcBorders>
            <w:vAlign w:val="center"/>
          </w:tcPr>
          <w:p w14:paraId="6FE8FF00">
            <w:pPr>
              <w:spacing w:line="360" w:lineRule="auto"/>
              <w:jc w:val="center"/>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2</w:t>
            </w:r>
            <w:r>
              <w:rPr>
                <w:rFonts w:hint="eastAsia" w:ascii="仿宋" w:hAnsi="仿宋" w:eastAsia="仿宋" w:cs="仿宋"/>
                <w:color w:val="auto"/>
                <w:sz w:val="24"/>
              </w:rPr>
              <w:t>3</w:t>
            </w:r>
          </w:p>
        </w:tc>
        <w:tc>
          <w:tcPr>
            <w:tcW w:w="8740" w:type="dxa"/>
            <w:tcBorders>
              <w:top w:val="single" w:color="auto" w:sz="4" w:space="0"/>
              <w:left w:val="single" w:color="auto" w:sz="4" w:space="0"/>
              <w:bottom w:val="single" w:color="auto" w:sz="4" w:space="0"/>
              <w:right w:val="single" w:color="auto" w:sz="4" w:space="0"/>
            </w:tcBorders>
            <w:vAlign w:val="center"/>
          </w:tcPr>
          <w:p w14:paraId="60AADC2E">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 xml:space="preserve">履约保证金的收取及退还: </w:t>
            </w:r>
            <w:r>
              <w:rPr>
                <w:rFonts w:hint="eastAsia" w:ascii="仿宋" w:hAnsi="仿宋" w:eastAsia="仿宋" w:cs="仿宋"/>
                <w:color w:val="auto"/>
                <w:sz w:val="24"/>
                <w:lang w:eastAsia="zh-CN"/>
              </w:rPr>
              <w:t>本项目不收取履约保证金。</w:t>
            </w:r>
          </w:p>
        </w:tc>
      </w:tr>
      <w:tr w14:paraId="2E138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50" w:type="dxa"/>
            <w:tcBorders>
              <w:top w:val="single" w:color="auto" w:sz="4" w:space="0"/>
              <w:left w:val="single" w:color="auto" w:sz="4" w:space="0"/>
              <w:bottom w:val="nil"/>
              <w:right w:val="single" w:color="auto" w:sz="4" w:space="0"/>
            </w:tcBorders>
            <w:vAlign w:val="center"/>
          </w:tcPr>
          <w:p w14:paraId="7AC6C051">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3</w:t>
            </w:r>
          </w:p>
        </w:tc>
        <w:tc>
          <w:tcPr>
            <w:tcW w:w="8740" w:type="dxa"/>
            <w:tcBorders>
              <w:top w:val="single" w:color="auto" w:sz="4" w:space="0"/>
              <w:left w:val="single" w:color="auto" w:sz="4" w:space="0"/>
              <w:bottom w:val="nil"/>
              <w:right w:val="single" w:color="auto" w:sz="4" w:space="0"/>
            </w:tcBorders>
            <w:vAlign w:val="center"/>
          </w:tcPr>
          <w:p w14:paraId="46189783">
            <w:pPr>
              <w:spacing w:line="360" w:lineRule="auto"/>
              <w:textAlignment w:val="bottom"/>
              <w:rPr>
                <w:rFonts w:ascii="仿宋" w:hAnsi="仿宋" w:eastAsia="仿宋" w:cs="仿宋"/>
                <w:b/>
                <w:color w:val="auto"/>
                <w:sz w:val="24"/>
                <w:lang w:eastAsia="zh-CN"/>
              </w:rPr>
            </w:pPr>
            <w:r>
              <w:rPr>
                <w:rFonts w:hint="eastAsia" w:ascii="仿宋" w:hAnsi="仿宋" w:eastAsia="仿宋" w:cs="仿宋"/>
                <w:b/>
                <w:color w:val="auto"/>
                <w:sz w:val="24"/>
                <w:lang w:eastAsia="zh-CN"/>
              </w:rPr>
              <w:t>采购资金来源：</w:t>
            </w:r>
            <w:r>
              <w:rPr>
                <w:rFonts w:hint="eastAsia" w:ascii="仿宋" w:hAnsi="仿宋" w:eastAsia="仿宋" w:cs="仿宋"/>
                <w:color w:val="auto"/>
                <w:sz w:val="24"/>
                <w:lang w:eastAsia="zh-CN"/>
              </w:rPr>
              <w:t>财政资金。</w:t>
            </w:r>
          </w:p>
        </w:tc>
      </w:tr>
      <w:tr w14:paraId="5A764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5BDF4D07">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4</w:t>
            </w:r>
          </w:p>
        </w:tc>
        <w:tc>
          <w:tcPr>
            <w:tcW w:w="8740" w:type="dxa"/>
            <w:tcBorders>
              <w:top w:val="single" w:color="auto" w:sz="4" w:space="0"/>
              <w:left w:val="single" w:color="auto" w:sz="4" w:space="0"/>
              <w:bottom w:val="single" w:color="auto" w:sz="4" w:space="0"/>
              <w:right w:val="single" w:color="auto" w:sz="4" w:space="0"/>
            </w:tcBorders>
            <w:vAlign w:val="center"/>
          </w:tcPr>
          <w:p w14:paraId="32D44D52">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付款方式：</w:t>
            </w:r>
            <w:r>
              <w:rPr>
                <w:rFonts w:hint="eastAsia" w:ascii="仿宋" w:hAnsi="仿宋" w:eastAsia="仿宋" w:cs="仿宋"/>
                <w:color w:val="auto"/>
                <w:sz w:val="24"/>
                <w:lang w:eastAsia="zh-CN"/>
              </w:rPr>
              <w:t>详见第二章招标需求第三项商务要求。</w:t>
            </w:r>
          </w:p>
        </w:tc>
      </w:tr>
      <w:tr w14:paraId="2266A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41D3EA55">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5</w:t>
            </w:r>
          </w:p>
        </w:tc>
        <w:tc>
          <w:tcPr>
            <w:tcW w:w="8740" w:type="dxa"/>
            <w:tcBorders>
              <w:top w:val="single" w:color="auto" w:sz="4" w:space="0"/>
              <w:left w:val="single" w:color="auto" w:sz="4" w:space="0"/>
              <w:bottom w:val="single" w:color="auto" w:sz="4" w:space="0"/>
              <w:right w:val="single" w:color="auto" w:sz="4" w:space="0"/>
            </w:tcBorders>
            <w:vAlign w:val="center"/>
          </w:tcPr>
          <w:p w14:paraId="120723A5">
            <w:pPr>
              <w:spacing w:line="360" w:lineRule="auto"/>
              <w:textAlignment w:val="bottom"/>
              <w:rPr>
                <w:rFonts w:ascii="仿宋" w:hAnsi="仿宋" w:eastAsia="仿宋" w:cs="仿宋"/>
                <w:color w:val="auto"/>
                <w:sz w:val="24"/>
                <w:lang w:eastAsia="zh-CN"/>
              </w:rPr>
            </w:pPr>
            <w:r>
              <w:rPr>
                <w:rFonts w:hint="eastAsia" w:ascii="仿宋" w:hAnsi="仿宋" w:eastAsia="仿宋" w:cs="仿宋"/>
                <w:color w:val="auto"/>
                <w:sz w:val="24"/>
                <w:lang w:eastAsia="zh-CN"/>
              </w:rPr>
              <w:t>中标人可以以政府采购合同为担保向金融机构进行贷款融资。</w:t>
            </w:r>
          </w:p>
        </w:tc>
      </w:tr>
      <w:tr w14:paraId="5B39D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17E779EF">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6</w:t>
            </w:r>
          </w:p>
        </w:tc>
        <w:tc>
          <w:tcPr>
            <w:tcW w:w="8740" w:type="dxa"/>
            <w:tcBorders>
              <w:top w:val="single" w:color="auto" w:sz="4" w:space="0"/>
              <w:left w:val="single" w:color="auto" w:sz="4" w:space="0"/>
              <w:bottom w:val="single" w:color="auto" w:sz="4" w:space="0"/>
              <w:right w:val="single" w:color="auto" w:sz="4" w:space="0"/>
            </w:tcBorders>
            <w:vAlign w:val="center"/>
          </w:tcPr>
          <w:p w14:paraId="205A1E16">
            <w:pPr>
              <w:spacing w:line="360" w:lineRule="auto"/>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投标文件有效期：</w:t>
            </w:r>
            <w:r>
              <w:rPr>
                <w:rFonts w:hint="eastAsia" w:ascii="仿宋" w:hAnsi="仿宋" w:eastAsia="仿宋" w:cs="仿宋"/>
                <w:color w:val="auto"/>
                <w:sz w:val="24"/>
                <w:lang w:eastAsia="zh-CN"/>
              </w:rPr>
              <w:t>投标截止期结束后60日。中标人的投标文件是合同的组成部分,有效期至合同完全履行止。</w:t>
            </w:r>
          </w:p>
        </w:tc>
      </w:tr>
      <w:tr w14:paraId="385E5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6BC76E6A">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7</w:t>
            </w:r>
          </w:p>
        </w:tc>
        <w:tc>
          <w:tcPr>
            <w:tcW w:w="8740" w:type="dxa"/>
            <w:tcBorders>
              <w:top w:val="single" w:color="auto" w:sz="4" w:space="0"/>
              <w:left w:val="single" w:color="auto" w:sz="4" w:space="0"/>
              <w:bottom w:val="nil"/>
              <w:right w:val="single" w:color="auto" w:sz="4" w:space="0"/>
            </w:tcBorders>
            <w:vAlign w:val="center"/>
          </w:tcPr>
          <w:p w14:paraId="46BF3AA0">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根据《关于在政府采购活动中查询及使用信用记录有关问题的通知》财库【2016】125 号文件规定，对列入失信被执行人、重大税收违法失信主体、政府采购严重违法失信行为记录名单的投标人，拒绝其参与本项目政府采购活动。</w:t>
            </w:r>
          </w:p>
        </w:tc>
      </w:tr>
      <w:tr w14:paraId="0F950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1FF516E4">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8</w:t>
            </w:r>
          </w:p>
        </w:tc>
        <w:tc>
          <w:tcPr>
            <w:tcW w:w="8740" w:type="dxa"/>
            <w:tcBorders>
              <w:top w:val="single" w:color="auto" w:sz="4" w:space="0"/>
              <w:left w:val="single" w:color="auto" w:sz="4" w:space="0"/>
              <w:bottom w:val="nil"/>
              <w:right w:val="single" w:color="auto" w:sz="4" w:space="0"/>
            </w:tcBorders>
            <w:vAlign w:val="center"/>
          </w:tcPr>
          <w:p w14:paraId="2CE46254">
            <w:pPr>
              <w:spacing w:line="360" w:lineRule="auto"/>
              <w:rPr>
                <w:rFonts w:ascii="仿宋" w:hAnsi="仿宋" w:eastAsia="仿宋" w:cs="仿宋"/>
                <w:color w:val="auto"/>
                <w:sz w:val="24"/>
                <w:lang w:eastAsia="zh-CN"/>
              </w:rPr>
            </w:pPr>
            <w:r>
              <w:rPr>
                <w:rFonts w:hint="eastAsia" w:ascii="仿宋" w:hAnsi="仿宋" w:eastAsia="仿宋" w:cs="仿宋"/>
                <w:b/>
                <w:color w:val="auto"/>
                <w:sz w:val="24"/>
                <w:lang w:eastAsia="zh-CN"/>
              </w:rPr>
              <w:t>质疑和投诉：</w:t>
            </w:r>
            <w:r>
              <w:rPr>
                <w:rFonts w:hint="eastAsia" w:ascii="仿宋" w:hAnsi="仿宋" w:eastAsia="仿宋" w:cs="仿宋"/>
                <w:color w:val="auto"/>
                <w:sz w:val="24"/>
                <w:lang w:eastAsia="zh-CN"/>
              </w:rPr>
              <w:t>详见第三章投标人须知第10条。</w:t>
            </w:r>
          </w:p>
        </w:tc>
      </w:tr>
      <w:tr w14:paraId="18EF9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4D1ED1A7">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lang w:eastAsia="zh-CN"/>
              </w:rPr>
              <w:t>19</w:t>
            </w:r>
          </w:p>
        </w:tc>
        <w:tc>
          <w:tcPr>
            <w:tcW w:w="8740" w:type="dxa"/>
            <w:tcBorders>
              <w:top w:val="single" w:color="auto" w:sz="4" w:space="0"/>
              <w:left w:val="single" w:color="auto" w:sz="4" w:space="0"/>
              <w:bottom w:val="nil"/>
              <w:right w:val="single" w:color="auto" w:sz="4" w:space="0"/>
            </w:tcBorders>
            <w:vAlign w:val="center"/>
          </w:tcPr>
          <w:p w14:paraId="3ECBF1E6">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本项目使用远程不见面交易的模式。投标人应于投标截止时间前将加密电子投标文件(.zmdtf格式)在驻马店市公共资源交易中心电子交易平台加密上传，逾期上传其投标将被拒绝。</w:t>
            </w:r>
          </w:p>
        </w:tc>
      </w:tr>
      <w:tr w14:paraId="604AC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10260011">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0</w:t>
            </w:r>
          </w:p>
        </w:tc>
        <w:tc>
          <w:tcPr>
            <w:tcW w:w="8740" w:type="dxa"/>
            <w:tcBorders>
              <w:top w:val="single" w:color="auto" w:sz="4" w:space="0"/>
              <w:left w:val="single" w:color="auto" w:sz="4" w:space="0"/>
              <w:bottom w:val="nil"/>
              <w:right w:val="single" w:color="auto" w:sz="4" w:space="0"/>
            </w:tcBorders>
            <w:vAlign w:val="center"/>
          </w:tcPr>
          <w:p w14:paraId="25B453CF">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投标人注册:</w:t>
            </w:r>
          </w:p>
          <w:p w14:paraId="40CB7F58">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投标人首先通过“驻马店市公共资源交易中心（https://ggzy.zhumadian.gov.cn/TPFron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351C9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70ECBFDF">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1</w:t>
            </w:r>
          </w:p>
        </w:tc>
        <w:tc>
          <w:tcPr>
            <w:tcW w:w="8740" w:type="dxa"/>
            <w:tcBorders>
              <w:top w:val="single" w:color="auto" w:sz="4" w:space="0"/>
              <w:left w:val="single" w:color="auto" w:sz="4" w:space="0"/>
              <w:bottom w:val="single" w:color="auto" w:sz="4" w:space="0"/>
              <w:right w:val="single" w:color="auto" w:sz="4" w:space="0"/>
            </w:tcBorders>
            <w:vAlign w:val="center"/>
          </w:tcPr>
          <w:p w14:paraId="08AF1455">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 xml:space="preserve">招标文件下载: </w:t>
            </w:r>
          </w:p>
          <w:p w14:paraId="12A96C8C">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凡有意参加投标者，登录“驻马店市公共资源交易中心（https://ggzy.zhumadian.gov.cn/TPFront//）”网站，凭领取的企业身份认证锁（CA密钥）登录系统进行网上免费下载招标文件。投标人未按规定在网上下载招标文件的，其投标将被拒绝。</w:t>
            </w:r>
          </w:p>
        </w:tc>
      </w:tr>
      <w:tr w14:paraId="70E41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293B6942">
            <w:pPr>
              <w:spacing w:line="360" w:lineRule="auto"/>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2</w:t>
            </w:r>
          </w:p>
        </w:tc>
        <w:tc>
          <w:tcPr>
            <w:tcW w:w="8740" w:type="dxa"/>
            <w:tcBorders>
              <w:top w:val="single" w:color="auto" w:sz="4" w:space="0"/>
              <w:left w:val="single" w:color="auto" w:sz="4" w:space="0"/>
              <w:bottom w:val="single" w:color="auto" w:sz="4" w:space="0"/>
              <w:right w:val="single" w:color="auto" w:sz="4" w:space="0"/>
            </w:tcBorders>
            <w:vAlign w:val="center"/>
          </w:tcPr>
          <w:p w14:paraId="1F539A13">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 xml:space="preserve">投标文件制作: </w:t>
            </w:r>
          </w:p>
          <w:p w14:paraId="03DDFB95">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1、投标人通过“驻马店市公共资源交易中心（https://ggzy.zhumadian.gov.cn/TPFront/）”网站下载中心（政府采购类）：下载“新点投标文件制作软件（驻马店）”。</w:t>
            </w:r>
          </w:p>
          <w:p w14:paraId="72E5535A">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2、投标人凭 CA 密钥登陆交易系统下载招标文件(.zmdzf 格式)。</w:t>
            </w:r>
          </w:p>
          <w:p w14:paraId="7D77368C">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3、投标人须在投标截止时间前制作并提交加密的电子投标文件（.zmdtf 格式）,</w:t>
            </w:r>
            <w:r>
              <w:rPr>
                <w:rFonts w:hint="eastAsia" w:ascii="仿宋" w:hAnsi="仿宋" w:eastAsia="仿宋" w:cs="仿宋"/>
                <w:color w:val="auto"/>
                <w:sz w:val="20"/>
                <w:szCs w:val="22"/>
                <w:lang w:eastAsia="zh-CN"/>
              </w:rPr>
              <w:t xml:space="preserve"> </w:t>
            </w:r>
            <w:r>
              <w:rPr>
                <w:rFonts w:hint="eastAsia" w:ascii="仿宋" w:hAnsi="仿宋" w:eastAsia="仿宋" w:cs="仿宋"/>
                <w:color w:val="auto"/>
                <w:sz w:val="24"/>
                <w:lang w:eastAsia="zh-CN"/>
              </w:rPr>
              <w:t>应在投标截止时间前通过“驻马店市公共资源交易中心（https://ggzy.zhumadian.gov.cn/TPFront/）”电子交易平台内上传。</w:t>
            </w:r>
          </w:p>
          <w:p w14:paraId="13E8D03D">
            <w:pPr>
              <w:spacing w:line="360" w:lineRule="auto"/>
              <w:rPr>
                <w:rFonts w:ascii="仿宋" w:hAnsi="仿宋" w:eastAsia="仿宋" w:cs="仿宋"/>
                <w:color w:val="auto"/>
                <w:sz w:val="24"/>
              </w:rPr>
            </w:pPr>
            <w:r>
              <w:rPr>
                <w:rFonts w:hint="eastAsia" w:ascii="仿宋" w:hAnsi="仿宋" w:eastAsia="仿宋" w:cs="仿宋"/>
                <w:color w:val="auto"/>
                <w:sz w:val="24"/>
              </w:rPr>
              <w:t>4、加密的电子投标文件为“驻马店市公共资源交易中心（https://ggzy.zhumadian.gov.cn/TPFront/）”网站提供的“新点投标文件制作软件（驻马店）”制作生成的加密版投标文件。</w:t>
            </w:r>
          </w:p>
          <w:p w14:paraId="6A832848">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14:paraId="6C8DE493">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6、招标文件格式所要求包含的全部资料应全部制作在投标文件内，严格按照本项目招标文件所有格式如实填写（不涉及的内容除外），不应存在漏项或缺项，否则将存在投标文件被拒绝的风险。</w:t>
            </w:r>
          </w:p>
          <w:p w14:paraId="6EBC0399">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7、投标文件以外的任何资料招标人和代理机构将拒收。</w:t>
            </w:r>
          </w:p>
          <w:p w14:paraId="276D8700">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8、投标人编辑电子投标文件时，根据招标文件要求用法人 CA 密钥和企业CA 密钥进行签章制作；最后一步生成电子投标文件（.zmdtf 格式和.nzmdtf 格式）时，只能用本单位的企业 CA 密钥。</w:t>
            </w:r>
          </w:p>
          <w:p w14:paraId="7D7C92C8">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9、电子投标文件制作流程，可参考驻马店市公共资源交易中心官方网站的下载中心板块的视频。</w:t>
            </w:r>
          </w:p>
        </w:tc>
      </w:tr>
      <w:tr w14:paraId="76C64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65DFC1DA">
            <w:pPr>
              <w:spacing w:line="360" w:lineRule="auto"/>
              <w:contextualSpacing/>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3</w:t>
            </w:r>
          </w:p>
        </w:tc>
        <w:tc>
          <w:tcPr>
            <w:tcW w:w="8740" w:type="dxa"/>
            <w:tcBorders>
              <w:top w:val="single" w:color="auto" w:sz="4" w:space="0"/>
              <w:left w:val="single" w:color="auto" w:sz="4" w:space="0"/>
              <w:bottom w:val="nil"/>
              <w:right w:val="single" w:color="auto" w:sz="4" w:space="0"/>
            </w:tcBorders>
            <w:vAlign w:val="center"/>
          </w:tcPr>
          <w:p w14:paraId="19620A6B">
            <w:pPr>
              <w:spacing w:line="360" w:lineRule="auto"/>
              <w:contextualSpacing/>
              <w:rPr>
                <w:rFonts w:ascii="仿宋" w:hAnsi="仿宋" w:eastAsia="仿宋" w:cs="仿宋"/>
                <w:b/>
                <w:bCs/>
                <w:color w:val="auto"/>
                <w:sz w:val="24"/>
                <w:lang w:eastAsia="zh-CN"/>
              </w:rPr>
            </w:pPr>
            <w:r>
              <w:rPr>
                <w:rFonts w:hint="eastAsia" w:ascii="仿宋" w:hAnsi="仿宋" w:eastAsia="仿宋" w:cs="仿宋"/>
                <w:b/>
                <w:bCs/>
                <w:color w:val="auto"/>
                <w:sz w:val="24"/>
                <w:lang w:eastAsia="zh-CN"/>
              </w:rPr>
              <w:t>投标文件上传:</w:t>
            </w:r>
            <w:r>
              <w:rPr>
                <w:rFonts w:hint="eastAsia" w:ascii="仿宋" w:hAnsi="仿宋" w:eastAsia="仿宋" w:cs="仿宋"/>
                <w:bCs/>
                <w:color w:val="auto"/>
                <w:sz w:val="24"/>
                <w:lang w:eastAsia="zh-CN"/>
              </w:rPr>
              <w:t>详见第三章投标人须知第22条</w:t>
            </w:r>
          </w:p>
        </w:tc>
      </w:tr>
      <w:tr w14:paraId="5E0BF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1FF54EFB">
            <w:pPr>
              <w:spacing w:line="360" w:lineRule="auto"/>
              <w:contextualSpacing/>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4</w:t>
            </w:r>
          </w:p>
        </w:tc>
        <w:tc>
          <w:tcPr>
            <w:tcW w:w="8740" w:type="dxa"/>
            <w:tcBorders>
              <w:top w:val="single" w:color="auto" w:sz="4" w:space="0"/>
              <w:left w:val="single" w:color="auto" w:sz="4" w:space="0"/>
              <w:bottom w:val="single" w:color="auto" w:sz="4" w:space="0"/>
              <w:right w:val="single" w:color="auto" w:sz="4" w:space="0"/>
            </w:tcBorders>
            <w:vAlign w:val="center"/>
          </w:tcPr>
          <w:p w14:paraId="08833616">
            <w:pPr>
              <w:spacing w:line="360" w:lineRule="auto"/>
              <w:contextualSpacing/>
              <w:rPr>
                <w:rFonts w:ascii="仿宋" w:hAnsi="仿宋" w:eastAsia="仿宋" w:cs="仿宋"/>
                <w:b/>
                <w:color w:val="auto"/>
                <w:sz w:val="24"/>
                <w:lang w:eastAsia="zh-CN"/>
              </w:rPr>
            </w:pPr>
            <w:r>
              <w:rPr>
                <w:rFonts w:hint="eastAsia" w:ascii="仿宋" w:hAnsi="仿宋" w:eastAsia="仿宋" w:cs="仿宋"/>
                <w:b/>
                <w:bCs/>
                <w:color w:val="auto"/>
                <w:sz w:val="24"/>
                <w:lang w:eastAsia="zh-CN"/>
              </w:rPr>
              <w:t>招标文件的澄清与变更:</w:t>
            </w:r>
            <w:r>
              <w:rPr>
                <w:rFonts w:hint="eastAsia" w:ascii="仿宋" w:hAnsi="仿宋" w:eastAsia="仿宋" w:cs="仿宋"/>
                <w:b/>
                <w:color w:val="auto"/>
                <w:sz w:val="24"/>
                <w:lang w:eastAsia="zh-CN"/>
              </w:rPr>
              <w:t xml:space="preserve"> </w:t>
            </w:r>
          </w:p>
          <w:p w14:paraId="5FF0A30A">
            <w:pPr>
              <w:spacing w:line="360" w:lineRule="auto"/>
              <w:contextualSpacing/>
              <w:rPr>
                <w:rFonts w:ascii="仿宋" w:hAnsi="仿宋" w:eastAsia="仿宋" w:cs="仿宋"/>
                <w:bCs/>
                <w:color w:val="auto"/>
                <w:sz w:val="24"/>
                <w:lang w:eastAsia="zh-CN"/>
              </w:rPr>
            </w:pPr>
            <w:r>
              <w:rPr>
                <w:rFonts w:hint="eastAsia" w:ascii="仿宋" w:hAnsi="仿宋" w:eastAsia="仿宋" w:cs="仿宋"/>
                <w:color w:val="auto"/>
                <w:sz w:val="24"/>
                <w:lang w:eastAsia="zh-CN"/>
              </w:rPr>
              <w:t>1、</w:t>
            </w:r>
            <w:r>
              <w:rPr>
                <w:rFonts w:hint="eastAsia" w:ascii="仿宋" w:hAnsi="仿宋" w:eastAsia="仿宋" w:cs="仿宋"/>
                <w:bCs/>
                <w:color w:val="auto"/>
                <w:sz w:val="24"/>
                <w:lang w:eastAsia="zh-CN"/>
              </w:rPr>
              <w:t>招标人、代理机构对已发出的招标文件进行的澄清、更正或更改，澄清、更正或更改的内容将作为招标文件的组成部分。代理机构将通过网站“变更公告”和“答疑文件”告知投标人。各投标人须下载招标文件和最新的答疑文件，以此编制投标文件。</w:t>
            </w:r>
          </w:p>
          <w:p w14:paraId="30A26D36">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2、因驻马店市公共资源交易中心电子交易平台在开标前具有保密性，投标人在投标截止时间前须自行查看项目进展、变更通知、澄清及回复，因投标人未及时查看而造成的后果自负，此项做出书面承诺，否则视为不响应招标文件。</w:t>
            </w:r>
          </w:p>
        </w:tc>
      </w:tr>
      <w:tr w14:paraId="76CE9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single" w:color="auto" w:sz="4" w:space="0"/>
              <w:right w:val="single" w:color="auto" w:sz="4" w:space="0"/>
            </w:tcBorders>
            <w:vAlign w:val="center"/>
          </w:tcPr>
          <w:p w14:paraId="18C0C27F">
            <w:pPr>
              <w:spacing w:line="360" w:lineRule="auto"/>
              <w:contextualSpacing/>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5</w:t>
            </w:r>
          </w:p>
        </w:tc>
        <w:tc>
          <w:tcPr>
            <w:tcW w:w="8740" w:type="dxa"/>
            <w:tcBorders>
              <w:top w:val="single" w:color="auto" w:sz="4" w:space="0"/>
              <w:left w:val="single" w:color="auto" w:sz="4" w:space="0"/>
              <w:bottom w:val="single" w:color="auto" w:sz="4" w:space="0"/>
              <w:right w:val="single" w:color="auto" w:sz="4" w:space="0"/>
            </w:tcBorders>
            <w:vAlign w:val="center"/>
          </w:tcPr>
          <w:p w14:paraId="34385D0E">
            <w:pPr>
              <w:spacing w:line="360" w:lineRule="auto"/>
              <w:contextualSpacing/>
              <w:rPr>
                <w:rFonts w:ascii="仿宋" w:hAnsi="仿宋" w:eastAsia="仿宋" w:cs="仿宋"/>
                <w:b/>
                <w:bCs/>
                <w:color w:val="auto"/>
                <w:sz w:val="24"/>
                <w:lang w:eastAsia="zh-CN"/>
              </w:rPr>
            </w:pPr>
            <w:r>
              <w:rPr>
                <w:rFonts w:hint="eastAsia" w:ascii="仿宋" w:hAnsi="仿宋" w:eastAsia="仿宋" w:cs="仿宋"/>
                <w:b/>
                <w:bCs/>
                <w:color w:val="auto"/>
                <w:sz w:val="24"/>
                <w:lang w:eastAsia="zh-CN"/>
              </w:rPr>
              <w:t>开标：</w:t>
            </w:r>
          </w:p>
          <w:p w14:paraId="76DA420C">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1、开标当日，投标人无需到达开标现场，仅需在任意地点使用企业CA 密钥登入驻马店市公共资源交易中心电子交易平台不见面开标大厅（http://ggzy.zhumadian.gov.cn:9190/BidOpening/bidopeninghallaction/hall/login）及相应的配套硬件设备（摄像头、话筒、麦克风等）参加开标会议。</w:t>
            </w:r>
          </w:p>
          <w:p w14:paraId="74584FDD">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14:paraId="64816F29">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3、远程开标前，投标人务必在驻马店市公共资源交易中心电子交易平台投标文件上传模块中使用“模拟解密”功能，验证本机远程自助解密环境。</w:t>
            </w:r>
          </w:p>
          <w:p w14:paraId="2D841630">
            <w:pPr>
              <w:spacing w:line="360" w:lineRule="auto"/>
              <w:contextualSpacing/>
              <w:rPr>
                <w:rFonts w:ascii="仿宋" w:hAnsi="仿宋" w:eastAsia="仿宋" w:cs="仿宋"/>
                <w:b/>
                <w:bCs/>
                <w:color w:val="auto"/>
                <w:sz w:val="24"/>
                <w:lang w:eastAsia="zh-CN"/>
              </w:rPr>
            </w:pPr>
            <w:r>
              <w:rPr>
                <w:rFonts w:hint="eastAsia" w:ascii="仿宋" w:hAnsi="仿宋" w:eastAsia="仿宋" w:cs="仿宋"/>
                <w:b/>
                <w:bCs/>
                <w:color w:val="auto"/>
                <w:sz w:val="24"/>
                <w:lang w:eastAsia="zh-CN"/>
              </w:rPr>
              <w:t>4、特别提醒：</w:t>
            </w:r>
          </w:p>
          <w:p w14:paraId="6BB75C79">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14:paraId="245AFF6B">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（1）网络要求：网络带宽4M以上。</w:t>
            </w:r>
          </w:p>
          <w:p w14:paraId="68586F39">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（2）硬件要求：电脑要求内存4G及以上，且需配套网络摄像头、麦克风、音箱等，并确保其均能正常运转。操作系统要求Windows7及以上，IE浏览器IE11及以上。</w:t>
            </w:r>
          </w:p>
          <w:p w14:paraId="33246B46">
            <w:pPr>
              <w:spacing w:line="360" w:lineRule="auto"/>
              <w:contextualSpacing/>
              <w:rPr>
                <w:rFonts w:ascii="仿宋" w:hAnsi="仿宋" w:eastAsia="仿宋" w:cs="仿宋"/>
                <w:bCs/>
                <w:color w:val="auto"/>
                <w:sz w:val="24"/>
                <w:lang w:eastAsia="zh-CN"/>
              </w:rPr>
            </w:pPr>
            <w:r>
              <w:rPr>
                <w:rFonts w:hint="eastAsia" w:ascii="仿宋" w:hAnsi="仿宋" w:eastAsia="仿宋" w:cs="仿宋"/>
                <w:bCs/>
                <w:color w:val="auto"/>
                <w:sz w:val="24"/>
                <w:lang w:eastAsia="zh-CN"/>
              </w:rPr>
              <w:t>（3）人员要求：对于参与驻马店市公共资源交易中心电子交易平台不见面交易系统开标的投标人，要求能熟练掌握电脑基础操作。不见面开标操作手册下载地址：</w:t>
            </w:r>
          </w:p>
          <w:p w14:paraId="297BCFD7">
            <w:pPr>
              <w:spacing w:line="360" w:lineRule="auto"/>
              <w:contextualSpacing/>
              <w:rPr>
                <w:rFonts w:ascii="仿宋" w:hAnsi="仿宋" w:eastAsia="仿宋" w:cs="仿宋"/>
                <w:bCs/>
                <w:color w:val="auto"/>
                <w:sz w:val="24"/>
              </w:rPr>
            </w:pPr>
            <w:r>
              <w:rPr>
                <w:rFonts w:hint="eastAsia" w:ascii="仿宋" w:hAnsi="仿宋" w:eastAsia="仿宋" w:cs="仿宋"/>
                <w:bCs/>
                <w:color w:val="auto"/>
                <w:sz w:val="24"/>
              </w:rPr>
              <w:t>（https://ggzy.zhumadian.gov.cn/TPFront/InfoDetail/?InfoID=09eaacd6-a524-447f-a5fd-776c58eb1582&amp;CategoryNum=026002）</w:t>
            </w:r>
          </w:p>
        </w:tc>
      </w:tr>
      <w:tr w14:paraId="104D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50" w:type="dxa"/>
            <w:tcBorders>
              <w:top w:val="single" w:color="auto" w:sz="4" w:space="0"/>
              <w:left w:val="single" w:color="auto" w:sz="4" w:space="0"/>
              <w:bottom w:val="nil"/>
              <w:right w:val="single" w:color="auto" w:sz="4" w:space="0"/>
            </w:tcBorders>
            <w:vAlign w:val="center"/>
          </w:tcPr>
          <w:p w14:paraId="4507ECBB">
            <w:pPr>
              <w:spacing w:line="360" w:lineRule="auto"/>
              <w:contextualSpacing/>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6</w:t>
            </w:r>
          </w:p>
        </w:tc>
        <w:tc>
          <w:tcPr>
            <w:tcW w:w="8740" w:type="dxa"/>
            <w:tcBorders>
              <w:top w:val="single" w:color="auto" w:sz="4" w:space="0"/>
              <w:left w:val="single" w:color="auto" w:sz="4" w:space="0"/>
              <w:bottom w:val="nil"/>
              <w:right w:val="single" w:color="auto" w:sz="4" w:space="0"/>
            </w:tcBorders>
            <w:vAlign w:val="center"/>
          </w:tcPr>
          <w:p w14:paraId="3A070531">
            <w:pPr>
              <w:spacing w:line="360" w:lineRule="auto"/>
              <w:contextualSpacing/>
              <w:rPr>
                <w:rFonts w:ascii="仿宋" w:hAnsi="仿宋" w:eastAsia="仿宋" w:cs="仿宋"/>
                <w:b/>
                <w:bCs/>
                <w:color w:val="auto"/>
                <w:sz w:val="24"/>
                <w:lang w:eastAsia="zh-CN"/>
              </w:rPr>
            </w:pPr>
            <w:r>
              <w:rPr>
                <w:rFonts w:hint="eastAsia" w:ascii="仿宋" w:hAnsi="仿宋" w:eastAsia="仿宋" w:cs="仿宋"/>
                <w:b/>
                <w:bCs/>
                <w:color w:val="auto"/>
                <w:sz w:val="24"/>
                <w:lang w:eastAsia="zh-CN"/>
              </w:rPr>
              <w:t>评标：</w:t>
            </w:r>
            <w:r>
              <w:rPr>
                <w:rFonts w:hint="eastAsia" w:ascii="仿宋" w:hAnsi="仿宋" w:eastAsia="仿宋" w:cs="仿宋"/>
                <w:bCs/>
                <w:color w:val="auto"/>
                <w:sz w:val="24"/>
                <w:lang w:eastAsia="zh-CN"/>
              </w:rPr>
              <w:t>详见第三章投标人须知第25、26、27、28、29、30条</w:t>
            </w:r>
          </w:p>
        </w:tc>
      </w:tr>
      <w:tr w14:paraId="007FB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50" w:type="dxa"/>
            <w:tcBorders>
              <w:top w:val="single" w:color="auto" w:sz="4" w:space="0"/>
              <w:left w:val="single" w:color="auto" w:sz="4" w:space="0"/>
              <w:bottom w:val="single" w:color="auto" w:sz="4" w:space="0"/>
              <w:right w:val="single" w:color="auto" w:sz="4" w:space="0"/>
            </w:tcBorders>
            <w:vAlign w:val="center"/>
          </w:tcPr>
          <w:p w14:paraId="6C617B39">
            <w:pPr>
              <w:spacing w:line="360" w:lineRule="auto"/>
              <w:contextualSpacing/>
              <w:jc w:val="center"/>
              <w:rPr>
                <w:rFonts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7</w:t>
            </w:r>
          </w:p>
        </w:tc>
        <w:tc>
          <w:tcPr>
            <w:tcW w:w="8740" w:type="dxa"/>
            <w:tcBorders>
              <w:top w:val="single" w:color="auto" w:sz="4" w:space="0"/>
              <w:left w:val="single" w:color="auto" w:sz="4" w:space="0"/>
              <w:bottom w:val="single" w:color="auto" w:sz="4" w:space="0"/>
              <w:right w:val="single" w:color="auto" w:sz="4" w:space="0"/>
            </w:tcBorders>
            <w:vAlign w:val="center"/>
          </w:tcPr>
          <w:p w14:paraId="042C38CD">
            <w:pPr>
              <w:spacing w:line="360" w:lineRule="auto"/>
              <w:contextualSpacing/>
              <w:textAlignment w:val="bottom"/>
              <w:rPr>
                <w:rFonts w:ascii="仿宋" w:hAnsi="仿宋" w:eastAsia="仿宋" w:cs="仿宋"/>
                <w:color w:val="auto"/>
                <w:sz w:val="24"/>
                <w:lang w:eastAsia="zh-CN"/>
              </w:rPr>
            </w:pPr>
            <w:r>
              <w:rPr>
                <w:rFonts w:hint="eastAsia" w:ascii="仿宋" w:hAnsi="仿宋" w:eastAsia="仿宋" w:cs="仿宋"/>
                <w:b/>
                <w:color w:val="auto"/>
                <w:sz w:val="24"/>
                <w:lang w:eastAsia="zh-CN"/>
              </w:rPr>
              <w:t>解释：</w:t>
            </w:r>
            <w:r>
              <w:rPr>
                <w:rFonts w:hint="eastAsia" w:ascii="仿宋" w:hAnsi="仿宋" w:eastAsia="仿宋" w:cs="仿宋"/>
                <w:color w:val="auto"/>
                <w:sz w:val="24"/>
                <w:lang w:eastAsia="zh-CN"/>
              </w:rPr>
              <w:t>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14:paraId="62D2E1B0">
            <w:pPr>
              <w:spacing w:line="360" w:lineRule="auto"/>
              <w:contextualSpacing/>
              <w:textAlignment w:val="bottom"/>
              <w:rPr>
                <w:rFonts w:ascii="仿宋" w:hAnsi="仿宋" w:eastAsia="仿宋" w:cs="仿宋"/>
                <w:color w:val="auto"/>
                <w:sz w:val="24"/>
                <w:lang w:eastAsia="zh-CN"/>
              </w:rPr>
            </w:pPr>
            <w:r>
              <w:rPr>
                <w:rFonts w:hint="eastAsia" w:ascii="仿宋" w:hAnsi="仿宋" w:eastAsia="仿宋" w:cs="仿宋"/>
                <w:color w:val="auto"/>
                <w:sz w:val="24"/>
                <w:lang w:eastAsia="zh-CN"/>
              </w:rPr>
              <w:t>按本款前述规定仍不能形成结论的，由招标人（或代理机构）负责解释。</w:t>
            </w:r>
          </w:p>
        </w:tc>
      </w:tr>
    </w:tbl>
    <w:p w14:paraId="50F466B0">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62A5F33">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一  说  明</w:t>
      </w:r>
    </w:p>
    <w:p w14:paraId="0BD05B51">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val="en-US" w:eastAsia="zh-CN"/>
        </w:rPr>
        <w:t>1.</w:t>
      </w:r>
      <w:r>
        <w:rPr>
          <w:rFonts w:hint="eastAsia" w:ascii="仿宋" w:hAnsi="仿宋" w:eastAsia="仿宋" w:cs="仿宋"/>
          <w:b/>
          <w:color w:val="auto"/>
          <w:sz w:val="24"/>
          <w:lang w:eastAsia="zh-CN"/>
        </w:rPr>
        <w:t>适用范围</w:t>
      </w:r>
    </w:p>
    <w:p w14:paraId="1D80E0BE">
      <w:pPr>
        <w:spacing w:line="360" w:lineRule="auto"/>
        <w:ind w:firstLine="480" w:firstLineChars="200"/>
        <w:outlineLvl w:val="0"/>
        <w:rPr>
          <w:rFonts w:ascii="仿宋" w:hAnsi="仿宋" w:eastAsia="仿宋" w:cs="仿宋"/>
          <w:sz w:val="24"/>
          <w:szCs w:val="24"/>
          <w:lang w:eastAsia="zh-CN"/>
        </w:rPr>
      </w:pPr>
      <w:r>
        <w:rPr>
          <w:rFonts w:hint="eastAsia" w:ascii="仿宋" w:hAnsi="仿宋" w:eastAsia="仿宋" w:cs="仿宋"/>
          <w:sz w:val="24"/>
          <w:szCs w:val="24"/>
          <w:lang w:eastAsia="zh-CN"/>
        </w:rPr>
        <w:t>本招标文件仅适用于招标公告中所叙述项目的服务采购。</w:t>
      </w:r>
    </w:p>
    <w:p w14:paraId="10907CC9">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2.定义</w:t>
      </w:r>
    </w:p>
    <w:p w14:paraId="17B88AE6">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2.1“招标人”系指本次招标项目的业主方。</w:t>
      </w:r>
    </w:p>
    <w:p w14:paraId="70164E2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2.2“招标代理机构”系指本次招标项目活动组织方。</w:t>
      </w:r>
    </w:p>
    <w:p w14:paraId="1223B12E">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2.3“投标人”系指下载了本招标文件，且已经提交本次投标文件的供应商。</w:t>
      </w:r>
    </w:p>
    <w:p w14:paraId="4817386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2.4“投标人代表”系指代表投标人参加本次招标活动的投标人的法定代表人或其委托代理人。</w:t>
      </w:r>
    </w:p>
    <w:p w14:paraId="6D434E8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2.5 “服务”系指投标人按招标文件规定向招标人提供的一切工作内容。</w:t>
      </w:r>
    </w:p>
    <w:p w14:paraId="379305F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2.6 “投标文件有效期”系指本次招标项目投标截止之日起至合同签订之日止的期限。中标人的投标文件有效期至合同完全履行止。</w:t>
      </w:r>
    </w:p>
    <w:p w14:paraId="4022147D">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3.招标项目预算（最高投标限价）</w:t>
      </w:r>
    </w:p>
    <w:p w14:paraId="52DDF0E4">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详见招标公告。</w:t>
      </w:r>
    </w:p>
    <w:p w14:paraId="417C42C8">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4.投标人应提交的证明文件</w:t>
      </w:r>
    </w:p>
    <w:p w14:paraId="0FCE49E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4.1 法定代表人本人投标的，提供身份证原件扫描件；（格式见第六章附件6）法定代表人委托代理人投标的，提供法人授权委托书原件和委托代理人的身份证原件扫描件。</w:t>
      </w:r>
    </w:p>
    <w:p w14:paraId="5A6B811D">
      <w:pPr>
        <w:spacing w:line="360" w:lineRule="auto"/>
        <w:ind w:firstLine="480" w:firstLineChars="200"/>
        <w:rPr>
          <w:rFonts w:ascii="仿宋" w:hAnsi="仿宋" w:eastAsia="仿宋" w:cs="仿宋"/>
          <w:color w:val="auto"/>
          <w:sz w:val="24"/>
          <w:szCs w:val="24"/>
        </w:rPr>
      </w:pPr>
      <w:r>
        <w:rPr>
          <w:rFonts w:hint="eastAsia" w:ascii="仿宋" w:hAnsi="仿宋" w:eastAsia="仿宋" w:cs="仿宋"/>
          <w:sz w:val="24"/>
          <w:szCs w:val="24"/>
          <w:lang w:eastAsia="zh-CN"/>
        </w:rPr>
        <w:t>4.2 投标人应提供信用承诺函：详见附件8.1。（投标人在投标(响应)时，应按照规定提供信用承诺函。同时，招标人有权在发放中标通知书前要求中标人</w:t>
      </w:r>
      <w:r>
        <w:rPr>
          <w:rFonts w:hint="eastAsia" w:ascii="仿宋" w:hAnsi="仿宋" w:eastAsia="仿宋" w:cs="仿宋"/>
          <w:color w:val="auto"/>
          <w:sz w:val="24"/>
          <w:szCs w:val="24"/>
          <w:lang w:eastAsia="zh-CN"/>
        </w:rPr>
        <w:t>提供证明材料，以备核实投标人承诺事项的真实性。</w:t>
      </w:r>
      <w:r>
        <w:rPr>
          <w:rFonts w:hint="eastAsia" w:ascii="仿宋" w:hAnsi="仿宋" w:eastAsia="仿宋" w:cs="仿宋"/>
          <w:color w:val="auto"/>
          <w:sz w:val="24"/>
          <w:szCs w:val="24"/>
        </w:rPr>
        <w:t>）</w:t>
      </w:r>
    </w:p>
    <w:p w14:paraId="4394113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 xml:space="preserve"> 其他证明文件（招标人根据项目需要提出且为本次招标所必要的)。</w:t>
      </w:r>
    </w:p>
    <w:p w14:paraId="5DC685C4">
      <w:pPr>
        <w:spacing w:line="360" w:lineRule="auto"/>
        <w:ind w:firstLine="482" w:firstLineChars="200"/>
        <w:rPr>
          <w:rFonts w:ascii="仿宋" w:hAnsi="仿宋" w:eastAsia="仿宋" w:cs="仿宋"/>
          <w:b/>
          <w:bCs/>
          <w:color w:val="auto"/>
          <w:sz w:val="24"/>
          <w:lang w:eastAsia="zh-CN"/>
        </w:rPr>
      </w:pPr>
      <w:r>
        <w:rPr>
          <w:rFonts w:hint="eastAsia" w:ascii="仿宋" w:hAnsi="仿宋" w:eastAsia="仿宋" w:cs="仿宋"/>
          <w:b/>
          <w:color w:val="auto"/>
          <w:sz w:val="24"/>
          <w:lang w:eastAsia="zh-CN"/>
        </w:rPr>
        <w:t>以上为必须提供的材料。本项目采用不见面开评标，投标人在投标截止时间前应及时完善主体诚信库中企业信息及扫描件（4.1-4.</w:t>
      </w:r>
      <w:r>
        <w:rPr>
          <w:rFonts w:hint="eastAsia" w:ascii="仿宋" w:hAnsi="仿宋" w:eastAsia="仿宋" w:cs="仿宋"/>
          <w:b/>
          <w:color w:val="auto"/>
          <w:sz w:val="24"/>
          <w:lang w:val="en-US" w:eastAsia="zh-CN"/>
        </w:rPr>
        <w:t>3</w:t>
      </w:r>
      <w:r>
        <w:rPr>
          <w:rFonts w:hint="eastAsia" w:ascii="仿宋" w:hAnsi="仿宋" w:eastAsia="仿宋" w:cs="仿宋"/>
          <w:b/>
          <w:color w:val="auto"/>
          <w:sz w:val="24"/>
          <w:lang w:eastAsia="zh-CN"/>
        </w:rPr>
        <w:t>项所需材料），提交并自行核验通过。同时在"资格审查及评审材料"菜单下按分包挑选该包投标所用资格审查材料（4.1-4.</w:t>
      </w:r>
      <w:r>
        <w:rPr>
          <w:rFonts w:hint="eastAsia" w:ascii="仿宋" w:hAnsi="仿宋" w:eastAsia="仿宋" w:cs="仿宋"/>
          <w:b/>
          <w:color w:val="auto"/>
          <w:sz w:val="24"/>
          <w:lang w:val="en-US" w:eastAsia="zh-CN"/>
        </w:rPr>
        <w:t>3</w:t>
      </w:r>
      <w:r>
        <w:rPr>
          <w:rFonts w:hint="eastAsia" w:ascii="仿宋" w:hAnsi="仿宋" w:eastAsia="仿宋" w:cs="仿宋"/>
          <w:b/>
          <w:color w:val="auto"/>
          <w:sz w:val="24"/>
          <w:lang w:eastAsia="zh-CN"/>
        </w:rPr>
        <w:t>项所需材料），以供评标过程中招标人查阅。投标人应确保主体诚信库信息与电子投标文件信息一致，上传的资料要真实并清晰可辨。评标时以电子投标文件及"资格审查及评审材料"菜单中选取的企业信息为准。</w:t>
      </w:r>
    </w:p>
    <w:p w14:paraId="05D824BC">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5.投标费用</w:t>
      </w:r>
    </w:p>
    <w:p w14:paraId="36EEB1C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不论投标结果如何，投标人均应自行承担所有与投标有关的全部费用。</w:t>
      </w:r>
    </w:p>
    <w:p w14:paraId="7BD3C620">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6.联合体投标</w:t>
      </w:r>
    </w:p>
    <w:p w14:paraId="71F401D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本项目不接受联合体投标。</w:t>
      </w:r>
    </w:p>
    <w:p w14:paraId="4B2B3CDF">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7.关联企业投标</w:t>
      </w:r>
    </w:p>
    <w:p w14:paraId="553EFF2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7.1 本招标文件所称关联企业,是指存在关联关系的企业。“关联关系”的界定适用《中华人民共和国公司法》第二百一十七条、《中华人民共和国政府采购法实施条例》第十八条之规定。</w:t>
      </w:r>
    </w:p>
    <w:p w14:paraId="456D2B2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7.2 关联企业中, 同一个法定代表人的两个及两个以上法人，母公司、全资子公司及其控股公司，都不得同时投标。</w:t>
      </w:r>
      <w:r>
        <w:rPr>
          <w:rFonts w:hint="eastAsia" w:ascii="仿宋" w:hAnsi="仿宋" w:eastAsia="仿宋" w:cs="仿宋"/>
          <w:color w:val="auto"/>
          <w:sz w:val="24"/>
          <w:shd w:val="clear" w:color="auto" w:fill="FFFFFF"/>
          <w:lang w:eastAsia="zh-CN"/>
        </w:rPr>
        <w:t>单位负责人为同一人或者存在直接控股、管理关系的不同投标人，不得参加同一合同项下的投标。</w:t>
      </w:r>
      <w:r>
        <w:rPr>
          <w:rFonts w:hint="eastAsia" w:ascii="仿宋" w:hAnsi="仿宋" w:eastAsia="仿宋" w:cs="仿宋"/>
          <w:color w:val="auto"/>
          <w:sz w:val="24"/>
          <w:lang w:eastAsia="zh-CN"/>
        </w:rPr>
        <w:t>一经发现，将导致投标同时被拒绝。</w:t>
      </w:r>
    </w:p>
    <w:p w14:paraId="7BE3EF41">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8.转包与分包</w:t>
      </w:r>
    </w:p>
    <w:p w14:paraId="22B019F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8.1 本项目不允许采取转包方式履行合同。</w:t>
      </w:r>
    </w:p>
    <w:p w14:paraId="44601FD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8.2 本项目不允许采取转包和分包方式履行合同,投标人须在投标文件中予以书面保证，否则视为不响应招标文件。</w:t>
      </w:r>
    </w:p>
    <w:p w14:paraId="368592B0">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9.特别说明：</w:t>
      </w:r>
    </w:p>
    <w:p w14:paraId="57EEDBEB">
      <w:pPr>
        <w:spacing w:line="360" w:lineRule="auto"/>
        <w:ind w:firstLine="480" w:firstLineChars="200"/>
        <w:rPr>
          <w:rFonts w:ascii="仿宋" w:hAnsi="仿宋" w:eastAsia="仿宋" w:cs="仿宋"/>
          <w:color w:val="auto"/>
          <w:sz w:val="24"/>
          <w:shd w:val="clear" w:color="auto" w:fill="FFFFFF"/>
          <w:lang w:eastAsia="zh-CN"/>
        </w:rPr>
      </w:pPr>
      <w:r>
        <w:rPr>
          <w:rFonts w:hint="eastAsia" w:ascii="仿宋" w:hAnsi="仿宋" w:eastAsia="仿宋" w:cs="仿宋"/>
          <w:color w:val="auto"/>
          <w:sz w:val="24"/>
          <w:shd w:val="clear" w:color="auto" w:fill="FFFFFF"/>
          <w:lang w:eastAsia="zh-CN"/>
        </w:rPr>
        <w:t xml:space="preserve">9.1 投标人投标所使用的资格、信誉、荣誉、业绩与企业认证必须为本投标人所拥有，需出具书面承诺，作为资料审查的一项。 </w:t>
      </w:r>
    </w:p>
    <w:p w14:paraId="77F84F46">
      <w:pPr>
        <w:spacing w:line="360" w:lineRule="auto"/>
        <w:ind w:firstLine="480" w:firstLineChars="200"/>
        <w:rPr>
          <w:rFonts w:ascii="仿宋" w:hAnsi="仿宋" w:eastAsia="仿宋" w:cs="仿宋"/>
          <w:color w:val="auto"/>
          <w:sz w:val="24"/>
          <w:shd w:val="clear" w:color="auto" w:fill="FFFFFF"/>
          <w:lang w:eastAsia="zh-CN"/>
        </w:rPr>
      </w:pPr>
      <w:r>
        <w:rPr>
          <w:rFonts w:hint="eastAsia" w:ascii="仿宋" w:hAnsi="仿宋" w:eastAsia="仿宋" w:cs="仿宋"/>
          <w:color w:val="auto"/>
          <w:sz w:val="24"/>
          <w:shd w:val="clear" w:color="auto" w:fill="FFFFFF"/>
          <w:lang w:eastAsia="zh-CN"/>
        </w:rPr>
        <w:t>9.2 投标人代表只能接受一个投标人的委托参加投标。</w:t>
      </w:r>
    </w:p>
    <w:p w14:paraId="4373A33B">
      <w:pPr>
        <w:spacing w:line="360" w:lineRule="auto"/>
        <w:ind w:firstLine="480" w:firstLineChars="200"/>
        <w:rPr>
          <w:rFonts w:ascii="仿宋" w:hAnsi="仿宋" w:eastAsia="仿宋" w:cs="仿宋"/>
          <w:color w:val="auto"/>
          <w:sz w:val="24"/>
          <w:shd w:val="clear" w:color="auto" w:fill="FFFFFF"/>
          <w:lang w:eastAsia="zh-CN"/>
        </w:rPr>
      </w:pPr>
      <w:r>
        <w:rPr>
          <w:rFonts w:hint="eastAsia" w:ascii="仿宋" w:hAnsi="仿宋" w:eastAsia="仿宋" w:cs="仿宋"/>
          <w:color w:val="auto"/>
          <w:sz w:val="24"/>
          <w:shd w:val="clear" w:color="auto" w:fill="FFFFFF"/>
          <w:lang w:eastAsia="zh-CN"/>
        </w:rPr>
        <w:t>9.3 《政府采购法》第二十二条第五款“参加政府采购活动前三年内，在经营活动中没有重大违法记录”，“重大违法记录”是指</w:t>
      </w:r>
      <w:r>
        <w:rPr>
          <w:rFonts w:hint="eastAsia" w:ascii="仿宋" w:hAnsi="仿宋" w:eastAsia="仿宋" w:cs="仿宋"/>
          <w:color w:val="auto"/>
          <w:sz w:val="24"/>
          <w:shd w:val="clear" w:color="auto" w:fill="FFFFFF"/>
          <w:lang w:val="en-US" w:eastAsia="zh-CN"/>
        </w:rPr>
        <w:t>投标人</w:t>
      </w:r>
      <w:r>
        <w:rPr>
          <w:rFonts w:hint="eastAsia" w:ascii="仿宋" w:hAnsi="仿宋" w:eastAsia="仿宋" w:cs="仿宋"/>
          <w:color w:val="auto"/>
          <w:sz w:val="24"/>
          <w:shd w:val="clear" w:color="auto" w:fill="FFFFFF"/>
          <w:lang w:eastAsia="zh-CN"/>
        </w:rPr>
        <w:t>因违法经营受到刑事处罚或者责令停产停业、吊销许可证或者执照、较大数额罚款等行政处罚。</w:t>
      </w:r>
    </w:p>
    <w:p w14:paraId="4AF9D6A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9.4 投标人在投标活动中提供虚假材料或从事其他违法活动的,其投标无效，由相关部门查处。</w:t>
      </w:r>
    </w:p>
    <w:p w14:paraId="1BD992A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 xml:space="preserve">9.5 </w:t>
      </w:r>
      <w:r>
        <w:rPr>
          <w:rFonts w:hint="eastAsia" w:ascii="仿宋" w:hAnsi="仿宋" w:eastAsia="仿宋" w:cs="仿宋"/>
          <w:color w:val="auto"/>
          <w:sz w:val="24"/>
          <w:shd w:val="clear" w:color="auto" w:fill="FFFFFF"/>
          <w:lang w:eastAsia="zh-CN"/>
        </w:rPr>
        <w:t>投标人</w:t>
      </w:r>
      <w:r>
        <w:rPr>
          <w:rFonts w:hint="eastAsia" w:ascii="仿宋" w:hAnsi="仿宋" w:eastAsia="仿宋" w:cs="仿宋"/>
          <w:color w:val="auto"/>
          <w:sz w:val="24"/>
          <w:lang w:eastAsia="zh-CN"/>
        </w:rPr>
        <w:t>应以声明函的形式对如下内容进行声明：1、中标人非不可抗力不得放弃中标；2、</w:t>
      </w:r>
      <w:r>
        <w:rPr>
          <w:rFonts w:hint="eastAsia" w:ascii="仿宋" w:hAnsi="仿宋" w:eastAsia="仿宋" w:cs="仿宋"/>
          <w:color w:val="auto"/>
          <w:sz w:val="24"/>
          <w:shd w:val="clear" w:color="auto" w:fill="FFFFFF"/>
          <w:lang w:eastAsia="zh-CN"/>
        </w:rPr>
        <w:t>投标人</w:t>
      </w:r>
      <w:r>
        <w:rPr>
          <w:rFonts w:hint="eastAsia" w:ascii="仿宋" w:hAnsi="仿宋" w:eastAsia="仿宋" w:cs="仿宋"/>
          <w:color w:val="auto"/>
          <w:sz w:val="24"/>
          <w:lang w:eastAsia="zh-CN"/>
        </w:rPr>
        <w:t>在参与本项目过程中，应保证所提交的资料真实性。3、</w:t>
      </w:r>
      <w:r>
        <w:rPr>
          <w:rFonts w:hint="eastAsia" w:ascii="仿宋" w:hAnsi="仿宋" w:eastAsia="仿宋" w:cs="仿宋"/>
          <w:color w:val="auto"/>
          <w:sz w:val="24"/>
          <w:shd w:val="clear" w:color="auto" w:fill="FFFFFF"/>
          <w:lang w:eastAsia="zh-CN"/>
        </w:rPr>
        <w:t>投标人</w:t>
      </w:r>
      <w:r>
        <w:rPr>
          <w:rFonts w:hint="eastAsia" w:ascii="仿宋" w:hAnsi="仿宋" w:eastAsia="仿宋" w:cs="仿宋"/>
          <w:color w:val="auto"/>
          <w:sz w:val="24"/>
          <w:lang w:eastAsia="zh-CN"/>
        </w:rPr>
        <w:t>如恶意放弃中标或弄虚作假自愿接受禁止参与驻马店市地区所有采购活动三年的处罚。</w:t>
      </w:r>
    </w:p>
    <w:p w14:paraId="1DB60017">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10.质疑和投诉</w:t>
      </w:r>
    </w:p>
    <w:p w14:paraId="5DF9A54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bCs/>
          <w:color w:val="auto"/>
          <w:sz w:val="24"/>
          <w:lang w:eastAsia="zh-CN"/>
        </w:rPr>
        <w:t>10.1 投标人认为招标文件使自己的合法权益受到损害的，</w:t>
      </w:r>
      <w:r>
        <w:rPr>
          <w:rFonts w:hint="eastAsia" w:ascii="仿宋" w:hAnsi="仿宋" w:eastAsia="仿宋" w:cs="仿宋"/>
          <w:color w:val="auto"/>
          <w:sz w:val="24"/>
          <w:lang w:eastAsia="zh-CN"/>
        </w:rPr>
        <w:t>应当在招标公告期限届满之日(或收到招标文件之日)起7个工作日之内向</w:t>
      </w:r>
      <w:r>
        <w:rPr>
          <w:rFonts w:hint="eastAsia" w:ascii="仿宋" w:hAnsi="仿宋" w:eastAsia="仿宋" w:cs="仿宋"/>
          <w:bCs/>
          <w:color w:val="auto"/>
          <w:sz w:val="24"/>
          <w:lang w:eastAsia="zh-CN"/>
        </w:rPr>
        <w:t>招标人或</w:t>
      </w:r>
      <w:r>
        <w:rPr>
          <w:rFonts w:hint="eastAsia" w:ascii="仿宋" w:hAnsi="仿宋" w:eastAsia="仿宋" w:cs="仿宋"/>
          <w:color w:val="auto"/>
          <w:sz w:val="24"/>
          <w:lang w:eastAsia="zh-CN"/>
        </w:rPr>
        <w:t>代理机构</w:t>
      </w:r>
      <w:r>
        <w:rPr>
          <w:rFonts w:hint="eastAsia" w:ascii="仿宋" w:hAnsi="仿宋" w:eastAsia="仿宋" w:cs="仿宋"/>
          <w:bCs/>
          <w:color w:val="auto"/>
          <w:sz w:val="24"/>
          <w:lang w:eastAsia="zh-CN"/>
        </w:rPr>
        <w:t>提出质疑；投标人认为招标过程和中标结果使自己的合法权益受到损害的，应当在知道或者应知其权益受到损害之日起7个工作日内提出质疑,</w:t>
      </w:r>
      <w:r>
        <w:rPr>
          <w:rFonts w:hint="eastAsia" w:ascii="仿宋" w:hAnsi="仿宋" w:eastAsia="仿宋" w:cs="仿宋"/>
          <w:color w:val="auto"/>
          <w:sz w:val="24"/>
          <w:lang w:eastAsia="zh-CN"/>
        </w:rPr>
        <w:t>逾期不再受理,</w:t>
      </w:r>
      <w:r>
        <w:rPr>
          <w:rFonts w:hint="eastAsia" w:ascii="仿宋" w:hAnsi="仿宋" w:eastAsia="仿宋" w:cs="仿宋"/>
          <w:bCs/>
          <w:color w:val="auto"/>
          <w:sz w:val="24"/>
          <w:lang w:eastAsia="zh-CN"/>
        </w:rPr>
        <w:t>投标人在法定质疑期内应一次性提出针对同一采购环节的质疑。</w:t>
      </w:r>
      <w:r>
        <w:rPr>
          <w:rFonts w:hint="eastAsia" w:ascii="仿宋" w:hAnsi="仿宋" w:eastAsia="仿宋" w:cs="仿宋"/>
          <w:color w:val="auto"/>
          <w:sz w:val="24"/>
          <w:lang w:eastAsia="zh-CN"/>
        </w:rPr>
        <w:t>关于对招标程序、招标文件格式性条款、评审结果的询问和质疑,请向代理机构提出；关于对投标人特殊资质要求、技术参数和技术标准、商务要求、综合评分标准的询问和质疑，请向招标人提出。</w:t>
      </w:r>
    </w:p>
    <w:p w14:paraId="565A0A6D">
      <w:pPr>
        <w:spacing w:line="360" w:lineRule="auto"/>
        <w:ind w:firstLine="480" w:firstLineChars="200"/>
        <w:rPr>
          <w:rFonts w:ascii="仿宋" w:hAnsi="仿宋" w:eastAsia="仿宋" w:cs="仿宋"/>
          <w:bCs/>
          <w:color w:val="auto"/>
          <w:sz w:val="24"/>
          <w:lang w:eastAsia="zh-CN"/>
        </w:rPr>
      </w:pPr>
      <w:r>
        <w:rPr>
          <w:rFonts w:hint="eastAsia" w:ascii="仿宋" w:hAnsi="仿宋" w:eastAsia="仿宋" w:cs="仿宋"/>
          <w:bCs/>
          <w:color w:val="auto"/>
          <w:sz w:val="24"/>
          <w:lang w:eastAsia="zh-CN"/>
        </w:rPr>
        <w:t>10.2质疑、投诉必须以书面形式向招标人或代理机构提出，对于非书面提出的概不受理。质疑书、投诉书均应明确阐述招标文件、招标过程和中标结果中使自己合法权益受到损害的实质性内容，提供相关事实、依据和证据及其来源或线索，便于有关单位调查、答复和处理。</w:t>
      </w:r>
    </w:p>
    <w:p w14:paraId="10A40387">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11.投标人的风险</w:t>
      </w:r>
    </w:p>
    <w:p w14:paraId="52AE5734">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投标人没有按照招标文件要求提供全部资料，或者投标人没有对招标文件在各方面都作出实质性响应是投标人的风险，并可能导致其投标被拒绝。</w:t>
      </w:r>
    </w:p>
    <w:p w14:paraId="47AC29A5">
      <w:pPr>
        <w:spacing w:line="360" w:lineRule="auto"/>
        <w:ind w:firstLine="643" w:firstLineChars="200"/>
        <w:jc w:val="both"/>
        <w:rPr>
          <w:rFonts w:ascii="仿宋" w:hAnsi="仿宋" w:eastAsia="仿宋" w:cs="仿宋"/>
          <w:b/>
          <w:color w:val="auto"/>
          <w:sz w:val="32"/>
          <w:szCs w:val="32"/>
          <w:lang w:eastAsia="zh-CN"/>
        </w:rPr>
      </w:pPr>
    </w:p>
    <w:p w14:paraId="65E3A4A6">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二  招标文件</w:t>
      </w:r>
    </w:p>
    <w:p w14:paraId="7B900A42">
      <w:pPr>
        <w:spacing w:line="360" w:lineRule="auto"/>
        <w:ind w:firstLine="482" w:firstLineChars="200"/>
        <w:rPr>
          <w:rFonts w:ascii="仿宋" w:hAnsi="仿宋" w:eastAsia="仿宋" w:cs="仿宋"/>
          <w:b/>
          <w:color w:val="auto"/>
          <w:sz w:val="24"/>
          <w:lang w:eastAsia="zh-CN"/>
        </w:rPr>
      </w:pPr>
    </w:p>
    <w:p w14:paraId="57CEE5CD">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12.招标文件的构成。本招标文件由以下部分组成：</w:t>
      </w:r>
    </w:p>
    <w:p w14:paraId="34E81BC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12.1 招标公告</w:t>
      </w:r>
    </w:p>
    <w:p w14:paraId="38ED849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12.2 招标需求</w:t>
      </w:r>
    </w:p>
    <w:p w14:paraId="30534E47">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12.3 投标人须知</w:t>
      </w:r>
    </w:p>
    <w:p w14:paraId="77FB2F60">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12.4 评标办法及标准</w:t>
      </w:r>
    </w:p>
    <w:p w14:paraId="1C0593AC">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12.5 合同主要条款</w:t>
      </w:r>
    </w:p>
    <w:p w14:paraId="2464605C">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12.6 投标文件格式</w:t>
      </w:r>
    </w:p>
    <w:p w14:paraId="72B05032">
      <w:pPr>
        <w:spacing w:line="396"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13.招标文件的澄清与修改</w:t>
      </w:r>
    </w:p>
    <w:p w14:paraId="57D000D0">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13.1 代理机构对已发出的招标文件进行必要澄清、修改或补充的，应当在投标截止时间15</w:t>
      </w:r>
      <w:r>
        <w:rPr>
          <w:rFonts w:hint="eastAsia" w:ascii="仿宋" w:hAnsi="仿宋" w:eastAsia="仿宋" w:cs="仿宋"/>
          <w:bCs/>
          <w:color w:val="auto"/>
          <w:sz w:val="24"/>
          <w:lang w:eastAsia="zh-CN"/>
        </w:rPr>
        <w:t>日（如至原定截止时间不足15日，则需延长开标时间，招标文件获取时间、</w:t>
      </w:r>
      <w:r>
        <w:rPr>
          <w:rFonts w:hint="eastAsia" w:ascii="仿宋" w:hAnsi="仿宋" w:eastAsia="仿宋" w:cs="仿宋"/>
          <w:color w:val="auto"/>
          <w:sz w:val="24"/>
          <w:lang w:eastAsia="zh-CN"/>
        </w:rPr>
        <w:t>递交样品截止时间等可以相应延长</w:t>
      </w:r>
      <w:r>
        <w:rPr>
          <w:rFonts w:hint="eastAsia" w:ascii="仿宋" w:hAnsi="仿宋" w:eastAsia="仿宋" w:cs="仿宋"/>
          <w:bCs/>
          <w:color w:val="auto"/>
          <w:sz w:val="24"/>
          <w:lang w:eastAsia="zh-CN"/>
        </w:rPr>
        <w:t>）</w:t>
      </w:r>
      <w:r>
        <w:rPr>
          <w:rFonts w:hint="eastAsia" w:ascii="仿宋" w:hAnsi="仿宋" w:eastAsia="仿宋" w:cs="仿宋"/>
          <w:color w:val="auto"/>
          <w:sz w:val="24"/>
          <w:lang w:eastAsia="zh-CN"/>
        </w:rPr>
        <w:t>前，在《驻马店市公共资源交易中心网》、《河南省政府采购网》</w:t>
      </w:r>
      <w:r>
        <w:fldChar w:fldCharType="begin"/>
      </w:r>
      <w:r>
        <w:instrText xml:space="preserve"> HYPERLINK "http://www.sxztb.gov.cn/" </w:instrText>
      </w:r>
      <w:r>
        <w:fldChar w:fldCharType="separate"/>
      </w:r>
      <w:r>
        <w:fldChar w:fldCharType="end"/>
      </w:r>
      <w:r>
        <w:rPr>
          <w:rFonts w:hint="eastAsia" w:ascii="仿宋" w:hAnsi="仿宋" w:eastAsia="仿宋" w:cs="仿宋"/>
          <w:color w:val="auto"/>
          <w:sz w:val="24"/>
          <w:lang w:eastAsia="zh-CN"/>
        </w:rPr>
        <w:t>等相关媒体上发布更正公告或变更公告。</w:t>
      </w:r>
    </w:p>
    <w:p w14:paraId="355D8AF9">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13.2 招标文件澄清、修改或补充的内容为招标文件的组成部分。</w:t>
      </w:r>
    </w:p>
    <w:p w14:paraId="0315D11A">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13.3 招标文件的澄清、修改或补充都应通过本代理机构以法定形式发布。招标人未通过本代理机构对招标文件进行的澄清、修改或补充无效，评标时不予认可。</w:t>
      </w:r>
    </w:p>
    <w:p w14:paraId="5B73927F">
      <w:pPr>
        <w:spacing w:line="396"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三   投标文件的编制</w:t>
      </w:r>
    </w:p>
    <w:p w14:paraId="01DC880B">
      <w:pPr>
        <w:spacing w:line="396"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14.要求</w:t>
      </w:r>
    </w:p>
    <w:p w14:paraId="6ED68803">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w:t>
      </w:r>
      <w:r>
        <w:rPr>
          <w:rFonts w:hint="eastAsia" w:ascii="仿宋" w:hAnsi="仿宋" w:eastAsia="仿宋" w:cs="仿宋"/>
          <w:color w:val="auto"/>
          <w:sz w:val="24"/>
          <w:lang w:val="en-US" w:eastAsia="zh-CN"/>
        </w:rPr>
        <w:t>服务技术要求</w:t>
      </w:r>
      <w:r>
        <w:rPr>
          <w:rFonts w:hint="eastAsia" w:ascii="仿宋" w:hAnsi="仿宋" w:eastAsia="仿宋" w:cs="仿宋"/>
          <w:color w:val="auto"/>
          <w:sz w:val="24"/>
          <w:lang w:eastAsia="zh-CN"/>
        </w:rPr>
        <w:t>、商务要求和投标文件格式中对投标的要求），投标人对所提供的全部资料的合法性、真实性负责，并作出承诺。</w:t>
      </w:r>
    </w:p>
    <w:p w14:paraId="5CA55211">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14.2 投标人应完整签署投标文件格式附件中《投标书》和《抵制商业贿赂承诺》，不得增减或修改内容。否则视为对招标文件未作出实质性响应。</w:t>
      </w:r>
    </w:p>
    <w:p w14:paraId="51D13106">
      <w:pPr>
        <w:spacing w:line="396"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15.投标文件的语言和计量单位</w:t>
      </w:r>
    </w:p>
    <w:p w14:paraId="696D0F8F">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15.1 投标文件以及投标人与招标人就有关投标事宜的所有来往函电均应使用简体中文书写。</w:t>
      </w:r>
    </w:p>
    <w:p w14:paraId="63289B78">
      <w:pPr>
        <w:spacing w:line="396"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15.2 关于投标计量单位，招标文件已有明确规定的，使用招标文件规定的计量单位；招标文件没有规定的，应采用中华人民共和国法定计量单位。否则视为对招标文件未作出实质性响应。</w:t>
      </w:r>
    </w:p>
    <w:p w14:paraId="77D9D287">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127877D1">
      <w:pPr>
        <w:spacing w:line="396"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16.投标文件的组成。投标文件应包括下列部分：</w:t>
      </w:r>
    </w:p>
    <w:p w14:paraId="18ADDC2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16.1 投标文件封面（格式）</w:t>
      </w:r>
    </w:p>
    <w:p w14:paraId="464A46B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16.2 投标书（格式）</w:t>
      </w:r>
    </w:p>
    <w:p w14:paraId="31EDB8BC">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16.3 开标一览表（格式）</w:t>
      </w:r>
    </w:p>
    <w:p w14:paraId="47BB13AE">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16.4 服务技术响应表（格式）</w:t>
      </w:r>
    </w:p>
    <w:p w14:paraId="3E4FBF7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16.5 商务响应表（格式）</w:t>
      </w:r>
    </w:p>
    <w:p w14:paraId="31EE473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16.6 法定代表人身份证明（格式）</w:t>
      </w:r>
    </w:p>
    <w:p w14:paraId="426AF54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16.7 法定代表人授权书（格式）</w:t>
      </w:r>
    </w:p>
    <w:p w14:paraId="5B14D03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16.8 证明文件</w:t>
      </w:r>
    </w:p>
    <w:p w14:paraId="673FBC0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16.9 抵制商业贿赂承诺（格式）</w:t>
      </w:r>
    </w:p>
    <w:p w14:paraId="63F9617C">
      <w:pPr>
        <w:spacing w:line="396"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17.投标有效期</w:t>
      </w:r>
    </w:p>
    <w:p w14:paraId="3C9A8C0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17.1 投标文件从招标公告所规定的投标截止时间之后开始生效，在投标人须知前附表第1</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项所规定的期限内保持有效。有效期不足将导致其投标文件被拒绝。并对在规定的合同履行期限内完成工作任务并作出承诺，作为投标文件的组成部分，中标人的投标文件有效期至合同完全履行止。</w:t>
      </w:r>
    </w:p>
    <w:p w14:paraId="7BC730E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17.2 特殊情况下代理机构可于投标有效期满之前书面要求投标人同意延长有效期，投标人应在代理机构规定的期限内以书面形式予以答复。投标人答复不明确或者逾期未答复的，均视为拒绝上述要求。</w:t>
      </w:r>
    </w:p>
    <w:p w14:paraId="7FB2B63F">
      <w:pPr>
        <w:spacing w:line="396"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18.投标报价</w:t>
      </w:r>
    </w:p>
    <w:p w14:paraId="7558FFE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18.1 所有投标报价均以人民币元为计算单位。</w:t>
      </w:r>
    </w:p>
    <w:p w14:paraId="678F7C9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18.2 投标人要按开标一览表、投标报价明细表的内容填写。</w:t>
      </w:r>
    </w:p>
    <w:p w14:paraId="68F7AC5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18.3 开标一览表中标明的价格在政府采购合同执行过程中是固定不变的，投标人不得以任何理由予以变更。以可调整的价格提交的投标将被作为无效投标处理。</w:t>
      </w:r>
    </w:p>
    <w:p w14:paraId="2F003C8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18.4 招标代理机构不接受可选择的投标报价。</w:t>
      </w:r>
    </w:p>
    <w:p w14:paraId="5B9EAC2C">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18.5 对于投标人在开标一览表和投标文件中列出的赠送条款，在评审时不得作为价格评分因素或者调整评标价格的依据。</w:t>
      </w:r>
    </w:p>
    <w:p w14:paraId="37C5A298">
      <w:pPr>
        <w:spacing w:line="396"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19.投标保证金</w:t>
      </w:r>
    </w:p>
    <w:p w14:paraId="51538526">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本项目不收取投标保证金。</w:t>
      </w:r>
    </w:p>
    <w:p w14:paraId="2A7A92E6">
      <w:pPr>
        <w:spacing w:line="396"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20.投标文件的式样和签署</w:t>
      </w:r>
    </w:p>
    <w:p w14:paraId="7D4CC187">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20.1 投标人应按本招标文件规定的格式和顺序编制投标文件。除了投标文件封面以外，每个页面应在明显位置编制页码和总页码，按流水顺序填写，字迹必须清晰可认，投标文件的目录应编序，目录上需有编制人和审核人签字，否则投标无效。投标文件中所有自拟格式须有法定代表人加盖印章并显示联系方式，否则按废标处理。投标文件内容不完整、编排混乱导致投标文件被误读、漏读或者查找不到相关内容的，由投标人负责。</w:t>
      </w:r>
    </w:p>
    <w:p w14:paraId="5F76FDD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20.2 投标文件（.zmdtf格式）是根据“驻马店市公共资源交易中心电子交易平台”下载的电子招标文件，制作生成的加密版投标文件。</w:t>
      </w:r>
    </w:p>
    <w:p w14:paraId="484D91E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20.3 投标人应提交证明其拟供服务货物符合招标文件要求的技术响应文件，该文件可以是文字资料、图纸和数据，并须提供服务货物主要技术性能的详细描述。</w:t>
      </w:r>
    </w:p>
    <w:p w14:paraId="65EF370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20.4 投标文件中非固定格式的承诺书抬头须针对招标人和招标代理机构，否则投标无效。</w:t>
      </w:r>
    </w:p>
    <w:p w14:paraId="37854403">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20.5 投标人在编制电子投标文件时，根据招标文件的要求用法人CA秘钥和企业CA秘钥进行签章制作。生成电子投标文件时，只能用本单位的企业CA秘钥 。生成后的电子投标文件须按招标文件的格式要求完成电子签字或盖章。“开标一览表”报价将作为电子开标的唱标依据。</w:t>
      </w:r>
    </w:p>
    <w:p w14:paraId="7D11846E">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20.6 不接受电报、电传和传真的投标文件。</w:t>
      </w:r>
    </w:p>
    <w:p w14:paraId="4564CFFB">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20.7 全套投标文件应无涂改和行间插字，除非这些改动是为改正投标人造成的必须修改的错误而进行的。有改动时，修改处应由投标人代表签署证明或加盖公章 ,但非投标人出具的材料，投标人改动无效。未按本须知规定的格式填写投标 文件或投标文件字迹模糊不清，导致评标委员无法认定是否实质性响应招标文件的,其投标将被作为无效投标。</w:t>
      </w:r>
    </w:p>
    <w:p w14:paraId="038641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Fonts w:ascii="仿宋" w:hAnsi="仿宋" w:eastAsia="仿宋" w:cs="仿宋"/>
          <w:lang w:eastAsia="zh-CN"/>
        </w:rPr>
      </w:pPr>
      <w:r>
        <w:rPr>
          <w:rFonts w:hint="eastAsia" w:ascii="仿宋" w:hAnsi="仿宋" w:eastAsia="仿宋" w:cs="仿宋"/>
          <w:sz w:val="24"/>
          <w:szCs w:val="24"/>
          <w:lang w:eastAsia="zh-CN"/>
        </w:rPr>
        <w:t>20.8 电子投标文件制作流程。可参考驻马店市公共资源交易中心官方网站的下载中心板块的视频（</w:t>
      </w:r>
      <w:r>
        <w:fldChar w:fldCharType="begin"/>
      </w:r>
      <w:r>
        <w:instrText xml:space="preserve"> HYPERLINK "https://ggzy.zhumadian.gov.cn/TPFront/xzzx/026002/" </w:instrText>
      </w:r>
      <w:r>
        <w:fldChar w:fldCharType="separate"/>
      </w:r>
      <w:r>
        <w:rPr>
          <w:rFonts w:hint="eastAsia" w:ascii="仿宋" w:hAnsi="仿宋" w:eastAsia="仿宋" w:cs="仿宋"/>
          <w:sz w:val="24"/>
          <w:szCs w:val="24"/>
          <w:lang w:eastAsia="zh-CN"/>
        </w:rPr>
        <w:t>https://ggzy.zhumadian.gov.cn/TPFront/xzzx/026002/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t>）。</w:t>
      </w:r>
    </w:p>
    <w:p w14:paraId="094AD680">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四  响应文件的上传、提交</w:t>
      </w:r>
    </w:p>
    <w:p w14:paraId="68BE8A95">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21.投标文件的加密、标记</w:t>
      </w:r>
    </w:p>
    <w:p w14:paraId="6D0FCB7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21.1投标人应在投标截止时间前上传加密的电子投标文件（.zmdtf格式）。</w:t>
      </w:r>
    </w:p>
    <w:p w14:paraId="7F581D1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21.2投标人因驻马店市公共资源交易中心电子交易平台不见面交易系统出现问题无法上传电子投标文件时，请与江苏国泰新点软件有限公司联系，联系电话：0396-2613088</w:t>
      </w:r>
    </w:p>
    <w:p w14:paraId="7EF5E7F8">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22.投标文件的上传、递交</w:t>
      </w:r>
    </w:p>
    <w:p w14:paraId="3774EA7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22.1投标人应在招标公告中规定的投标截止时间前将制作好的电子投标文件加密上传至驻马店市公共资源交易中心电子交易平台，</w:t>
      </w:r>
      <w:r>
        <w:rPr>
          <w:rFonts w:hint="eastAsia" w:ascii="仿宋" w:hAnsi="仿宋" w:eastAsia="仿宋" w:cs="仿宋"/>
          <w:b/>
          <w:color w:val="auto"/>
          <w:sz w:val="24"/>
          <w:lang w:eastAsia="zh-CN"/>
        </w:rPr>
        <w:t>逾期上传其投标将被拒绝。</w:t>
      </w:r>
    </w:p>
    <w:p w14:paraId="5ED8428B">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23.投标文件的修改和撤回</w:t>
      </w:r>
    </w:p>
    <w:p w14:paraId="503DE3E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23.1 投标人在投标截止时间前，可以对所提交的投标文件进行补充、修改或者撤回，并书面通知代理机构。补充、修改的内容和撤回通知应当按本须知要求签署、盖章、加密，并作为投标文件的组成部分。</w:t>
      </w:r>
    </w:p>
    <w:p w14:paraId="5D2CB62D">
      <w:pPr>
        <w:spacing w:line="360" w:lineRule="auto"/>
        <w:ind w:firstLine="480" w:firstLineChars="200"/>
        <w:rPr>
          <w:rFonts w:ascii="仿宋" w:hAnsi="仿宋" w:eastAsia="仿宋" w:cs="仿宋"/>
          <w:color w:val="auto"/>
          <w:sz w:val="22"/>
          <w:szCs w:val="22"/>
          <w:lang w:eastAsia="zh-CN"/>
        </w:rPr>
      </w:pPr>
      <w:r>
        <w:rPr>
          <w:rFonts w:hint="eastAsia" w:ascii="仿宋" w:hAnsi="仿宋" w:eastAsia="仿宋" w:cs="仿宋"/>
          <w:color w:val="auto"/>
          <w:sz w:val="24"/>
          <w:lang w:eastAsia="zh-CN"/>
        </w:rPr>
        <w:t>23.2 投标人在投标截止时间后不得修改、撤回投标文件。投标人在投标截止时间后修改投标文件的，其投标将被拒绝。</w:t>
      </w:r>
    </w:p>
    <w:p w14:paraId="325D316C">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五   开标</w:t>
      </w:r>
    </w:p>
    <w:p w14:paraId="537307E4">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24.开标、唱标</w:t>
      </w:r>
    </w:p>
    <w:p w14:paraId="6779377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24.1 在招标公告中规定的时间、地点开标。</w:t>
      </w:r>
    </w:p>
    <w:p w14:paraId="62B86AE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24.2 开标由代理机构主持，招标人、投标人和有关方面代表参加。</w:t>
      </w:r>
    </w:p>
    <w:p w14:paraId="53F2C26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24.3</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开标时，首先，各投标人应在规定时间内对本单位的加密投标文件进行解密，然后代理机构工作人员对所有投标文件进行解密。如投标人自身原因解密失败，其投标将被拒绝。</w:t>
      </w:r>
    </w:p>
    <w:p w14:paraId="55B7DD3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24.4 解密完成后，系统将自动唱标，公布各投标人开标一览表的内容。</w:t>
      </w:r>
    </w:p>
    <w:p w14:paraId="0C91288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24.5 代理机构对唱标内容做开标记录，由招标人、代理机构共同签字确认。</w:t>
      </w:r>
    </w:p>
    <w:p w14:paraId="13493B46">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24.6</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投标人在投标时有下列情形之一的，代理机构将拒绝接受其投标文件：</w:t>
      </w:r>
    </w:p>
    <w:p w14:paraId="41CCDDD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24.6.1 在招标文件规定的投标截止时间之后投标的。</w:t>
      </w:r>
    </w:p>
    <w:p w14:paraId="048B5A4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24.6.2 投标文件未按招标文件规定加密的。</w:t>
      </w:r>
    </w:p>
    <w:p w14:paraId="057DAB2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24.6.3 未进行网上下载领取招标文件参加投标的。</w:t>
      </w:r>
    </w:p>
    <w:p w14:paraId="0BED39B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24.6.4 一个投标人不只递交一套投标文件的。</w:t>
      </w:r>
    </w:p>
    <w:p w14:paraId="639AD637">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六  评标</w:t>
      </w:r>
    </w:p>
    <w:p w14:paraId="42ADBDFE">
      <w:pPr>
        <w:pStyle w:val="5"/>
        <w:spacing w:line="360" w:lineRule="auto"/>
        <w:ind w:firstLine="420" w:firstLineChars="200"/>
        <w:rPr>
          <w:rFonts w:ascii="仿宋" w:hAnsi="仿宋" w:eastAsia="仿宋" w:cs="仿宋"/>
          <w:lang w:eastAsia="zh-CN"/>
        </w:rPr>
      </w:pPr>
    </w:p>
    <w:p w14:paraId="33F63BE3">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25.组建评标委员会</w:t>
      </w:r>
    </w:p>
    <w:p w14:paraId="012F1826">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25.1招标代理机构根据招标项目的特点依法组建评标委员会。评标委员会由招标人代表和评审专家组成，成员人数为</w:t>
      </w:r>
      <w:r>
        <w:rPr>
          <w:rFonts w:hint="eastAsia" w:ascii="仿宋" w:hAnsi="仿宋" w:eastAsia="仿宋" w:cs="仿宋"/>
          <w:sz w:val="24"/>
          <w:szCs w:val="24"/>
          <w:u w:val="single"/>
          <w:lang w:eastAsia="zh-CN"/>
        </w:rPr>
        <w:t xml:space="preserve"> 5 </w:t>
      </w:r>
      <w:r>
        <w:rPr>
          <w:rFonts w:hint="eastAsia" w:ascii="仿宋" w:hAnsi="仿宋" w:eastAsia="仿宋" w:cs="仿宋"/>
          <w:sz w:val="24"/>
          <w:szCs w:val="24"/>
          <w:lang w:eastAsia="zh-CN"/>
        </w:rPr>
        <w:t>人，其中评审专家不得少于成员总数的三分之二。招标人可委派一名代表进入评标委员会，但不得担任组长。评审专家对本单位的采购项目只能作为招标人代表参与评标。在开标后由评标委员会对投标文件进行审查、澄清、评估和比较，并做合理的建议。</w:t>
      </w:r>
    </w:p>
    <w:p w14:paraId="054FB73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14:paraId="6C96192A">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26.投标文件的初审</w:t>
      </w:r>
    </w:p>
    <w:p w14:paraId="74993DF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26.1对所有投标人的评估，都采用相同的程序和标准。评标过程将严格按照招标文件的要求和条件进行。</w:t>
      </w:r>
    </w:p>
    <w:p w14:paraId="3EC96F8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26.2 评标委员会将对投标文件进行检查，以确定投标文件是否完整、有无计算上的错误、文件是否已正确签署等。</w:t>
      </w:r>
    </w:p>
    <w:p w14:paraId="0648451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 投标文件报价出现前后不一致的，除招标文件另有规定外，修正错误的原则如下：</w:t>
      </w:r>
    </w:p>
    <w:p w14:paraId="1E213CCC">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26.3.1 投标文件开标一览表（报价表）的内容与投标文件中相应内容不一致的，以开标一览表（报价表）为准。</w:t>
      </w:r>
    </w:p>
    <w:p w14:paraId="53D5EE8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26.3.2 大写金额与小写金额不一致的，以大写金额为准。</w:t>
      </w:r>
    </w:p>
    <w:p w14:paraId="1AEC7C8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26.3.3</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单价金额小数点或者百分比有明显错位的，以开标一览表的总价为准，并修改单价。</w:t>
      </w:r>
    </w:p>
    <w:p w14:paraId="1D349C9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26.3.4</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总价金额与按单价汇总金额不一致的，以单价金额计算结果为准。</w:t>
      </w:r>
    </w:p>
    <w:p w14:paraId="0350FCA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26.3.5</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对不同文字文本投标文件的解释发生异议的，以中文文本为准。</w:t>
      </w:r>
    </w:p>
    <w:p w14:paraId="27EFBB0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同时出现两种以上不一致的，按照前款规定的顺序修正。修正后的报价按照财政部87号令第五十一条第二款的规定经投标人确认后产生约束力，投标人不确认的，其投标无效。</w:t>
      </w:r>
    </w:p>
    <w:p w14:paraId="4854E5C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26.4 资格性检查和符合性检查。</w:t>
      </w:r>
    </w:p>
    <w:p w14:paraId="1A4A8EC8">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26.4.1资格性检查。依据法规政策和招标文件的规定，在对投标文件详细评估之前，招标人将依据投标人提交的投标文件按招标文件第一章招标公告第二项和招标文件第三章(一）说明4.投标人应提交的证明文件所述的资格标准对投标人进行资格审查,以确定其是否具备投标资格。如果投标人不具备投标资格 、不满足招标文件所规定的资格标准或提供资格证明文件不全,其投标将被作为无效投标。</w:t>
      </w:r>
    </w:p>
    <w:p w14:paraId="6AC9E1E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26.4.2 资格审查后合格的投标人不足3家的，不得评标。</w:t>
      </w:r>
    </w:p>
    <w:p w14:paraId="33885E3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26.4.3符合性检查。依据招标文件的规定，评标委员会将从投标文件的有效性、完整性和对招标文件的响应程度进行审查，以确定是否符合对招标文件的实质性要求作出响应（招标人可根据具体项目的情况对实质性要求作特别的具体规定）。实质性偏离是指：（1）实质性影响合同的范围、质量和履行。（2）实质性违背招标文件，限制了招标人的权利。（3）不公正地影响了其它作出实质性响应的投标人的竞争地位。对没有实质性响应的投标文件将不进行评 估，其投标被作为无效投标。凡有下列情况之一者，投标文件也将被视为未实质性响应招标文件要求：</w:t>
      </w:r>
    </w:p>
    <w:p w14:paraId="4E9410EB">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（1）投标文件未按规定签字、盖章的。</w:t>
      </w:r>
    </w:p>
    <w:p w14:paraId="61C5890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（2）投标人代表未能出具有效身份证明，或与身份不符的。 </w:t>
      </w:r>
    </w:p>
    <w:p w14:paraId="7229344A">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（3）资格证明文件不全的，或不符合招标文件标明的资格要求的。</w:t>
      </w:r>
    </w:p>
    <w:p w14:paraId="2007859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（4）投标文件有效期、服务期限、服务内容等不满足招标文件要求的。</w:t>
      </w:r>
    </w:p>
    <w:p w14:paraId="366029B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（5）未按招标文件提供的格式填列、项目不齐全或内容虚假的。</w:t>
      </w:r>
    </w:p>
    <w:p w14:paraId="1929C74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（6）投标文件的实质性内容未使用中文表述，或意思表述不明确，或前后矛盾，或使用计量单位不符合招标文件要求的（经评标委员会认定允许其当场更正的笔误除外）。</w:t>
      </w:r>
    </w:p>
    <w:p w14:paraId="0303F79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（7）投标文件的关键内容字迹模糊、无法辨认,或投标文件中经修正的内容字迹模糊无法辩认，或修改处未按规定签名盖章的。</w:t>
      </w:r>
    </w:p>
    <w:p w14:paraId="306089EC">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（8）不符合招标文件中规定的其它实质性条款。评标委员会决定投标的响应性只根据投标文件本身的内容，而不寻求其他的外部证据。</w:t>
      </w:r>
    </w:p>
    <w:p w14:paraId="02352C1D">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任何一项不满足招标服务需求的。</w:t>
      </w:r>
    </w:p>
    <w:p w14:paraId="036E268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26.4.4对资格性检查和符合性检查不合格的投标</w:t>
      </w:r>
      <w:bookmarkStart w:id="11" w:name="_GoBack"/>
      <w:bookmarkEnd w:id="11"/>
      <w:r>
        <w:rPr>
          <w:rFonts w:hint="eastAsia" w:ascii="仿宋" w:hAnsi="仿宋" w:eastAsia="仿宋" w:cs="仿宋"/>
          <w:color w:val="auto"/>
          <w:sz w:val="24"/>
          <w:lang w:eastAsia="zh-CN"/>
        </w:rPr>
        <w:t>人，将通过驻马店市公共资源交易不见面开评标系统网上实时告知其理由。</w:t>
      </w:r>
    </w:p>
    <w:p w14:paraId="6B00040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 在评审过程中，评标委员会发现投标人有下列情形之一的，视为投标人相互串通投标，其投标无效：</w:t>
      </w:r>
    </w:p>
    <w:p w14:paraId="787636E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26.5.1不同投标人的投标文件异常一致或者投标报价呈规律性差异的;</w:t>
      </w:r>
    </w:p>
    <w:p w14:paraId="252EF4B9">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26.5.2不同投标人的投标文件由同一单位或者个人编制；</w:t>
      </w:r>
    </w:p>
    <w:p w14:paraId="21FFD33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26.5.3不同投标人委托同一单位或者个人办理投标事宜；</w:t>
      </w:r>
    </w:p>
    <w:p w14:paraId="08F8906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26.5.4不同投标人的投标文件载明的项目管理成员或者联系人员为同一人；</w:t>
      </w:r>
    </w:p>
    <w:p w14:paraId="5085EA5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26.5.5不同投标人的投标文件相互混装；</w:t>
      </w:r>
    </w:p>
    <w:p w14:paraId="5EFFF6F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26.5.6 有证据证明投标人串通投标的其他情形的。</w:t>
      </w:r>
    </w:p>
    <w:p w14:paraId="3CEE331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26.5.7 评标委员会认定的其他串通投标情形。</w:t>
      </w:r>
    </w:p>
    <w:p w14:paraId="0D63F049">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27.投标文件的澄清</w:t>
      </w:r>
    </w:p>
    <w:p w14:paraId="221E623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14:paraId="1CCDB2B9">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28.比较与评价</w:t>
      </w:r>
    </w:p>
    <w:p w14:paraId="15BE6D2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28.1 评标委员会将按本招标文件规定的评标方法与标准，对资格性检查和符合性检查合格的投标文件进行商务和技术评估，综合比较与评价。</w:t>
      </w:r>
    </w:p>
    <w:p w14:paraId="70D8EEE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14:paraId="121A8D86">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28.3评标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14:paraId="39A4BEC3">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29.评标过程及保密原则</w:t>
      </w:r>
    </w:p>
    <w:p w14:paraId="19F7AA3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29.1 凡与本次招标有关人员对属于审查、澄清、评价和比较投标的有关资料以及定标意向等，均不得向投标人或其他人员透露。否则,将按有关规定追究相关人员的责任。</w:t>
      </w:r>
    </w:p>
    <w:p w14:paraId="382DD67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29.2 在评标期间，投标人试图影响或干预评审的任何行为，将导致其投标被作为无效投标，并承担相应的法律责任。</w:t>
      </w:r>
    </w:p>
    <w:p w14:paraId="796DC8A2">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30.评标异议登记</w:t>
      </w:r>
    </w:p>
    <w:p w14:paraId="251F4F84">
      <w:pPr>
        <w:spacing w:line="360" w:lineRule="auto"/>
        <w:ind w:firstLine="480" w:firstLineChars="200"/>
        <w:rPr>
          <w:rFonts w:ascii="仿宋" w:hAnsi="仿宋" w:eastAsia="仿宋" w:cs="仿宋"/>
          <w:lang w:eastAsia="zh-CN"/>
        </w:rPr>
      </w:pPr>
      <w:r>
        <w:rPr>
          <w:rFonts w:hint="eastAsia" w:ascii="仿宋" w:hAnsi="仿宋" w:eastAsia="仿宋" w:cs="仿宋"/>
          <w:color w:val="auto"/>
          <w:sz w:val="24"/>
          <w:lang w:eastAsia="zh-CN"/>
        </w:rPr>
        <w:t>代理机构工作人员对评审专家等相关人员在评审过程中发现、提出的异议进行逐项登记。</w:t>
      </w:r>
    </w:p>
    <w:p w14:paraId="0289501B">
      <w:pPr>
        <w:pStyle w:val="5"/>
        <w:spacing w:line="360" w:lineRule="auto"/>
        <w:ind w:firstLine="420" w:firstLineChars="200"/>
        <w:rPr>
          <w:rFonts w:ascii="仿宋" w:hAnsi="仿宋" w:eastAsia="仿宋" w:cs="仿宋"/>
          <w:lang w:eastAsia="zh-CN"/>
        </w:rPr>
      </w:pPr>
    </w:p>
    <w:p w14:paraId="1A51A7A0">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七   定标</w:t>
      </w:r>
    </w:p>
    <w:p w14:paraId="2AE79B4F">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31.定标原则</w:t>
      </w:r>
    </w:p>
    <w:p w14:paraId="46A28D84">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31.1 最低投标价不作为中标的保证。</w:t>
      </w:r>
    </w:p>
    <w:p w14:paraId="55C80F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仿宋" w:hAnsi="仿宋" w:eastAsia="仿宋" w:cs="仿宋"/>
          <w:color w:val="auto"/>
          <w:sz w:val="24"/>
          <w:lang w:eastAsia="zh-CN"/>
        </w:rPr>
      </w:pPr>
      <w:r>
        <w:rPr>
          <w:rFonts w:hint="eastAsia" w:ascii="仿宋" w:hAnsi="仿宋" w:eastAsia="仿宋" w:cs="仿宋"/>
          <w:color w:val="auto"/>
          <w:sz w:val="24"/>
          <w:lang w:eastAsia="zh-CN"/>
        </w:rPr>
        <w:t>31.2 确定实质上响应招标文件且满足下列条件的为中标候选人（或中标人）：</w:t>
      </w:r>
    </w:p>
    <w:p w14:paraId="743A271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31.2.1综合评分法，是指投标文件满足招标文件全部实质性要求，且按照评审因素的量化指标评审得分最高的投标人为中标候选人（或中标人）的评标方法。</w:t>
      </w:r>
    </w:p>
    <w:p w14:paraId="0A421209">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F7CF77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14:paraId="0ED01F10">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32.确定中标人和中标候选人</w:t>
      </w:r>
    </w:p>
    <w:p w14:paraId="4E1EA2C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项目评审（标）委员会根据全体评审（标）成员签字的原始评审（标）记录和评审（标）结果编写评审（标）报告，推荐两名中标候选人。招标代理机构应当履行核对评审（标）结果职责，并在评审评标结束后2个工作日内将评标报告通过公共资源电子交易系统提交招标人，招标人应当在收到评审报告1个工作日内通过公共资源电子交易系统线上确定中标人。</w:t>
      </w:r>
    </w:p>
    <w:p w14:paraId="227FA2A6">
      <w:pPr>
        <w:spacing w:line="360" w:lineRule="auto"/>
        <w:ind w:firstLine="480" w:firstLineChars="200"/>
        <w:rPr>
          <w:rFonts w:ascii="仿宋" w:hAnsi="仿宋" w:eastAsia="仿宋" w:cs="仿宋"/>
          <w:b/>
          <w:color w:val="auto"/>
          <w:sz w:val="24"/>
          <w:lang w:eastAsia="zh-CN"/>
        </w:rPr>
      </w:pPr>
      <w:r>
        <w:rPr>
          <w:rFonts w:hint="eastAsia" w:ascii="仿宋" w:hAnsi="仿宋" w:eastAsia="仿宋" w:cs="仿宋"/>
          <w:sz w:val="24"/>
          <w:szCs w:val="24"/>
          <w:lang w:eastAsia="zh-CN"/>
        </w:rPr>
        <w:t xml:space="preserve"> </w:t>
      </w:r>
      <w:r>
        <w:rPr>
          <w:rFonts w:hint="eastAsia" w:ascii="仿宋" w:hAnsi="仿宋" w:eastAsia="仿宋" w:cs="仿宋"/>
          <w:b/>
          <w:color w:val="auto"/>
          <w:sz w:val="24"/>
          <w:lang w:eastAsia="zh-CN"/>
        </w:rPr>
        <w:t>33.中标通知书及中标公告</w:t>
      </w:r>
    </w:p>
    <w:p w14:paraId="05B5971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33.1 招标人应当在收到评审报告1个工作日内通过公共资源交易系统线上确定中标人，公共资源交易中心和社会代理机构要在收到确认结果后，第一时间在网上进行公示，同时向中标人发出中标通知书，确保招标结果及时、准确地向社会公开。因出现违法违规行为导致无法确定中标人的，应当在确定招标结果的法定期限内向代理机构书面提出，并向财政部门报告。</w:t>
      </w:r>
    </w:p>
    <w:p w14:paraId="5D077027">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33.2 中标人在规定的时间内不领取中标通知书的，视为中标后自动放弃中标资格；中标人在有效报价中报价最低,非不可抗力放弃中标资格的。发生上述情况的承担由此引起的一切后果。投标人须提供相关承诺，否则视为无效投标。</w:t>
      </w:r>
    </w:p>
    <w:p w14:paraId="38BCB14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33.3 中标通知书对招标人和中标人具有同等法律效力。中标通知书发出后，招标人改变中标结果，或者中标人放弃中标，应按相关法律、规章、规范性文件的要求承担相应的法律责任。</w:t>
      </w:r>
    </w:p>
    <w:p w14:paraId="0ADD3B2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33.4 中标通知书将作为签订合同的依据。合同签订后，中标通知书成为合同的一部分。</w:t>
      </w:r>
    </w:p>
    <w:p w14:paraId="19F618A2">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34.代理机构宣布废标的权利</w:t>
      </w:r>
    </w:p>
    <w:p w14:paraId="06CA714F">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34.1 出现下列情况之一时，代理机构有权宣布废标，并将理由通知所有投标人：</w:t>
      </w:r>
    </w:p>
    <w:p w14:paraId="670AE65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34.1.1出现影响招标公正的违法、违规行为的。</w:t>
      </w:r>
    </w:p>
    <w:p w14:paraId="07EF972A">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34.1.2 投标人的报价均超过了招标控制价，招标人不能支付的。</w:t>
      </w:r>
    </w:p>
    <w:p w14:paraId="54DFB3F6">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34.1.3 因重大变故，招标任务取消的。</w:t>
      </w:r>
    </w:p>
    <w:p w14:paraId="3029D4A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34.2 投标截止时间后投标人不足3家或通过资格性检查或符合性检查的投标人不足3家的，除采购任务取消情形外，按照以下方式处理：</w:t>
      </w:r>
    </w:p>
    <w:p w14:paraId="483FC87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（1）招标文件存在不合理条款或者招标程序不符合规定的，招标人、招标代理机构改正后依法重新招标；</w:t>
      </w:r>
    </w:p>
    <w:p w14:paraId="027482D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（2）招标文件没有不合理条款、招标程序符合规定，需要采用其他采购方式采购的，招标人应当依法报财政部门批准。</w:t>
      </w:r>
    </w:p>
    <w:p w14:paraId="1336E922">
      <w:pPr>
        <w:rPr>
          <w:rFonts w:ascii="仿宋" w:hAnsi="仿宋" w:eastAsia="仿宋" w:cs="仿宋"/>
          <w:sz w:val="36"/>
          <w:szCs w:val="36"/>
          <w:lang w:eastAsia="zh-CN"/>
        </w:rPr>
      </w:pPr>
    </w:p>
    <w:p w14:paraId="5A5CC102">
      <w:pPr>
        <w:spacing w:line="360" w:lineRule="auto"/>
        <w:jc w:val="center"/>
        <w:rPr>
          <w:rFonts w:ascii="仿宋" w:hAnsi="仿宋" w:eastAsia="仿宋" w:cs="仿宋"/>
          <w:b/>
          <w:color w:val="auto"/>
          <w:sz w:val="32"/>
          <w:szCs w:val="32"/>
          <w:lang w:eastAsia="zh-CN"/>
        </w:rPr>
      </w:pPr>
      <w:r>
        <w:rPr>
          <w:rFonts w:hint="eastAsia" w:ascii="仿宋" w:hAnsi="仿宋" w:eastAsia="仿宋" w:cs="仿宋"/>
          <w:b/>
          <w:color w:val="auto"/>
          <w:sz w:val="32"/>
          <w:szCs w:val="32"/>
          <w:lang w:eastAsia="zh-CN"/>
        </w:rPr>
        <w:t>八  合同授予</w:t>
      </w:r>
    </w:p>
    <w:p w14:paraId="0D9F18E1">
      <w:pPr>
        <w:spacing w:line="360" w:lineRule="auto"/>
        <w:ind w:firstLine="482" w:firstLineChars="200"/>
        <w:rPr>
          <w:rFonts w:hint="eastAsia" w:ascii="仿宋" w:hAnsi="仿宋" w:eastAsia="仿宋" w:cs="仿宋"/>
          <w:b/>
          <w:color w:val="auto"/>
          <w:sz w:val="24"/>
          <w:lang w:eastAsia="zh-CN"/>
        </w:rPr>
      </w:pPr>
    </w:p>
    <w:p w14:paraId="7D6A68EC">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35.合同签订</w:t>
      </w:r>
    </w:p>
    <w:p w14:paraId="12F960B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35.1招标人、中标人自中标通知书发出之日起，在招标文件第三章《</w:t>
      </w:r>
      <w:r>
        <w:rPr>
          <w:rFonts w:hint="eastAsia" w:ascii="仿宋" w:hAnsi="仿宋" w:eastAsia="仿宋" w:cs="仿宋"/>
          <w:sz w:val="24"/>
          <w:szCs w:val="24"/>
          <w:lang w:val="en-US" w:eastAsia="zh-CN"/>
        </w:rPr>
        <w:t>投标人</w:t>
      </w:r>
      <w:r>
        <w:rPr>
          <w:rFonts w:hint="eastAsia" w:ascii="仿宋" w:hAnsi="仿宋" w:eastAsia="仿宋" w:cs="仿宋"/>
          <w:sz w:val="24"/>
          <w:szCs w:val="24"/>
          <w:lang w:eastAsia="zh-CN"/>
        </w:rPr>
        <w:t>须知前附表》规定的时间内，根据招标文件确定的事项和中标人投标文件签订合同。双方所签订的合同不得对招标文件和中标人投标文件作实质性修改。</w:t>
      </w:r>
    </w:p>
    <w:p w14:paraId="0E31B44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35.2招标文件、招标文件的修改文件、中标人的投标文件、补充或修改的文件及澄 清或承诺文件等，均为双方签订合同的组成部分，并与合同一并作为本招标文件所列采购项目的互补性法律文件，与合同具有同等法律效力。</w:t>
      </w:r>
    </w:p>
    <w:p w14:paraId="0DA8E59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35.3中标人放弃中标、因不可抗力不能履行合同、不按照招标文件要求提交履约保证金，或者被查实存在影响中标结果的违法行为等情形，不符合中标条件的， 招标人可以按照评标委员会提出的中标候选人名单排序依次确定其他中标候选人为中标人，也可以重新招标。</w:t>
      </w:r>
    </w:p>
    <w:p w14:paraId="0B4B12A0">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35.4招标人按照法律法规及各级财政部门相关规定，在规定时间内将合同副本报同级财政部门备案。</w:t>
      </w:r>
    </w:p>
    <w:p w14:paraId="313817B1">
      <w:pPr>
        <w:spacing w:line="360" w:lineRule="auto"/>
        <w:ind w:firstLine="480" w:firstLineChars="200"/>
        <w:rPr>
          <w:rFonts w:ascii="仿宋" w:hAnsi="仿宋" w:eastAsia="仿宋" w:cs="仿宋"/>
          <w:sz w:val="24"/>
          <w:szCs w:val="24"/>
          <w:lang w:eastAsia="zh-CN"/>
        </w:rPr>
        <w:sectPr>
          <w:footerReference r:id="rId6" w:type="default"/>
          <w:pgSz w:w="11906" w:h="16839"/>
          <w:pgMar w:top="1440" w:right="1803" w:bottom="1440" w:left="1803" w:header="0" w:footer="992" w:gutter="0"/>
          <w:cols w:space="720" w:num="1"/>
        </w:sectPr>
      </w:pPr>
    </w:p>
    <w:p w14:paraId="37F4CA05">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第四章  评标办法及评分标准</w:t>
      </w:r>
    </w:p>
    <w:p w14:paraId="64C9C99B">
      <w:pPr>
        <w:spacing w:line="360" w:lineRule="auto"/>
        <w:ind w:firstLine="482" w:firstLineChars="200"/>
        <w:rPr>
          <w:rFonts w:ascii="仿宋" w:hAnsi="仿宋" w:eastAsia="仿宋" w:cs="仿宋"/>
          <w:b/>
          <w:color w:val="auto"/>
          <w:sz w:val="24"/>
          <w:lang w:eastAsia="zh-CN"/>
        </w:rPr>
      </w:pPr>
    </w:p>
    <w:p w14:paraId="297E7D1B">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一、总则</w:t>
      </w:r>
    </w:p>
    <w:p w14:paraId="239707A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次评标采用综合评分法，总分为100分。按投标人须知第31项的规定排列中标资格。排名第一的投标人为中标人（如果需要确定中标候选人，排名第二的投标人为中标候选人，其他投标人中标候选资格依此类推）。评分过程中采用四舍五入法，保留小数2位。</w:t>
      </w:r>
    </w:p>
    <w:p w14:paraId="6CBD140A">
      <w:pPr>
        <w:spacing w:line="360" w:lineRule="auto"/>
        <w:ind w:firstLine="482" w:firstLineChars="200"/>
        <w:rPr>
          <w:rFonts w:ascii="仿宋" w:hAnsi="仿宋" w:eastAsia="仿宋" w:cs="仿宋"/>
          <w:b/>
          <w:color w:val="auto"/>
          <w:sz w:val="24"/>
          <w:lang w:eastAsia="zh-CN"/>
        </w:rPr>
      </w:pPr>
      <w:r>
        <w:rPr>
          <w:rFonts w:hint="eastAsia" w:ascii="仿宋" w:hAnsi="仿宋" w:eastAsia="仿宋" w:cs="仿宋"/>
          <w:b/>
          <w:color w:val="auto"/>
          <w:sz w:val="24"/>
          <w:lang w:eastAsia="zh-CN"/>
        </w:rPr>
        <w:t>二、评标内容及标准</w:t>
      </w:r>
    </w:p>
    <w:p w14:paraId="2E8033F5">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xml:space="preserve">价格分 </w:t>
      </w:r>
    </w:p>
    <w:p w14:paraId="483207C1">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标委员会根据政府采购相关规定，对有效投标的投标服务符合价格折扣条件的，按照“价格调整要素及价格折扣幅度列表”进行报价调整，以调整后的价格作为投标人的评标价。价格分应当采用低价优先法计算，即满足招标文件要求且投标价格最低的投标报价为评标基准价，其价格分为满分。其他投标人的价格分统一按照下列公式计算：投标报价得分=(评标基准价／投标报价)×价格权值</w:t>
      </w:r>
    </w:p>
    <w:p w14:paraId="3FE9D8C1">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价格调整要素及价格折扣幅度列表：</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36"/>
      </w:tblGrid>
      <w:tr w14:paraId="13D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60E3095A">
            <w:pPr>
              <w:spacing w:line="360" w:lineRule="auto"/>
              <w:rPr>
                <w:rFonts w:ascii="仿宋" w:hAnsi="仿宋" w:eastAsia="仿宋" w:cs="仿宋"/>
                <w:color w:val="auto"/>
                <w:sz w:val="24"/>
              </w:rPr>
            </w:pPr>
            <w:r>
              <w:rPr>
                <w:rFonts w:hint="eastAsia" w:ascii="仿宋" w:hAnsi="仿宋" w:eastAsia="仿宋" w:cs="仿宋"/>
                <w:color w:val="auto"/>
                <w:sz w:val="24"/>
              </w:rPr>
              <w:t>评标价格要素</w:t>
            </w:r>
          </w:p>
        </w:tc>
        <w:tc>
          <w:tcPr>
            <w:tcW w:w="4536" w:type="dxa"/>
            <w:tcBorders>
              <w:top w:val="single" w:color="auto" w:sz="4" w:space="0"/>
              <w:left w:val="nil"/>
              <w:bottom w:val="single" w:color="auto" w:sz="4" w:space="0"/>
              <w:right w:val="single" w:color="auto" w:sz="4" w:space="0"/>
            </w:tcBorders>
          </w:tcPr>
          <w:p w14:paraId="3683792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价格折扣幅度</w:t>
            </w:r>
          </w:p>
        </w:tc>
      </w:tr>
      <w:tr w14:paraId="0FDF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503" w:type="dxa"/>
            <w:tcBorders>
              <w:top w:val="single" w:color="auto" w:sz="4" w:space="0"/>
              <w:left w:val="single" w:color="auto" w:sz="4" w:space="0"/>
              <w:bottom w:val="single" w:color="auto" w:sz="4" w:space="0"/>
              <w:right w:val="single" w:color="auto" w:sz="4" w:space="0"/>
            </w:tcBorders>
          </w:tcPr>
          <w:p w14:paraId="4B99B8DF">
            <w:pPr>
              <w:spacing w:line="360" w:lineRule="auto"/>
              <w:rPr>
                <w:rFonts w:ascii="仿宋" w:hAnsi="仿宋" w:eastAsia="仿宋" w:cs="仿宋"/>
                <w:color w:val="auto"/>
                <w:sz w:val="24"/>
              </w:rPr>
            </w:pPr>
            <w:r>
              <w:rPr>
                <w:rFonts w:hint="eastAsia" w:ascii="仿宋" w:hAnsi="仿宋" w:eastAsia="仿宋" w:cs="仿宋"/>
                <w:color w:val="auto"/>
                <w:sz w:val="24"/>
              </w:rPr>
              <w:t>节能产品</w:t>
            </w:r>
          </w:p>
        </w:tc>
        <w:tc>
          <w:tcPr>
            <w:tcW w:w="4536" w:type="dxa"/>
            <w:tcBorders>
              <w:top w:val="single" w:color="auto" w:sz="4" w:space="0"/>
              <w:left w:val="nil"/>
              <w:bottom w:val="single" w:color="auto" w:sz="4" w:space="0"/>
              <w:right w:val="single" w:color="auto" w:sz="4" w:space="0"/>
            </w:tcBorders>
          </w:tcPr>
          <w:p w14:paraId="0F5D5E9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p>
        </w:tc>
      </w:tr>
      <w:tr w14:paraId="49CF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03" w:type="dxa"/>
            <w:tcBorders>
              <w:top w:val="single" w:color="auto" w:sz="4" w:space="0"/>
              <w:left w:val="single" w:color="auto" w:sz="4" w:space="0"/>
              <w:bottom w:val="single" w:color="auto" w:sz="4" w:space="0"/>
              <w:right w:val="single" w:color="auto" w:sz="4" w:space="0"/>
            </w:tcBorders>
          </w:tcPr>
          <w:p w14:paraId="7E82D4D9">
            <w:pPr>
              <w:spacing w:line="360" w:lineRule="auto"/>
              <w:rPr>
                <w:rFonts w:ascii="仿宋" w:hAnsi="仿宋" w:eastAsia="仿宋" w:cs="仿宋"/>
                <w:color w:val="auto"/>
                <w:sz w:val="24"/>
              </w:rPr>
            </w:pPr>
            <w:r>
              <w:rPr>
                <w:rFonts w:hint="eastAsia" w:ascii="仿宋" w:hAnsi="仿宋" w:eastAsia="仿宋" w:cs="仿宋"/>
                <w:color w:val="auto"/>
                <w:sz w:val="24"/>
              </w:rPr>
              <w:t>环境标志产品</w:t>
            </w:r>
          </w:p>
        </w:tc>
        <w:tc>
          <w:tcPr>
            <w:tcW w:w="4536" w:type="dxa"/>
            <w:tcBorders>
              <w:top w:val="single" w:color="auto" w:sz="4" w:space="0"/>
              <w:left w:val="nil"/>
              <w:bottom w:val="single" w:color="auto" w:sz="4" w:space="0"/>
              <w:right w:val="single" w:color="auto" w:sz="4" w:space="0"/>
            </w:tcBorders>
          </w:tcPr>
          <w:p w14:paraId="5D9614E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p>
        </w:tc>
      </w:tr>
      <w:tr w14:paraId="2599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03" w:type="dxa"/>
            <w:tcBorders>
              <w:top w:val="single" w:color="auto" w:sz="4" w:space="0"/>
              <w:left w:val="single" w:color="auto" w:sz="4" w:space="0"/>
              <w:bottom w:val="single" w:color="auto" w:sz="4" w:space="0"/>
              <w:right w:val="single" w:color="auto" w:sz="4" w:space="0"/>
            </w:tcBorders>
          </w:tcPr>
          <w:p w14:paraId="0E84691E">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小微企业投标，且投标产品出自小型或微型企业。监狱企业、残疾人福利性单位视同小型、微型企业。</w:t>
            </w:r>
          </w:p>
        </w:tc>
        <w:tc>
          <w:tcPr>
            <w:tcW w:w="4536" w:type="dxa"/>
            <w:tcBorders>
              <w:top w:val="single" w:color="auto" w:sz="4" w:space="0"/>
              <w:left w:val="nil"/>
              <w:bottom w:val="single" w:color="auto" w:sz="4" w:space="0"/>
              <w:right w:val="single" w:color="auto" w:sz="4" w:space="0"/>
            </w:tcBorders>
          </w:tcPr>
          <w:p w14:paraId="0599D50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20</w:t>
            </w:r>
            <w:r>
              <w:rPr>
                <w:rFonts w:hint="eastAsia" w:ascii="仿宋" w:hAnsi="仿宋" w:eastAsia="仿宋" w:cs="仿宋"/>
                <w:color w:val="auto"/>
                <w:sz w:val="24"/>
              </w:rPr>
              <w:t xml:space="preserve">% </w:t>
            </w:r>
          </w:p>
        </w:tc>
      </w:tr>
      <w:tr w14:paraId="416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4503" w:type="dxa"/>
            <w:tcBorders>
              <w:top w:val="single" w:color="auto" w:sz="4" w:space="0"/>
              <w:left w:val="single" w:color="auto" w:sz="4" w:space="0"/>
              <w:bottom w:val="single" w:color="auto" w:sz="4" w:space="0"/>
              <w:right w:val="single" w:color="auto" w:sz="4" w:space="0"/>
            </w:tcBorders>
          </w:tcPr>
          <w:p w14:paraId="7AEC4093">
            <w:pPr>
              <w:spacing w:line="360" w:lineRule="auto"/>
              <w:rPr>
                <w:rFonts w:ascii="仿宋" w:hAnsi="仿宋" w:eastAsia="仿宋" w:cs="仿宋"/>
                <w:color w:val="auto"/>
                <w:sz w:val="24"/>
              </w:rPr>
            </w:pPr>
            <w:r>
              <w:rPr>
                <w:rFonts w:hint="eastAsia" w:ascii="仿宋" w:hAnsi="仿宋" w:eastAsia="仿宋" w:cs="仿宋"/>
                <w:color w:val="auto"/>
                <w:sz w:val="24"/>
              </w:rPr>
              <w:t>…</w:t>
            </w:r>
          </w:p>
        </w:tc>
        <w:tc>
          <w:tcPr>
            <w:tcW w:w="4536" w:type="dxa"/>
            <w:tcBorders>
              <w:top w:val="single" w:color="auto" w:sz="4" w:space="0"/>
              <w:left w:val="nil"/>
              <w:bottom w:val="single" w:color="auto" w:sz="4" w:space="0"/>
              <w:right w:val="single" w:color="auto" w:sz="4" w:space="0"/>
            </w:tcBorders>
          </w:tcPr>
          <w:p w14:paraId="77C1CDF3">
            <w:pPr>
              <w:spacing w:line="360" w:lineRule="auto"/>
              <w:ind w:firstLine="120" w:firstLineChars="50"/>
              <w:rPr>
                <w:rFonts w:ascii="仿宋" w:hAnsi="仿宋" w:eastAsia="仿宋" w:cs="仿宋"/>
                <w:color w:val="auto"/>
                <w:sz w:val="24"/>
                <w:lang w:eastAsia="zh-CN"/>
              </w:rPr>
            </w:pPr>
            <w:r>
              <w:rPr>
                <w:rFonts w:hint="eastAsia" w:ascii="仿宋" w:hAnsi="仿宋" w:eastAsia="仿宋" w:cs="仿宋"/>
                <w:color w:val="auto"/>
                <w:sz w:val="24"/>
                <w:lang w:eastAsia="zh-CN"/>
              </w:rPr>
              <w:t>投标人或所投产品按规定享受其他国家政策支持、扶持的，由投标人提供相关法律法规政策依据，每项按0.5%折扣。</w:t>
            </w:r>
          </w:p>
        </w:tc>
      </w:tr>
    </w:tbl>
    <w:p w14:paraId="0B3EE08F">
      <w:pPr>
        <w:pStyle w:val="14"/>
        <w:spacing w:line="360" w:lineRule="auto"/>
        <w:ind w:firstLine="200"/>
        <w:rPr>
          <w:rFonts w:ascii="仿宋" w:hAnsi="仿宋" w:eastAsia="仿宋" w:cs="仿宋"/>
          <w:color w:val="auto"/>
          <w:sz w:val="20"/>
          <w:szCs w:val="22"/>
          <w:lang w:eastAsia="zh-CN"/>
        </w:rPr>
      </w:pPr>
    </w:p>
    <w:p w14:paraId="0A67D95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注(1)投标产品属节能或环境标志产品品目清单范围的，以国家确定的认证机构出具的、处于有效期之内的节能产品、环境标志产品认证证书为准。属于强制采购的产品，不再给予价格优惠。</w:t>
      </w:r>
    </w:p>
    <w:p w14:paraId="4F993574">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 xml:space="preserve"> (2)同一包内有多个投标产品，部分产品符合政策功能要求的，只对符合政策功能要求的产品依据《投标报价明细表》按上述价格折扣幅度进行折扣，并按折扣后的价格即单项评标价计入总价进行评标。</w:t>
      </w:r>
    </w:p>
    <w:p w14:paraId="186099A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（3）根据《政府采购促进中小企业发展暂行办法》（财库[2020]46号）的规定，参加政府采购活动的中小企业应当提供《中小企业声明函》。（格式见第六章附件8.</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p>
    <w:p w14:paraId="0BC50956">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（4）根据《财政部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2E6831D9">
      <w:pPr>
        <w:spacing w:line="360" w:lineRule="auto"/>
        <w:rPr>
          <w:rFonts w:ascii="仿宋" w:hAnsi="仿宋" w:eastAsia="仿宋" w:cs="仿宋"/>
          <w:b/>
          <w:color w:val="auto"/>
          <w:sz w:val="32"/>
          <w:szCs w:val="32"/>
        </w:rPr>
      </w:pPr>
      <w:r>
        <w:rPr>
          <w:rFonts w:hint="eastAsia" w:ascii="仿宋" w:hAnsi="仿宋" w:eastAsia="仿宋" w:cs="仿宋"/>
          <w:color w:val="auto"/>
          <w:sz w:val="24"/>
          <w:lang w:eastAsia="zh-CN"/>
        </w:rPr>
        <w:t xml:space="preserve">  （5）根据《财政部 民政部 中国残疾人联合会关于促进残疾人就业政府采购政策的通知》（财库〔2017〕 141号）的规定，享受政府采购支持政策的残疾人福利性单位应当提供《残疾人福利性单位声明函》。</w:t>
      </w:r>
      <w:r>
        <w:rPr>
          <w:rFonts w:hint="eastAsia" w:ascii="仿宋" w:hAnsi="仿宋" w:eastAsia="仿宋" w:cs="仿宋"/>
          <w:color w:val="auto"/>
          <w:sz w:val="24"/>
        </w:rPr>
        <w:t>（格式见第六章附件</w:t>
      </w:r>
      <w:r>
        <w:rPr>
          <w:rFonts w:hint="eastAsia" w:ascii="仿宋" w:hAnsi="仿宋" w:eastAsia="仿宋" w:cs="仿宋"/>
          <w:color w:val="auto"/>
          <w:sz w:val="24"/>
          <w:lang w:eastAsia="zh-CN"/>
        </w:rPr>
        <w:t>8</w:t>
      </w: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p>
    <w:p w14:paraId="44BEEFCD">
      <w:pPr>
        <w:spacing w:line="360" w:lineRule="auto"/>
        <w:jc w:val="center"/>
        <w:rPr>
          <w:rFonts w:hint="eastAsia" w:ascii="仿宋" w:hAnsi="仿宋" w:eastAsia="仿宋" w:cs="仿宋"/>
          <w:sz w:val="24"/>
          <w:szCs w:val="24"/>
          <w:highlight w:val="none"/>
        </w:rPr>
      </w:pPr>
      <w:r>
        <w:rPr>
          <w:rFonts w:hint="eastAsia" w:ascii="仿宋" w:hAnsi="仿宋" w:eastAsia="仿宋" w:cs="仿宋"/>
          <w:b/>
          <w:color w:val="auto"/>
          <w:sz w:val="32"/>
          <w:szCs w:val="32"/>
          <w:highlight w:val="none"/>
        </w:rPr>
        <w:t>评标标准和方法</w:t>
      </w:r>
    </w:p>
    <w:tbl>
      <w:tblPr>
        <w:tblStyle w:val="16"/>
        <w:tblW w:w="5796" w:type="pct"/>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7"/>
        <w:gridCol w:w="1031"/>
        <w:gridCol w:w="747"/>
        <w:gridCol w:w="6927"/>
      </w:tblGrid>
      <w:tr w14:paraId="5DF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90" w:hRule="atLeast"/>
        </w:trPr>
        <w:tc>
          <w:tcPr>
            <w:tcW w:w="1113" w:type="pct"/>
            <w:gridSpan w:val="2"/>
            <w:shd w:val="clear" w:color="auto" w:fill="auto"/>
            <w:vAlign w:val="center"/>
          </w:tcPr>
          <w:p w14:paraId="6D5BE0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评分因素</w:t>
            </w:r>
          </w:p>
        </w:tc>
        <w:tc>
          <w:tcPr>
            <w:tcW w:w="378" w:type="pct"/>
            <w:shd w:val="clear" w:color="auto" w:fill="auto"/>
            <w:vAlign w:val="center"/>
          </w:tcPr>
          <w:p w14:paraId="5C548DA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分值</w:t>
            </w:r>
          </w:p>
        </w:tc>
        <w:tc>
          <w:tcPr>
            <w:tcW w:w="3507" w:type="pct"/>
            <w:shd w:val="clear" w:color="auto" w:fill="auto"/>
            <w:vAlign w:val="center"/>
          </w:tcPr>
          <w:p w14:paraId="6B5FF3F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评分依据标准</w:t>
            </w:r>
          </w:p>
        </w:tc>
      </w:tr>
      <w:tr w14:paraId="78E5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91" w:type="pct"/>
            <w:shd w:val="clear" w:color="auto" w:fill="auto"/>
            <w:vAlign w:val="center"/>
          </w:tcPr>
          <w:p w14:paraId="4AB0C62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价格部分</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（30分）</w:t>
            </w:r>
          </w:p>
        </w:tc>
        <w:tc>
          <w:tcPr>
            <w:tcW w:w="522" w:type="pct"/>
            <w:shd w:val="clear" w:color="auto" w:fill="auto"/>
            <w:vAlign w:val="center"/>
          </w:tcPr>
          <w:p w14:paraId="6869B13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投标</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价格</w:t>
            </w:r>
          </w:p>
        </w:tc>
        <w:tc>
          <w:tcPr>
            <w:tcW w:w="378" w:type="pct"/>
            <w:shd w:val="clear" w:color="auto" w:fill="auto"/>
            <w:vAlign w:val="center"/>
          </w:tcPr>
          <w:p w14:paraId="141336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30</w:t>
            </w:r>
          </w:p>
        </w:tc>
        <w:tc>
          <w:tcPr>
            <w:tcW w:w="3507" w:type="pct"/>
            <w:shd w:val="clear" w:color="auto" w:fill="auto"/>
            <w:vAlign w:val="center"/>
          </w:tcPr>
          <w:p w14:paraId="43209019">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报价分采用低价优先法计算，即满足</w:t>
            </w:r>
            <w:r>
              <w:rPr>
                <w:rFonts w:hint="eastAsia" w:ascii="仿宋" w:hAnsi="仿宋" w:eastAsia="仿宋" w:cs="仿宋"/>
                <w:i w:val="0"/>
                <w:iCs w:val="0"/>
                <w:color w:val="000000"/>
                <w:sz w:val="24"/>
                <w:szCs w:val="24"/>
                <w:highlight w:val="none"/>
                <w:u w:val="none"/>
                <w:lang w:val="en-US" w:eastAsia="zh-CN"/>
              </w:rPr>
              <w:t>招标</w:t>
            </w:r>
            <w:r>
              <w:rPr>
                <w:rFonts w:hint="eastAsia" w:ascii="仿宋" w:hAnsi="仿宋" w:eastAsia="仿宋" w:cs="仿宋"/>
                <w:i w:val="0"/>
                <w:iCs w:val="0"/>
                <w:color w:val="000000"/>
                <w:sz w:val="24"/>
                <w:szCs w:val="24"/>
                <w:highlight w:val="none"/>
                <w:u w:val="none"/>
              </w:rPr>
              <w:t>文件要求且投标价格（落实政府采购政策进行价格调整的，以调整后的价格计算）最低的投标报价为评标基准价，其价格分为满分。</w:t>
            </w:r>
          </w:p>
          <w:p w14:paraId="1593BA3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其他</w:t>
            </w:r>
            <w:r>
              <w:rPr>
                <w:rFonts w:hint="eastAsia" w:ascii="仿宋" w:hAnsi="仿宋" w:eastAsia="仿宋" w:cs="仿宋"/>
                <w:i w:val="0"/>
                <w:iCs w:val="0"/>
                <w:color w:val="000000"/>
                <w:sz w:val="24"/>
                <w:szCs w:val="24"/>
                <w:highlight w:val="none"/>
                <w:u w:val="none"/>
                <w:lang w:val="en-US" w:eastAsia="zh-CN"/>
              </w:rPr>
              <w:t>投标人</w:t>
            </w:r>
            <w:r>
              <w:rPr>
                <w:rFonts w:hint="eastAsia" w:ascii="仿宋" w:hAnsi="仿宋" w:eastAsia="仿宋" w:cs="仿宋"/>
                <w:i w:val="0"/>
                <w:iCs w:val="0"/>
                <w:color w:val="000000"/>
                <w:sz w:val="24"/>
                <w:szCs w:val="24"/>
                <w:highlight w:val="none"/>
                <w:u w:val="none"/>
              </w:rPr>
              <w:t>的价格分按照下列公式计算：</w:t>
            </w:r>
          </w:p>
          <w:p w14:paraId="3155A71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报价得分=(评标基准价／投标报价)×30分</w:t>
            </w:r>
          </w:p>
          <w:p w14:paraId="6E950033">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价格得分按照四舍五入原则保留小数点后二位数字。</w:t>
            </w:r>
          </w:p>
        </w:tc>
      </w:tr>
      <w:tr w14:paraId="4304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1" w:hRule="atLeast"/>
        </w:trPr>
        <w:tc>
          <w:tcPr>
            <w:tcW w:w="591" w:type="pct"/>
            <w:vMerge w:val="restart"/>
            <w:shd w:val="clear" w:color="auto" w:fill="auto"/>
            <w:vAlign w:val="center"/>
          </w:tcPr>
          <w:p w14:paraId="6D5DD64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技术部分</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（60分）</w:t>
            </w:r>
          </w:p>
        </w:tc>
        <w:tc>
          <w:tcPr>
            <w:tcW w:w="522" w:type="pct"/>
            <w:vMerge w:val="restart"/>
            <w:shd w:val="clear" w:color="auto" w:fill="auto"/>
            <w:vAlign w:val="center"/>
          </w:tcPr>
          <w:p w14:paraId="376C7C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维保方案及技术支持</w:t>
            </w:r>
          </w:p>
        </w:tc>
        <w:tc>
          <w:tcPr>
            <w:tcW w:w="378" w:type="pct"/>
            <w:shd w:val="clear" w:color="auto" w:fill="auto"/>
            <w:vAlign w:val="center"/>
          </w:tcPr>
          <w:p w14:paraId="7381634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6</w:t>
            </w:r>
          </w:p>
        </w:tc>
        <w:tc>
          <w:tcPr>
            <w:tcW w:w="3507" w:type="pct"/>
            <w:shd w:val="clear" w:color="auto" w:fill="auto"/>
            <w:vAlign w:val="center"/>
          </w:tcPr>
          <w:p w14:paraId="4507C9D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运维工作实施方案：</w:t>
            </w:r>
          </w:p>
          <w:p w14:paraId="3F67BE5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根据本项目服务内容及要求，对运维工作提供实施方案（包括但不限于：运维服务内容、服务期限、服务时效、服务响应方式、运维工作流程及具体措施、运维人员组织架构及车辆投入、服务保障措施等）</w:t>
            </w:r>
          </w:p>
          <w:p w14:paraId="1DFA700A">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1.服务内容流程完善具体，思路清晰，过程要素管理全面合理，满足运维要求，得6分。</w:t>
            </w:r>
          </w:p>
          <w:p w14:paraId="09CCE3C4">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2.方案简单完整性一般，缺少具体措施，基本满足运维需求，得3分。</w:t>
            </w:r>
          </w:p>
          <w:p w14:paraId="32539C0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3.方案不满足</w:t>
            </w:r>
            <w:r>
              <w:rPr>
                <w:rFonts w:hint="eastAsia" w:ascii="仿宋" w:hAnsi="仿宋" w:eastAsia="仿宋" w:cs="仿宋"/>
                <w:i w:val="0"/>
                <w:iCs w:val="0"/>
                <w:color w:val="000000"/>
                <w:sz w:val="24"/>
                <w:szCs w:val="24"/>
                <w:highlight w:val="none"/>
                <w:u w:val="none"/>
                <w:lang w:val="en-US" w:eastAsia="zh-CN"/>
              </w:rPr>
              <w:t>招标</w:t>
            </w:r>
            <w:r>
              <w:rPr>
                <w:rFonts w:hint="eastAsia" w:ascii="仿宋" w:hAnsi="仿宋" w:eastAsia="仿宋" w:cs="仿宋"/>
                <w:i w:val="0"/>
                <w:iCs w:val="0"/>
                <w:color w:val="000000"/>
                <w:sz w:val="24"/>
                <w:szCs w:val="24"/>
                <w:highlight w:val="none"/>
                <w:u w:val="none"/>
              </w:rPr>
              <w:t>人需求或未提供维保服务方案的得0分。</w:t>
            </w:r>
          </w:p>
        </w:tc>
      </w:tr>
      <w:tr w14:paraId="44D4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91" w:type="pct"/>
            <w:vMerge w:val="continue"/>
            <w:shd w:val="clear" w:color="auto" w:fill="auto"/>
            <w:vAlign w:val="center"/>
          </w:tcPr>
          <w:p w14:paraId="59BF57CC">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46AFC512">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469F864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6</w:t>
            </w:r>
          </w:p>
        </w:tc>
        <w:tc>
          <w:tcPr>
            <w:tcW w:w="3507" w:type="pct"/>
            <w:shd w:val="clear" w:color="auto" w:fill="auto"/>
            <w:vAlign w:val="center"/>
          </w:tcPr>
          <w:p w14:paraId="7794256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应急及重大活动保障方案：</w:t>
            </w:r>
          </w:p>
          <w:p w14:paraId="1DCDBC3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投标人结合项目实际，提供应急及重大活动保障方案，包括但不限于极端恶劣天气应对、设备突发故障处理、重大活动的保障等内容：</w:t>
            </w:r>
          </w:p>
          <w:p w14:paraId="7736FF8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1.方案内容全面，具有针对性、对运维过程中可能出现的事故和需要应急保障内容进行完善全面分析，提出相应科学全面的处置措施，得6分。</w:t>
            </w:r>
          </w:p>
          <w:p w14:paraId="0DF655DC">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2.方案较为简单，风险分析、处理措施等不够完善具体，得3分。</w:t>
            </w:r>
          </w:p>
          <w:p w14:paraId="096FA66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3.未制定应急及重大活动保障方案或方案完全脱离项目实际，得0分。</w:t>
            </w:r>
          </w:p>
        </w:tc>
      </w:tr>
      <w:tr w14:paraId="1EAE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91" w:type="pct"/>
            <w:vMerge w:val="continue"/>
            <w:shd w:val="clear" w:color="auto" w:fill="auto"/>
            <w:vAlign w:val="center"/>
          </w:tcPr>
          <w:p w14:paraId="3D2E5C92">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363F1564">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3A7ECC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10</w:t>
            </w:r>
          </w:p>
        </w:tc>
        <w:tc>
          <w:tcPr>
            <w:tcW w:w="3507" w:type="pct"/>
            <w:shd w:val="clear" w:color="auto" w:fill="auto"/>
            <w:vAlign w:val="center"/>
          </w:tcPr>
          <w:p w14:paraId="12129CE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公安视频平台技术支撑：</w:t>
            </w:r>
          </w:p>
          <w:p w14:paraId="458C4239">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公安视频图像智能应用平台是运维工作的重要核心组成，为进一步提升重大、突发故障事件的应对能力，提高系统稳定性与可靠性，投标人提供西平县公安局在用公安视频图像智能应用平台系统厂商针对本项目的重大突发应急故障事件的专项技术支撑方案（加盖制造商公章），得10分。</w:t>
            </w:r>
          </w:p>
        </w:tc>
      </w:tr>
      <w:tr w14:paraId="0562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7" w:hRule="atLeast"/>
        </w:trPr>
        <w:tc>
          <w:tcPr>
            <w:tcW w:w="591" w:type="pct"/>
            <w:vMerge w:val="continue"/>
            <w:shd w:val="clear" w:color="auto" w:fill="auto"/>
            <w:vAlign w:val="center"/>
          </w:tcPr>
          <w:p w14:paraId="763C4211">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restart"/>
            <w:shd w:val="clear" w:color="auto" w:fill="auto"/>
            <w:vAlign w:val="center"/>
          </w:tcPr>
          <w:p w14:paraId="7C817F3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应急备品技术先进性</w:t>
            </w:r>
          </w:p>
        </w:tc>
        <w:tc>
          <w:tcPr>
            <w:tcW w:w="378" w:type="pct"/>
            <w:shd w:val="clear" w:color="auto" w:fill="auto"/>
            <w:vAlign w:val="center"/>
          </w:tcPr>
          <w:p w14:paraId="1C5A14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9</w:t>
            </w:r>
          </w:p>
        </w:tc>
        <w:tc>
          <w:tcPr>
            <w:tcW w:w="3507" w:type="pct"/>
            <w:shd w:val="clear" w:color="auto" w:fill="auto"/>
            <w:vAlign w:val="center"/>
          </w:tcPr>
          <w:p w14:paraId="1985BA6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应急备品（全结构）全彩枪球一体机支持以下技术或功能：</w:t>
            </w:r>
          </w:p>
          <w:p w14:paraId="66CA616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1、设备smart 事件上报的抓图支持叠加规则区域和目标框：可配置报警抓图叠加目标信息及规则信息，支持开启及关闭；支持设置告警区域最大可包含整个监控画面；支持设置预览画面是否叠加显示规则区域框及告警提示信息（公安部检验报告证明，扫描件加盖制造商公章），得3分。</w:t>
            </w:r>
          </w:p>
          <w:p w14:paraId="39DA73B1">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2、设备支持电瓶车报警抓图功能，电瓶车报警抓图包括电瓶车小图+电瓶车大图+电瓶车车牌小图（公安部检验报告证明，扫描件加盖制造商公章），得3分。</w:t>
            </w:r>
          </w:p>
          <w:p w14:paraId="70C4D09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3、设备支持可从诊断信息中导出云台控制历史记录，包括：手动键控PTZ、3D定位、手动调用预置点、手动调用花扫、手动调用巡航（公安部检验报告证明，扫描件加盖制造商公章），得3分。</w:t>
            </w:r>
          </w:p>
        </w:tc>
      </w:tr>
      <w:tr w14:paraId="1ED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91" w:type="pct"/>
            <w:vMerge w:val="continue"/>
            <w:shd w:val="clear" w:color="auto" w:fill="auto"/>
            <w:vAlign w:val="center"/>
          </w:tcPr>
          <w:p w14:paraId="5C6E6639">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7D14D4F6">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21EEF82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9</w:t>
            </w:r>
          </w:p>
        </w:tc>
        <w:tc>
          <w:tcPr>
            <w:tcW w:w="3507" w:type="pct"/>
            <w:shd w:val="clear" w:color="auto" w:fill="auto"/>
            <w:vAlign w:val="center"/>
          </w:tcPr>
          <w:p w14:paraId="1CB6497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应急备品高清智能网络摄像机支持以下技术或功能：</w:t>
            </w:r>
          </w:p>
          <w:p w14:paraId="12B61C6D">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1、镜头上部具备一体化遮阳模块，可遮挡与镜头平面夹角不大于13°的阳光或雨水（公安部检验报告证明，扫描件加盖制造商公章），得3分。</w:t>
            </w:r>
          </w:p>
          <w:p w14:paraId="795D1BF4">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2、具有不低于16颗补光灯，支持不低于8颗远光灯、8颗近光灯，当环境照度降低至一定值时，可自动开启补光灯补光，在白天、夜晚均应输出彩色视频图像（公安部检验报告证明，扫描件加盖制造商公章），得3分。</w:t>
            </w:r>
          </w:p>
          <w:p w14:paraId="2532F9F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3、为减少夜间补光灯吸引蚊虫对相机的干扰，提升摄像机的稳定性和成像效果：摄像机镜头舱体凸出补光平面，镜头和补光灯采用分舱体左右布局。（公安部检验报告证明，扫描件加盖制造商公章），得3分。</w:t>
            </w:r>
          </w:p>
        </w:tc>
      </w:tr>
      <w:tr w14:paraId="7A6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91" w:type="pct"/>
            <w:vMerge w:val="continue"/>
            <w:shd w:val="clear" w:color="auto" w:fill="auto"/>
            <w:vAlign w:val="center"/>
          </w:tcPr>
          <w:p w14:paraId="1AF6FF5C">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restart"/>
            <w:shd w:val="clear" w:color="auto" w:fill="auto"/>
            <w:vAlign w:val="center"/>
          </w:tcPr>
          <w:p w14:paraId="7CD2A7C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设备安全性及技术保障能力</w:t>
            </w:r>
          </w:p>
        </w:tc>
        <w:tc>
          <w:tcPr>
            <w:tcW w:w="378" w:type="pct"/>
            <w:shd w:val="clear" w:color="auto" w:fill="auto"/>
            <w:vAlign w:val="center"/>
          </w:tcPr>
          <w:p w14:paraId="185BD26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6</w:t>
            </w:r>
          </w:p>
        </w:tc>
        <w:tc>
          <w:tcPr>
            <w:tcW w:w="3507" w:type="pct"/>
            <w:shd w:val="clear" w:color="auto" w:fill="auto"/>
            <w:vAlign w:val="center"/>
          </w:tcPr>
          <w:p w14:paraId="0C4485D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为保障网络高可靠传输、安全风控及终端精准管理，接入交换机支持以下技术或功能：</w:t>
            </w:r>
          </w:p>
          <w:p w14:paraId="575C8F6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1、支持M-LAG技术，配对的设备有独立的控制平面，且能够通过独立图形化界面进行配置和管理（提供具有CMA和CNAS标识的第三方检测机构检测报告证明并加盖制造商公章），得2分；</w:t>
            </w:r>
          </w:p>
          <w:p w14:paraId="1C6ADD2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2、支持在交换机上创建东西向安全策略，实现全网安全风险拦截（提供具有CMA和CNAS标识的第三方检测机构检测报告证明并加盖制造商公章），得2分；</w:t>
            </w:r>
          </w:p>
          <w:p w14:paraId="0AD51EA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 3、支持终端类型库，基于指纹终端识别库自动识别PC、路由器、摄像头设备、无线AP等（提供具有CMA和CNAS标识的第三方检测机构检测报告证明并加盖制造商公章），得2分。</w:t>
            </w:r>
          </w:p>
        </w:tc>
      </w:tr>
      <w:tr w14:paraId="2E23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4" w:hRule="atLeast"/>
        </w:trPr>
        <w:tc>
          <w:tcPr>
            <w:tcW w:w="591" w:type="pct"/>
            <w:vMerge w:val="continue"/>
            <w:shd w:val="clear" w:color="auto" w:fill="auto"/>
            <w:vAlign w:val="center"/>
          </w:tcPr>
          <w:p w14:paraId="52881021">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716DFBF9">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43997D8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6</w:t>
            </w:r>
          </w:p>
        </w:tc>
        <w:tc>
          <w:tcPr>
            <w:tcW w:w="3507" w:type="pct"/>
            <w:shd w:val="clear" w:color="auto" w:fill="auto"/>
            <w:vAlign w:val="center"/>
          </w:tcPr>
          <w:p w14:paraId="5041BC48">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rPr>
              <w:t>为进一步提升便携式调试终端在信息安全方面的保障能力，确保其稳定运行以及有效应对各类信息安全风险，所投便携式调试终端制造商具备以下服务能力</w:t>
            </w:r>
            <w:r>
              <w:rPr>
                <w:rFonts w:hint="eastAsia" w:ascii="仿宋" w:hAnsi="仿宋" w:eastAsia="仿宋" w:cs="仿宋"/>
                <w:i w:val="0"/>
                <w:iCs w:val="0"/>
                <w:color w:val="000000"/>
                <w:sz w:val="24"/>
                <w:szCs w:val="24"/>
                <w:highlight w:val="none"/>
                <w:u w:val="none"/>
                <w:lang w:eastAsia="zh-CN"/>
              </w:rPr>
              <w:t>：</w:t>
            </w:r>
          </w:p>
          <w:p w14:paraId="106C5FEF">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1、保障信息安全，所投便携式调试终端产品的制造商具备提供高水平信息安全风险评估与分析的技术支撑能力，具有中国信息安全测评中心颁发的“信息安全服务（安全工程类）一级认证 ”（提供认证证书加盖制造商公章）。</w:t>
            </w:r>
          </w:p>
          <w:p w14:paraId="2CC0851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2、保障运行稳定性，所投便携式调试终端制造商具备较强的信息技术运行维护服务能力，具有ITSS信息技术服务运行维护一级认证（提供认证证书加盖制造商公章）。</w:t>
            </w:r>
          </w:p>
          <w:p w14:paraId="330AD52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3、完善的售后服务体系，所投便携式调试终端制造商具备具有CTEAS售后服务体系完善程度认证证书（七星级（卓越））或以上（提供认证证书加盖制造商公章）。</w:t>
            </w:r>
          </w:p>
          <w:p w14:paraId="6DE60755">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以上全部满足得6分，任意一条不满足不得分。</w:t>
            </w:r>
          </w:p>
        </w:tc>
      </w:tr>
      <w:tr w14:paraId="2A34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1" w:type="pct"/>
            <w:vMerge w:val="continue"/>
            <w:shd w:val="clear" w:color="auto" w:fill="auto"/>
            <w:vAlign w:val="center"/>
          </w:tcPr>
          <w:p w14:paraId="2CF60A45">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020459AD">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32AD9E0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6</w:t>
            </w:r>
          </w:p>
        </w:tc>
        <w:tc>
          <w:tcPr>
            <w:tcW w:w="3507" w:type="pct"/>
            <w:shd w:val="clear" w:color="auto" w:fill="auto"/>
            <w:vAlign w:val="center"/>
          </w:tcPr>
          <w:p w14:paraId="347EFD6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为增强信息安全防护能力，确保系统稳固运行与数据安全，终端安全管理系统具备以下能力</w:t>
            </w:r>
            <w:r>
              <w:rPr>
                <w:rFonts w:hint="eastAsia" w:ascii="仿宋" w:hAnsi="仿宋" w:eastAsia="仿宋" w:cs="仿宋"/>
                <w:i w:val="0"/>
                <w:iCs w:val="0"/>
                <w:color w:val="000000"/>
                <w:sz w:val="24"/>
                <w:szCs w:val="24"/>
                <w:highlight w:val="none"/>
                <w:u w:val="none"/>
                <w:lang w:eastAsia="zh-CN"/>
              </w:rPr>
              <w:t>：</w:t>
            </w:r>
          </w:p>
          <w:p w14:paraId="34BC1E1B">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1、终端安全管理系统采用国产自主知识产权杀毒引擎，产品代码完全自主可控，防止产品后门等隐患（提供相关国产自主知识产权证明加盖厂商公章）；</w:t>
            </w:r>
          </w:p>
          <w:p w14:paraId="1B04BDD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2、弱口令检测等核心安全功能，采用国产自主创新技术，具备技术先进性与成熟性（提供相关国产自主知识产权证明加盖厂商公章）。</w:t>
            </w:r>
          </w:p>
          <w:p w14:paraId="40817E46">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以上全部满足得6分，任意一条不满足不得分。</w:t>
            </w:r>
          </w:p>
        </w:tc>
      </w:tr>
      <w:tr w14:paraId="30CD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591" w:type="pct"/>
            <w:vMerge w:val="continue"/>
            <w:shd w:val="clear" w:color="auto" w:fill="auto"/>
            <w:vAlign w:val="center"/>
          </w:tcPr>
          <w:p w14:paraId="1230745A">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vMerge w:val="continue"/>
            <w:shd w:val="clear" w:color="auto" w:fill="auto"/>
            <w:vAlign w:val="center"/>
          </w:tcPr>
          <w:p w14:paraId="70F231C6">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378" w:type="pct"/>
            <w:shd w:val="clear" w:color="auto" w:fill="auto"/>
            <w:vAlign w:val="center"/>
          </w:tcPr>
          <w:p w14:paraId="586603B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3507" w:type="pct"/>
            <w:shd w:val="clear" w:color="auto" w:fill="auto"/>
            <w:vAlign w:val="center"/>
          </w:tcPr>
          <w:p w14:paraId="1ED99DC1">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投标人所投高清智能全结构枪机产品制造商具备较好的系统集成能力、系统服务能力、研发创新能力，可提供关键性技术支撑，具有发展和改革委员会印发的国家地方联合工程研究中心或国家地方联合工程实验室（提供证明文件加盖制造商公章，得2分）。</w:t>
            </w:r>
          </w:p>
        </w:tc>
      </w:tr>
      <w:tr w14:paraId="25F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91" w:type="pct"/>
            <w:vMerge w:val="restart"/>
            <w:shd w:val="clear" w:color="auto" w:fill="auto"/>
            <w:vAlign w:val="center"/>
          </w:tcPr>
          <w:p w14:paraId="70ECD52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商务部分</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（10分）</w:t>
            </w:r>
          </w:p>
        </w:tc>
        <w:tc>
          <w:tcPr>
            <w:tcW w:w="522" w:type="pct"/>
            <w:shd w:val="clear" w:color="auto" w:fill="auto"/>
            <w:vAlign w:val="center"/>
          </w:tcPr>
          <w:p w14:paraId="7268B74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备品备件厂商售后服务</w:t>
            </w:r>
          </w:p>
        </w:tc>
        <w:tc>
          <w:tcPr>
            <w:tcW w:w="378" w:type="pct"/>
            <w:shd w:val="clear" w:color="auto" w:fill="auto"/>
            <w:vAlign w:val="center"/>
          </w:tcPr>
          <w:p w14:paraId="5F72E46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8</w:t>
            </w:r>
          </w:p>
        </w:tc>
        <w:tc>
          <w:tcPr>
            <w:tcW w:w="3507" w:type="pct"/>
            <w:shd w:val="clear" w:color="auto" w:fill="auto"/>
            <w:vAlign w:val="center"/>
          </w:tcPr>
          <w:p w14:paraId="3A712B19">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提供（全结构）全彩枪球一体机、网络交换机、便携式调试终端、终端安全管理系统等备品制造商针对本项目售后服务的方案加盖制造商公章，每提供一项得2分，最高得8分。</w:t>
            </w:r>
          </w:p>
        </w:tc>
      </w:tr>
      <w:tr w14:paraId="4E9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91" w:type="pct"/>
            <w:vMerge w:val="continue"/>
            <w:shd w:val="clear" w:color="auto" w:fill="auto"/>
            <w:vAlign w:val="center"/>
          </w:tcPr>
          <w:p w14:paraId="4A411FD6">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shd w:val="clear" w:color="auto" w:fill="auto"/>
            <w:vAlign w:val="center"/>
          </w:tcPr>
          <w:p w14:paraId="5481498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项目实施经验</w:t>
            </w:r>
          </w:p>
        </w:tc>
        <w:tc>
          <w:tcPr>
            <w:tcW w:w="378" w:type="pct"/>
            <w:shd w:val="clear" w:color="auto" w:fill="auto"/>
            <w:vAlign w:val="center"/>
          </w:tcPr>
          <w:p w14:paraId="3AC8DFE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3507" w:type="pct"/>
            <w:shd w:val="clear" w:color="auto" w:fill="auto"/>
            <w:vAlign w:val="center"/>
          </w:tcPr>
          <w:p w14:paraId="4BDFAE4E">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202</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年1月1日以来（以签订合同时间为准）</w:t>
            </w:r>
            <w:r>
              <w:rPr>
                <w:rFonts w:hint="eastAsia" w:ascii="仿宋" w:hAnsi="仿宋" w:eastAsia="仿宋" w:cs="仿宋"/>
                <w:i w:val="0"/>
                <w:iCs w:val="0"/>
                <w:color w:val="000000"/>
                <w:sz w:val="24"/>
                <w:szCs w:val="24"/>
                <w:highlight w:val="none"/>
                <w:u w:val="none"/>
                <w:lang w:val="en-US" w:eastAsia="zh-CN"/>
              </w:rPr>
              <w:t>投标人</w:t>
            </w:r>
            <w:r>
              <w:rPr>
                <w:rFonts w:hint="eastAsia" w:ascii="仿宋" w:hAnsi="仿宋" w:eastAsia="仿宋" w:cs="仿宋"/>
                <w:i w:val="0"/>
                <w:iCs w:val="0"/>
                <w:color w:val="000000"/>
                <w:sz w:val="24"/>
                <w:szCs w:val="24"/>
                <w:highlight w:val="none"/>
                <w:u w:val="none"/>
              </w:rPr>
              <w:t>具有类似项目业绩，每提供一份得1分，最高得2分，不提供不得分（提供中标公告截图、合同扫描件）</w:t>
            </w:r>
          </w:p>
        </w:tc>
      </w:tr>
      <w:tr w14:paraId="09A8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1" w:type="pct"/>
            <w:shd w:val="clear" w:color="auto" w:fill="auto"/>
            <w:vAlign w:val="center"/>
          </w:tcPr>
          <w:p w14:paraId="2ECA9DB4">
            <w:pPr>
              <w:keepNext w:val="0"/>
              <w:keepLines w:val="0"/>
              <w:pageBreakBefore w:val="0"/>
              <w:widowControl/>
              <w:kinsoku/>
              <w:wordWrap/>
              <w:overflowPunct/>
              <w:topLinePunct w:val="0"/>
              <w:autoSpaceDE w:val="0"/>
              <w:autoSpaceDN w:val="0"/>
              <w:bidi w:val="0"/>
              <w:adjustRightInd w:val="0"/>
              <w:snapToGrid w:val="0"/>
              <w:jc w:val="center"/>
              <w:rPr>
                <w:rFonts w:hint="eastAsia" w:ascii="仿宋" w:hAnsi="仿宋" w:eastAsia="仿宋" w:cs="仿宋"/>
                <w:i w:val="0"/>
                <w:iCs w:val="0"/>
                <w:color w:val="000000"/>
                <w:sz w:val="24"/>
                <w:szCs w:val="24"/>
                <w:highlight w:val="none"/>
                <w:u w:val="none"/>
              </w:rPr>
            </w:pPr>
          </w:p>
        </w:tc>
        <w:tc>
          <w:tcPr>
            <w:tcW w:w="522" w:type="pct"/>
            <w:shd w:val="clear" w:color="auto" w:fill="auto"/>
            <w:vAlign w:val="center"/>
          </w:tcPr>
          <w:p w14:paraId="7566A6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378" w:type="pct"/>
            <w:shd w:val="clear" w:color="auto" w:fill="auto"/>
            <w:vAlign w:val="center"/>
          </w:tcPr>
          <w:p w14:paraId="3CD50F0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100</w:t>
            </w:r>
          </w:p>
        </w:tc>
        <w:tc>
          <w:tcPr>
            <w:tcW w:w="3507" w:type="pct"/>
            <w:shd w:val="clear" w:color="auto" w:fill="auto"/>
            <w:vAlign w:val="center"/>
          </w:tcPr>
          <w:p w14:paraId="7C491F36">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价格部分（30分）+技术部分（60分）+商务部分（10分）</w:t>
            </w:r>
          </w:p>
        </w:tc>
      </w:tr>
    </w:tbl>
    <w:p w14:paraId="3DBEA134">
      <w:pPr>
        <w:pStyle w:val="5"/>
        <w:rPr>
          <w:rFonts w:hint="eastAsia" w:ascii="仿宋" w:hAnsi="仿宋" w:eastAsia="仿宋" w:cs="仿宋"/>
        </w:rPr>
      </w:pPr>
    </w:p>
    <w:p w14:paraId="7C02470D">
      <w:pPr>
        <w:spacing w:line="91" w:lineRule="auto"/>
        <w:rPr>
          <w:rFonts w:hint="eastAsia" w:ascii="仿宋" w:hAnsi="仿宋" w:eastAsia="仿宋" w:cs="仿宋"/>
          <w:sz w:val="2"/>
        </w:rPr>
      </w:pPr>
    </w:p>
    <w:p w14:paraId="4C1CEFCC">
      <w:pPr>
        <w:pStyle w:val="5"/>
        <w:rPr>
          <w:rFonts w:hint="eastAsia" w:ascii="仿宋" w:hAnsi="仿宋" w:eastAsia="仿宋" w:cs="仿宋"/>
        </w:rPr>
      </w:pPr>
    </w:p>
    <w:p w14:paraId="00C0F0CE">
      <w:pPr>
        <w:spacing w:line="91" w:lineRule="auto"/>
        <w:rPr>
          <w:rFonts w:hint="eastAsia" w:ascii="仿宋" w:hAnsi="仿宋" w:eastAsia="仿宋" w:cs="仿宋"/>
          <w:sz w:val="2"/>
        </w:rPr>
      </w:pPr>
    </w:p>
    <w:tbl>
      <w:tblPr>
        <w:tblStyle w:val="21"/>
        <w:tblW w:w="9900" w:type="dxa"/>
        <w:tblInd w:w="-77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00"/>
      </w:tblGrid>
      <w:tr w14:paraId="557CC0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73" w:hRule="atLeast"/>
        </w:trPr>
        <w:tc>
          <w:tcPr>
            <w:tcW w:w="9900" w:type="dxa"/>
            <w:vAlign w:val="top"/>
          </w:tcPr>
          <w:p w14:paraId="130FA25E">
            <w:pPr>
              <w:pStyle w:val="22"/>
              <w:spacing w:before="155" w:line="386" w:lineRule="auto"/>
              <w:ind w:left="114" w:right="170" w:firstLine="417"/>
              <w:rPr>
                <w:rFonts w:hint="eastAsia" w:ascii="仿宋" w:hAnsi="仿宋" w:eastAsia="仿宋" w:cs="仿宋"/>
              </w:rPr>
            </w:pPr>
            <w:r>
              <w:rPr>
                <w:rFonts w:hint="eastAsia" w:ascii="仿宋" w:hAnsi="仿宋" w:eastAsia="仿宋" w:cs="仿宋"/>
              </w:rPr>
              <w:t>注：1、在投标文件内须提供以上评分项要求提供的各类证书或证明等</w:t>
            </w:r>
            <w:r>
              <w:rPr>
                <w:rFonts w:hint="eastAsia" w:ascii="仿宋" w:hAnsi="仿宋" w:eastAsia="仿宋" w:cs="仿宋"/>
                <w:spacing w:val="-1"/>
              </w:rPr>
              <w:t>材料，并上传至驻马店</w:t>
            </w:r>
            <w:r>
              <w:rPr>
                <w:rFonts w:hint="eastAsia" w:ascii="仿宋" w:hAnsi="仿宋" w:eastAsia="仿宋" w:cs="仿宋"/>
              </w:rPr>
              <w:t>市公共资源中心电子交易平台主体诚信库，同时在“资格审查及评审</w:t>
            </w:r>
            <w:r>
              <w:rPr>
                <w:rFonts w:hint="eastAsia" w:ascii="仿宋" w:hAnsi="仿宋" w:eastAsia="仿宋" w:cs="仿宋"/>
                <w:spacing w:val="-1"/>
              </w:rPr>
              <w:t>材料”菜单下按分包挑选该包</w:t>
            </w:r>
            <w:r>
              <w:rPr>
                <w:rFonts w:hint="eastAsia" w:ascii="仿宋" w:hAnsi="仿宋" w:eastAsia="仿宋" w:cs="仿宋"/>
              </w:rPr>
              <w:t>投标所使用评审材料，以供评标过程中评标委员会查阅。评标时以电</w:t>
            </w:r>
            <w:r>
              <w:rPr>
                <w:rFonts w:hint="eastAsia" w:ascii="仿宋" w:hAnsi="仿宋" w:eastAsia="仿宋" w:cs="仿宋"/>
                <w:spacing w:val="-1"/>
              </w:rPr>
              <w:t>子投标文件及“资格审查及评</w:t>
            </w:r>
            <w:r>
              <w:rPr>
                <w:rFonts w:hint="eastAsia" w:ascii="仿宋" w:hAnsi="仿宋" w:eastAsia="仿宋" w:cs="仿宋"/>
                <w:spacing w:val="-2"/>
              </w:rPr>
              <w:t>审材料”菜单中选取的企业信息为准。否则不得分。</w:t>
            </w:r>
          </w:p>
          <w:p w14:paraId="35A79086">
            <w:pPr>
              <w:pStyle w:val="22"/>
              <w:spacing w:before="32" w:line="218" w:lineRule="auto"/>
              <w:ind w:left="534"/>
              <w:rPr>
                <w:rFonts w:hint="eastAsia" w:ascii="仿宋" w:hAnsi="仿宋" w:eastAsia="仿宋" w:cs="仿宋"/>
              </w:rPr>
            </w:pPr>
            <w:r>
              <w:rPr>
                <w:rFonts w:hint="eastAsia" w:ascii="仿宋" w:hAnsi="仿宋" w:eastAsia="仿宋" w:cs="仿宋"/>
                <w:spacing w:val="-1"/>
              </w:rPr>
              <w:t>2、评标委员会成员评分=价格分+技术分+商务分</w:t>
            </w:r>
          </w:p>
          <w:p w14:paraId="72026EB5">
            <w:pPr>
              <w:pStyle w:val="22"/>
              <w:spacing w:before="207" w:line="219" w:lineRule="auto"/>
              <w:ind w:left="530"/>
              <w:rPr>
                <w:rFonts w:hint="eastAsia" w:ascii="仿宋" w:hAnsi="仿宋" w:eastAsia="仿宋" w:cs="仿宋"/>
              </w:rPr>
            </w:pPr>
            <w:r>
              <w:rPr>
                <w:rFonts w:hint="eastAsia" w:ascii="仿宋" w:hAnsi="仿宋" w:eastAsia="仿宋" w:cs="仿宋"/>
              </w:rPr>
              <w:t>评标总得分=评标委员会所有成员合计总分/评</w:t>
            </w:r>
            <w:r>
              <w:rPr>
                <w:rFonts w:hint="eastAsia" w:ascii="仿宋" w:hAnsi="仿宋" w:eastAsia="仿宋" w:cs="仿宋"/>
                <w:spacing w:val="-1"/>
              </w:rPr>
              <w:t>标委员会组成人员数</w:t>
            </w:r>
          </w:p>
        </w:tc>
      </w:tr>
    </w:tbl>
    <w:p w14:paraId="2879C9C8">
      <w:pPr>
        <w:pStyle w:val="5"/>
        <w:rPr>
          <w:rFonts w:ascii="仿宋" w:hAnsi="仿宋" w:eastAsia="仿宋" w:cs="仿宋"/>
        </w:rPr>
      </w:pPr>
    </w:p>
    <w:p w14:paraId="61F4CA4F">
      <w:pPr>
        <w:rPr>
          <w:rFonts w:ascii="仿宋" w:hAnsi="仿宋" w:eastAsia="仿宋" w:cs="仿宋"/>
          <w:sz w:val="36"/>
          <w:szCs w:val="36"/>
        </w:rPr>
      </w:pPr>
      <w:r>
        <w:rPr>
          <w:rFonts w:hint="eastAsia" w:ascii="仿宋" w:hAnsi="仿宋" w:eastAsia="仿宋" w:cs="仿宋"/>
          <w:sz w:val="36"/>
          <w:szCs w:val="36"/>
        </w:rPr>
        <w:br w:type="page"/>
      </w:r>
    </w:p>
    <w:p w14:paraId="69F838C3">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第五章  政府采购合同（主要条款）</w:t>
      </w:r>
    </w:p>
    <w:p w14:paraId="1BF5158B">
      <w:pPr>
        <w:pStyle w:val="5"/>
        <w:jc w:val="center"/>
        <w:rPr>
          <w:rFonts w:ascii="仿宋" w:hAnsi="仿宋" w:eastAsia="仿宋" w:cs="仿宋"/>
          <w:b/>
          <w:bCs/>
          <w:color w:val="auto"/>
          <w:sz w:val="24"/>
          <w:szCs w:val="24"/>
        </w:rPr>
      </w:pPr>
    </w:p>
    <w:p w14:paraId="5E22BF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可根据</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项目的实际情况增减条款和内容）</w:t>
      </w:r>
    </w:p>
    <w:p w14:paraId="660891B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项目名称：</w:t>
      </w:r>
    </w:p>
    <w:p w14:paraId="120C1B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项目编号：</w:t>
      </w:r>
      <w:r>
        <w:rPr>
          <w:rFonts w:hint="eastAsia" w:ascii="仿宋" w:hAnsi="仿宋" w:eastAsia="仿宋" w:cs="仿宋"/>
          <w:spacing w:val="0"/>
          <w:sz w:val="24"/>
          <w:szCs w:val="24"/>
          <w:highlight w:val="none"/>
          <w:lang w:val="en-US" w:eastAsia="zh-CN"/>
        </w:rPr>
        <w:t xml:space="preserve"> </w:t>
      </w:r>
    </w:p>
    <w:p w14:paraId="30746F8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甲方：（</w:t>
      </w:r>
      <w:r>
        <w:rPr>
          <w:rFonts w:hint="eastAsia" w:ascii="仿宋" w:hAnsi="仿宋" w:eastAsia="仿宋" w:cs="仿宋"/>
          <w:spacing w:val="0"/>
          <w:sz w:val="24"/>
          <w:szCs w:val="24"/>
          <w:highlight w:val="none"/>
          <w:lang w:eastAsia="zh-CN"/>
        </w:rPr>
        <w:t>招标人</w:t>
      </w:r>
      <w:r>
        <w:rPr>
          <w:rFonts w:hint="eastAsia" w:ascii="仿宋" w:hAnsi="仿宋" w:eastAsia="仿宋" w:cs="仿宋"/>
          <w:spacing w:val="0"/>
          <w:sz w:val="24"/>
          <w:szCs w:val="24"/>
          <w:highlight w:val="none"/>
        </w:rPr>
        <w:t>）</w:t>
      </w:r>
    </w:p>
    <w:p w14:paraId="4A8587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乙方：（中标人）</w:t>
      </w:r>
    </w:p>
    <w:p w14:paraId="4B01CB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甲、乙双方根据《中华人民共和国政府采购法》、《中华人民共和国民法</w:t>
      </w:r>
    </w:p>
    <w:p w14:paraId="213E848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典》等法律法规的规定，按照（项目编号）的招标结果签订本合同。</w:t>
      </w:r>
    </w:p>
    <w:p w14:paraId="539F26FE">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1.服务内容：</w:t>
      </w:r>
    </w:p>
    <w:p w14:paraId="796D819C">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2.合同金额</w:t>
      </w:r>
    </w:p>
    <w:p w14:paraId="722037B1">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本合同金额为人民币（大写）：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元(￥ </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 元）。</w:t>
      </w:r>
    </w:p>
    <w:p w14:paraId="5FB57103">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3.服务期限和服务地点</w:t>
      </w:r>
    </w:p>
    <w:p w14:paraId="6D92C0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3.1服务期限：</w:t>
      </w:r>
    </w:p>
    <w:p w14:paraId="188EF35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3.2服务地点：</w:t>
      </w:r>
    </w:p>
    <w:p w14:paraId="7232740A">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4.付款方式</w:t>
      </w:r>
    </w:p>
    <w:p w14:paraId="3E3545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付款方式：</w:t>
      </w:r>
    </w:p>
    <w:p w14:paraId="1C51D9D7">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5.税费</w:t>
      </w:r>
    </w:p>
    <w:p w14:paraId="3247A2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本合同执行中相关的一切税费均由乙方负担。</w:t>
      </w:r>
    </w:p>
    <w:p w14:paraId="149F16B6">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6.质量要求：</w:t>
      </w:r>
    </w:p>
    <w:p w14:paraId="125E4F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依照招标文件服务技术需求等。</w:t>
      </w:r>
    </w:p>
    <w:p w14:paraId="6A375719">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7.履约保证金的收取及退还</w:t>
      </w:r>
    </w:p>
    <w:p w14:paraId="403B21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仿宋" w:hAnsi="仿宋" w:eastAsia="仿宋" w:cs="仿宋"/>
          <w:spacing w:val="0"/>
          <w:highlight w:val="none"/>
        </w:rPr>
      </w:pPr>
      <w:r>
        <w:rPr>
          <w:rFonts w:hint="eastAsia" w:ascii="仿宋" w:hAnsi="仿宋" w:eastAsia="仿宋" w:cs="仿宋"/>
          <w:spacing w:val="0"/>
          <w:highlight w:val="none"/>
        </w:rPr>
        <w:t>无。</w:t>
      </w:r>
    </w:p>
    <w:p w14:paraId="4AFB5ED7">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8.转包或分包</w:t>
      </w:r>
    </w:p>
    <w:p w14:paraId="5649AAC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8.1本合同范围的服务乙方不得以任何方式和形式进行转包和分包。</w:t>
      </w:r>
    </w:p>
    <w:p w14:paraId="058415C2">
      <w:pPr>
        <w:spacing w:line="360" w:lineRule="auto"/>
        <w:ind w:firstLine="480" w:firstLineChars="200"/>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8.2乙方如有转包和分包的行为，甲方有权给予终止合同。</w:t>
      </w:r>
    </w:p>
    <w:p w14:paraId="0F501732">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9.质量保证</w:t>
      </w:r>
    </w:p>
    <w:p w14:paraId="42EDB6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乙方应提供优质服务，保证服务质量，且不能低于合同规定的范围和种类。</w:t>
      </w:r>
    </w:p>
    <w:p w14:paraId="5CA86260">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10.验收</w:t>
      </w:r>
    </w:p>
    <w:p w14:paraId="7A8C24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验收严格按照招标文件和投标文件规定的标准进行验收。</w:t>
      </w:r>
    </w:p>
    <w:p w14:paraId="62FA0402">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11.甲方的权利和义务</w:t>
      </w:r>
    </w:p>
    <w:p w14:paraId="73F118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11.1甲方有权对合同规定范围内乙方的服务行为进行监督和检查，拥有监 管权。有权定期核对乙方提供服务所配备的人员数量等。对乙方未按照合同履行的部分有权下达整改通知书，并要求乙方限期整改。</w:t>
      </w:r>
    </w:p>
    <w:p w14:paraId="6B7F37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11.2甲方有权依据双方签订的考评办法对乙方提供的服务进行定期考评。当考评结果未达到标准时，有权依据考评办法约定的数额扣除履约保证金。</w:t>
      </w:r>
    </w:p>
    <w:p w14:paraId="1547AE1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11.3负责检查监督乙方管理工作的实施及制度的执行情况。</w:t>
      </w:r>
    </w:p>
    <w:p w14:paraId="76E70061">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eastAsia="仿宋" w:cs="仿宋"/>
          <w:b w:val="0"/>
          <w:bCs/>
          <w:color w:val="auto"/>
          <w:sz w:val="24"/>
          <w:lang w:eastAsia="zh-CN"/>
        </w:rPr>
        <w:t>11.4国家法律、法规所规定由甲方承担的其它责任。</w:t>
      </w:r>
    </w:p>
    <w:p w14:paraId="1ADE6BAF">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12.乙方的权利和义务</w:t>
      </w:r>
    </w:p>
    <w:p w14:paraId="456970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12.1对本合同规定的委托服务范围内的项目享有管理权及服务义务。</w:t>
      </w:r>
    </w:p>
    <w:p w14:paraId="267470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12.2对甲方下达整改通知书及时配合处理。</w:t>
      </w:r>
    </w:p>
    <w:p w14:paraId="3CE5AA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12.3接受项目行业管理部门及政府有关部门的指导，接受甲方的监督。</w:t>
      </w:r>
    </w:p>
    <w:p w14:paraId="5D2CBE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12.4国家法律、法规所规定由乙方承担的其它责任。</w:t>
      </w:r>
    </w:p>
    <w:p w14:paraId="15449C32">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13. 违约责任</w:t>
      </w:r>
    </w:p>
    <w:p w14:paraId="66D9A530">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13.1甲乙双方必须遵守本合同并执行合同中的各项规定，保证本合同的正常履行。</w:t>
      </w:r>
    </w:p>
    <w:p w14:paraId="5222B057">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13.2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5415E91">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14.不可抗力事件处理</w:t>
      </w:r>
    </w:p>
    <w:p w14:paraId="1016D9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14.1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161A36E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14.2本合同中的不可抗力指不能预见、不能避免并不能克服的客观情况。包括但不 限于：自然灾害如地震、台风、洪水、火灾；政府行为、法律规定或其适用的变化或者其他任何无法预见、避免或者控制的事件。</w:t>
      </w:r>
    </w:p>
    <w:p w14:paraId="1D8D6FF1">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15.合同纠纷处理</w:t>
      </w:r>
    </w:p>
    <w:p w14:paraId="4BF851B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因本合同或与本合同有关的一切事项发生争议，由双方友好协商解决。协商不成的，任何一方均可选择以下方式解决：</w:t>
      </w:r>
    </w:p>
    <w:p w14:paraId="4A982B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15.1 向甲方所在地仲裁委员会申请仲裁。</w:t>
      </w:r>
    </w:p>
    <w:p w14:paraId="7B5A321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15.2 向合同签订地人民法院提起诉讼。</w:t>
      </w:r>
    </w:p>
    <w:p w14:paraId="0AAFBF5C">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16.违约解除合同</w:t>
      </w:r>
    </w:p>
    <w:p w14:paraId="3C785A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16.1</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违反本合同第8条的规定的。</w:t>
      </w:r>
    </w:p>
    <w:p w14:paraId="14D72FC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16.2 乙方未能履行合同规定的其它主要义务的。</w:t>
      </w:r>
    </w:p>
    <w:p w14:paraId="2E6E31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16.3 在本合同履行过程中有腐败和欺诈行为的。</w:t>
      </w:r>
    </w:p>
    <w:p w14:paraId="17ECB7C5">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17.其他约定</w:t>
      </w:r>
    </w:p>
    <w:p w14:paraId="1ACF5C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17.1</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本采购项目的招标文件、中标人的投标文件以及相关的澄清确认函（如果有的话）均为本合同不可分割的一部分，与本合同具有同等法律效力。</w:t>
      </w:r>
    </w:p>
    <w:p w14:paraId="7970C9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17.2 本合同未尽事宜，双方另行补充。</w:t>
      </w:r>
    </w:p>
    <w:p w14:paraId="7097A81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17.3</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本合同正本一式</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份，具有同等法律效力，甲、乙双方各执一份。自采购合同签订之日起</w:t>
      </w:r>
      <w:r>
        <w:rPr>
          <w:rFonts w:hint="eastAsia" w:ascii="仿宋" w:hAnsi="仿宋" w:eastAsia="仿宋" w:cs="仿宋"/>
          <w:spacing w:val="0"/>
          <w:sz w:val="24"/>
          <w:szCs w:val="24"/>
          <w:highlight w:val="none"/>
          <w:u w:val="single"/>
          <w:lang w:val="en-US" w:eastAsia="zh-CN"/>
        </w:rPr>
        <w:t xml:space="preserve">   </w:t>
      </w:r>
      <w:r>
        <w:rPr>
          <w:rFonts w:hint="eastAsia" w:ascii="仿宋" w:hAnsi="仿宋" w:eastAsia="仿宋" w:cs="仿宋"/>
          <w:spacing w:val="0"/>
          <w:sz w:val="24"/>
          <w:szCs w:val="24"/>
          <w:highlight w:val="none"/>
        </w:rPr>
        <w:t>个工作日内，甲方按照有关规定将合同副本报同级财政部门备案。</w:t>
      </w:r>
    </w:p>
    <w:p w14:paraId="626FB0CA">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lang w:eastAsia="zh-CN"/>
        </w:rPr>
        <w:t>18.附件</w:t>
      </w:r>
    </w:p>
    <w:p w14:paraId="36F981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甲    方：                            </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乙    方：</w:t>
      </w:r>
    </w:p>
    <w:p w14:paraId="368557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单位地址：                             单位地址：</w:t>
      </w:r>
    </w:p>
    <w:p w14:paraId="37B5EC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法定代表人：                           法定代表人：</w:t>
      </w:r>
    </w:p>
    <w:p w14:paraId="691EE9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委托代理人：                           委托代理人：</w:t>
      </w:r>
    </w:p>
    <w:p w14:paraId="0212DF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电    话：                             电    话：</w:t>
      </w:r>
    </w:p>
    <w:p w14:paraId="3C1C6AB8">
      <w:pPr>
        <w:spacing w:line="360" w:lineRule="auto"/>
        <w:rPr>
          <w:rFonts w:hint="eastAsia" w:ascii="仿宋" w:hAnsi="仿宋" w:eastAsia="仿宋" w:cs="仿宋"/>
          <w:spacing w:val="0"/>
          <w:sz w:val="24"/>
          <w:szCs w:val="24"/>
          <w:highlight w:val="none"/>
        </w:rPr>
      </w:pPr>
    </w:p>
    <w:p w14:paraId="58B7318C">
      <w:pPr>
        <w:spacing w:line="360" w:lineRule="auto"/>
        <w:rPr>
          <w:rFonts w:hint="eastAsia" w:ascii="仿宋" w:hAnsi="仿宋" w:eastAsia="仿宋" w:cs="仿宋"/>
          <w:spacing w:val="0"/>
          <w:sz w:val="24"/>
          <w:szCs w:val="24"/>
          <w:highlight w:val="none"/>
        </w:rPr>
      </w:pPr>
    </w:p>
    <w:p w14:paraId="1F9C3C0B">
      <w:pPr>
        <w:spacing w:line="360" w:lineRule="auto"/>
        <w:jc w:val="right"/>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签订日期：   年  月  日</w:t>
      </w:r>
    </w:p>
    <w:p w14:paraId="21B804CE">
      <w:pPr>
        <w:pStyle w:val="5"/>
        <w:spacing w:line="246" w:lineRule="auto"/>
        <w:rPr>
          <w:rFonts w:hint="eastAsia" w:ascii="仿宋" w:hAnsi="仿宋" w:eastAsia="仿宋" w:cs="仿宋"/>
          <w:spacing w:val="0"/>
          <w:highlight w:val="none"/>
        </w:rPr>
      </w:pPr>
    </w:p>
    <w:p w14:paraId="08628F61">
      <w:pPr>
        <w:spacing w:before="117" w:line="222" w:lineRule="auto"/>
        <w:ind w:left="1841"/>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00B3CA6F">
      <w:pPr>
        <w:spacing w:before="117" w:line="222" w:lineRule="auto"/>
        <w:ind w:left="1841"/>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12CA49A0">
      <w:pPr>
        <w:spacing w:before="117" w:line="222" w:lineRule="auto"/>
        <w:ind w:left="1841"/>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pPr>
    </w:p>
    <w:p w14:paraId="59B949A9">
      <w:pPr>
        <w:spacing w:line="360" w:lineRule="auto"/>
        <w:jc w:val="center"/>
        <w:rPr>
          <w:rFonts w:ascii="仿宋" w:hAnsi="仿宋" w:eastAsia="仿宋" w:cs="仿宋"/>
          <w:sz w:val="36"/>
          <w:szCs w:val="36"/>
        </w:rPr>
      </w:pPr>
      <w:r>
        <w:rPr>
          <w:rFonts w:hint="eastAsia" w:ascii="仿宋" w:hAnsi="仿宋" w:eastAsia="仿宋" w:cs="仿宋"/>
          <w:spacing w:val="0"/>
          <w:sz w:val="36"/>
          <w:szCs w:val="36"/>
          <w:highlight w:val="none"/>
          <w14:textOutline w14:w="7620" w14:cap="flat" w14:cmpd="sng">
            <w14:solidFill>
              <w14:srgbClr w14:val="000000"/>
            </w14:solidFill>
            <w14:prstDash w14:val="solid"/>
            <w14:miter w14:val="0"/>
          </w14:textOutline>
        </w:rPr>
        <w:br w:type="page"/>
      </w:r>
      <w:r>
        <w:rPr>
          <w:rFonts w:hint="eastAsia" w:ascii="仿宋" w:hAnsi="仿宋" w:eastAsia="仿宋" w:cs="仿宋"/>
          <w:b/>
          <w:bCs/>
          <w:sz w:val="36"/>
          <w:szCs w:val="36"/>
          <w:lang w:val="en-US" w:eastAsia="zh-CN"/>
        </w:rPr>
        <w:t>第六章  投标文件格式</w:t>
      </w:r>
    </w:p>
    <w:p w14:paraId="163D93CB">
      <w:pPr>
        <w:spacing w:before="46"/>
        <w:rPr>
          <w:rFonts w:ascii="仿宋" w:hAnsi="仿宋" w:eastAsia="仿宋" w:cs="仿宋"/>
        </w:rPr>
      </w:pPr>
    </w:p>
    <w:p w14:paraId="4D165D9B">
      <w:pPr>
        <w:spacing w:before="46"/>
        <w:rPr>
          <w:rFonts w:ascii="仿宋" w:hAnsi="仿宋" w:eastAsia="仿宋" w:cs="仿宋"/>
        </w:rPr>
      </w:pPr>
    </w:p>
    <w:p w14:paraId="27192EE5">
      <w:pPr>
        <w:spacing w:before="45"/>
        <w:rPr>
          <w:rFonts w:ascii="仿宋" w:hAnsi="仿宋" w:eastAsia="仿宋" w:cs="仿宋"/>
        </w:rPr>
      </w:pPr>
    </w:p>
    <w:tbl>
      <w:tblPr>
        <w:tblStyle w:val="21"/>
        <w:tblW w:w="8190" w:type="dxa"/>
        <w:tblInd w:w="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190"/>
      </w:tblGrid>
      <w:tr w14:paraId="4B60C3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04" w:hRule="atLeast"/>
        </w:trPr>
        <w:tc>
          <w:tcPr>
            <w:tcW w:w="8190" w:type="dxa"/>
          </w:tcPr>
          <w:p w14:paraId="6A5447EE">
            <w:pPr>
              <w:pStyle w:val="22"/>
              <w:spacing w:before="148" w:line="220" w:lineRule="auto"/>
              <w:ind w:left="532"/>
              <w:rPr>
                <w:rFonts w:ascii="仿宋" w:hAnsi="仿宋" w:eastAsia="仿宋" w:cs="仿宋"/>
                <w:lang w:eastAsia="zh-CN"/>
              </w:rPr>
            </w:pPr>
            <w:r>
              <w:rPr>
                <w:rFonts w:hint="eastAsia" w:ascii="仿宋" w:hAnsi="仿宋" w:eastAsia="仿宋" w:cs="仿宋"/>
                <w:lang w:eastAsia="zh-CN"/>
              </w:rPr>
              <w:t>注释：</w:t>
            </w:r>
          </w:p>
          <w:p w14:paraId="06820A82">
            <w:pPr>
              <w:pStyle w:val="22"/>
              <w:spacing w:before="182" w:line="468" w:lineRule="exact"/>
              <w:ind w:left="533"/>
              <w:rPr>
                <w:rFonts w:ascii="仿宋" w:hAnsi="仿宋" w:eastAsia="仿宋" w:cs="仿宋"/>
                <w:lang w:eastAsia="zh-CN"/>
              </w:rPr>
            </w:pPr>
            <w:r>
              <w:rPr>
                <w:rFonts w:hint="eastAsia" w:ascii="仿宋" w:hAnsi="仿宋" w:eastAsia="仿宋" w:cs="仿宋"/>
                <w:position w:val="17"/>
                <w:lang w:eastAsia="zh-CN"/>
              </w:rPr>
              <w:t>《投标文件格式》是投标人的部分投标文件格式和签订合同时所需文件</w:t>
            </w:r>
          </w:p>
          <w:p w14:paraId="6AF5BFAC">
            <w:pPr>
              <w:pStyle w:val="22"/>
              <w:spacing w:line="219" w:lineRule="auto"/>
              <w:ind w:left="132"/>
              <w:rPr>
                <w:rFonts w:ascii="仿宋" w:hAnsi="仿宋" w:eastAsia="仿宋" w:cs="仿宋"/>
                <w:lang w:eastAsia="zh-CN"/>
              </w:rPr>
            </w:pPr>
            <w:r>
              <w:rPr>
                <w:rFonts w:hint="eastAsia" w:ascii="仿宋" w:hAnsi="仿宋" w:eastAsia="仿宋" w:cs="仿宋"/>
                <w:lang w:eastAsia="zh-CN"/>
              </w:rPr>
              <w:t>的格式。投标人应按照这些格式文件制作投标文件。</w:t>
            </w:r>
          </w:p>
        </w:tc>
      </w:tr>
    </w:tbl>
    <w:p w14:paraId="7C19082F">
      <w:pPr>
        <w:pStyle w:val="5"/>
        <w:spacing w:line="395" w:lineRule="auto"/>
        <w:rPr>
          <w:rFonts w:ascii="仿宋" w:hAnsi="仿宋" w:eastAsia="仿宋" w:cs="仿宋"/>
          <w:lang w:eastAsia="zh-CN"/>
        </w:rPr>
      </w:pPr>
    </w:p>
    <w:p w14:paraId="6B627BCE">
      <w:pPr>
        <w:spacing w:before="117" w:line="222" w:lineRule="auto"/>
        <w:ind w:left="3739"/>
        <w:rPr>
          <w:rFonts w:ascii="仿宋" w:hAnsi="仿宋" w:eastAsia="仿宋" w:cs="仿宋"/>
          <w:sz w:val="36"/>
          <w:szCs w:val="36"/>
          <w:lang w:eastAsia="zh-CN"/>
        </w:rPr>
      </w:pPr>
      <w:r>
        <w:rPr>
          <w:rFonts w:hint="eastAsia" w:ascii="仿宋" w:hAnsi="仿宋" w:eastAsia="仿宋" w:cs="仿宋"/>
          <w:sz w:val="36"/>
          <w:szCs w:val="36"/>
          <w:lang w:eastAsia="zh-CN"/>
        </w:rPr>
        <w:t>目    录</w:t>
      </w:r>
    </w:p>
    <w:p w14:paraId="6704B986">
      <w:pPr>
        <w:pStyle w:val="5"/>
        <w:spacing w:line="348" w:lineRule="auto"/>
        <w:rPr>
          <w:rFonts w:ascii="仿宋" w:hAnsi="仿宋" w:eastAsia="仿宋" w:cs="仿宋"/>
          <w:lang w:eastAsia="zh-CN"/>
        </w:rPr>
      </w:pPr>
    </w:p>
    <w:p w14:paraId="1DE0D9FC">
      <w:pPr>
        <w:pStyle w:val="5"/>
        <w:spacing w:line="348" w:lineRule="auto"/>
        <w:ind w:firstLine="840" w:firstLineChars="400"/>
        <w:rPr>
          <w:rFonts w:ascii="仿宋" w:hAnsi="仿宋" w:eastAsia="仿宋" w:cs="仿宋"/>
          <w:lang w:eastAsia="zh-CN"/>
        </w:rPr>
      </w:pPr>
    </w:p>
    <w:p w14:paraId="5C5BF0FF">
      <w:pPr>
        <w:spacing w:before="78" w:line="468" w:lineRule="exact"/>
        <w:ind w:left="462"/>
        <w:rPr>
          <w:rFonts w:ascii="仿宋" w:hAnsi="仿宋" w:eastAsia="仿宋" w:cs="仿宋"/>
          <w:sz w:val="24"/>
          <w:szCs w:val="24"/>
          <w:lang w:eastAsia="zh-CN"/>
        </w:rPr>
      </w:pPr>
      <w:r>
        <w:rPr>
          <w:rFonts w:hint="eastAsia" w:ascii="仿宋" w:hAnsi="仿宋" w:eastAsia="仿宋" w:cs="仿宋"/>
          <w:position w:val="17"/>
          <w:sz w:val="24"/>
          <w:szCs w:val="24"/>
          <w:lang w:eastAsia="zh-CN"/>
        </w:rPr>
        <w:t>附件1 投标文件封面（格式）</w:t>
      </w:r>
    </w:p>
    <w:p w14:paraId="0D772E07">
      <w:pPr>
        <w:spacing w:before="1" w:line="218"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附件2 投标书（格式）</w:t>
      </w:r>
    </w:p>
    <w:p w14:paraId="5F7D7703">
      <w:pPr>
        <w:spacing w:before="184" w:line="219"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附件3 开标一览表（格式）</w:t>
      </w:r>
    </w:p>
    <w:p w14:paraId="359215E6">
      <w:pPr>
        <w:spacing w:before="183" w:line="468" w:lineRule="exact"/>
        <w:ind w:left="462"/>
        <w:rPr>
          <w:rFonts w:ascii="仿宋" w:hAnsi="仿宋" w:eastAsia="仿宋" w:cs="仿宋"/>
          <w:sz w:val="24"/>
          <w:szCs w:val="24"/>
          <w:lang w:eastAsia="zh-CN"/>
        </w:rPr>
      </w:pPr>
      <w:r>
        <w:rPr>
          <w:rFonts w:hint="eastAsia" w:ascii="仿宋" w:hAnsi="仿宋" w:eastAsia="仿宋" w:cs="仿宋"/>
          <w:position w:val="17"/>
          <w:sz w:val="24"/>
          <w:szCs w:val="24"/>
          <w:lang w:eastAsia="zh-CN"/>
        </w:rPr>
        <w:t>附件4 服务技术响应表（格式）</w:t>
      </w:r>
    </w:p>
    <w:p w14:paraId="0A270F48">
      <w:pPr>
        <w:spacing w:before="1" w:line="218"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附件5 商务响应表（格式）</w:t>
      </w:r>
    </w:p>
    <w:p w14:paraId="5A95DF68">
      <w:pPr>
        <w:spacing w:before="184" w:line="468" w:lineRule="exact"/>
        <w:ind w:left="462"/>
        <w:rPr>
          <w:rFonts w:ascii="仿宋" w:hAnsi="仿宋" w:eastAsia="仿宋" w:cs="仿宋"/>
          <w:sz w:val="24"/>
          <w:szCs w:val="24"/>
          <w:lang w:eastAsia="zh-CN"/>
        </w:rPr>
      </w:pPr>
      <w:r>
        <w:rPr>
          <w:rFonts w:hint="eastAsia" w:ascii="仿宋" w:hAnsi="仿宋" w:eastAsia="仿宋" w:cs="仿宋"/>
          <w:position w:val="17"/>
          <w:sz w:val="24"/>
          <w:szCs w:val="24"/>
          <w:lang w:eastAsia="zh-CN"/>
        </w:rPr>
        <w:t>附件6 法定代表人身份证明（格式）</w:t>
      </w:r>
    </w:p>
    <w:p w14:paraId="2147D96C">
      <w:pPr>
        <w:spacing w:before="1" w:line="218"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附件7 法定代表人授权书（格式）</w:t>
      </w:r>
    </w:p>
    <w:p w14:paraId="00E6546A">
      <w:pPr>
        <w:spacing w:before="183" w:line="219"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附件8 证明文件</w:t>
      </w:r>
    </w:p>
    <w:p w14:paraId="133A1F19">
      <w:pPr>
        <w:spacing w:before="183" w:line="219" w:lineRule="auto"/>
        <w:ind w:left="462"/>
        <w:rPr>
          <w:rFonts w:ascii="仿宋" w:hAnsi="仿宋" w:eastAsia="仿宋" w:cs="仿宋"/>
          <w:sz w:val="24"/>
          <w:szCs w:val="24"/>
          <w:lang w:eastAsia="zh-CN"/>
        </w:rPr>
      </w:pPr>
      <w:r>
        <w:rPr>
          <w:rFonts w:hint="eastAsia" w:ascii="仿宋" w:hAnsi="仿宋" w:eastAsia="仿宋" w:cs="仿宋"/>
          <w:sz w:val="24"/>
          <w:szCs w:val="24"/>
          <w:lang w:eastAsia="zh-CN"/>
        </w:rPr>
        <w:t>附件9 抵制商业贿赂承诺（格式）</w:t>
      </w:r>
    </w:p>
    <w:p w14:paraId="58117DA3">
      <w:pPr>
        <w:pStyle w:val="5"/>
        <w:spacing w:line="326" w:lineRule="auto"/>
        <w:rPr>
          <w:rFonts w:ascii="仿宋" w:hAnsi="仿宋" w:eastAsia="仿宋" w:cs="仿宋"/>
          <w:lang w:eastAsia="zh-CN"/>
        </w:rPr>
      </w:pPr>
    </w:p>
    <w:p w14:paraId="70345000">
      <w:pPr>
        <w:pStyle w:val="5"/>
        <w:spacing w:line="327" w:lineRule="auto"/>
        <w:rPr>
          <w:rFonts w:ascii="仿宋" w:hAnsi="仿宋" w:eastAsia="仿宋" w:cs="仿宋"/>
          <w:lang w:eastAsia="zh-CN"/>
        </w:rPr>
      </w:pPr>
    </w:p>
    <w:p w14:paraId="1CEF17FC">
      <w:pPr>
        <w:spacing w:line="133" w:lineRule="exact"/>
        <w:rPr>
          <w:rFonts w:ascii="仿宋" w:hAnsi="仿宋" w:eastAsia="仿宋" w:cs="仿宋"/>
          <w:sz w:val="18"/>
          <w:szCs w:val="18"/>
          <w:lang w:eastAsia="zh-CN"/>
        </w:rPr>
        <w:sectPr>
          <w:footerReference r:id="rId7" w:type="default"/>
          <w:pgSz w:w="11906" w:h="16839"/>
          <w:pgMar w:top="1440" w:right="1803" w:bottom="1440" w:left="1803" w:header="0" w:footer="992" w:gutter="0"/>
          <w:cols w:space="720" w:num="1"/>
        </w:sectPr>
      </w:pPr>
    </w:p>
    <w:p w14:paraId="14676DCE">
      <w:pPr>
        <w:spacing w:before="78" w:line="219" w:lineRule="auto"/>
        <w:ind w:left="462"/>
        <w:rPr>
          <w:rFonts w:ascii="仿宋" w:hAnsi="仿宋" w:eastAsia="仿宋" w:cs="仿宋"/>
          <w:b/>
          <w:bCs/>
          <w:sz w:val="24"/>
          <w:szCs w:val="24"/>
          <w:lang w:eastAsia="zh-CN"/>
        </w:rPr>
      </w:pPr>
      <w:r>
        <w:rPr>
          <w:rFonts w:hint="eastAsia" w:ascii="仿宋" w:hAnsi="仿宋" w:eastAsia="仿宋" w:cs="仿宋"/>
          <w:b/>
          <w:bCs/>
          <w:sz w:val="24"/>
          <w:szCs w:val="24"/>
          <w:lang w:eastAsia="zh-CN"/>
        </w:rPr>
        <w:t>附件1</w:t>
      </w:r>
    </w:p>
    <w:p w14:paraId="6EC3FB2B">
      <w:pPr>
        <w:spacing w:line="360" w:lineRule="auto"/>
        <w:jc w:val="center"/>
        <w:rPr>
          <w:rFonts w:ascii="仿宋" w:hAnsi="仿宋" w:eastAsia="仿宋" w:cs="仿宋"/>
          <w:sz w:val="24"/>
          <w:szCs w:val="24"/>
          <w:lang w:eastAsia="zh-CN"/>
        </w:rPr>
      </w:pPr>
      <w:r>
        <w:rPr>
          <w:rFonts w:hint="eastAsia" w:ascii="仿宋" w:hAnsi="仿宋" w:eastAsia="仿宋" w:cs="仿宋"/>
          <w:b/>
          <w:bCs/>
          <w:sz w:val="24"/>
          <w:szCs w:val="24"/>
          <w:lang w:eastAsia="zh-CN"/>
        </w:rPr>
        <w:t>投标文件封面</w:t>
      </w:r>
      <w:r>
        <w:rPr>
          <w:rFonts w:hint="eastAsia" w:ascii="仿宋" w:hAnsi="仿宋" w:eastAsia="仿宋" w:cs="仿宋"/>
          <w:sz w:val="24"/>
          <w:szCs w:val="24"/>
          <w:lang w:eastAsia="zh-CN"/>
        </w:rPr>
        <w:t>（格式）</w:t>
      </w:r>
    </w:p>
    <w:p w14:paraId="7014CBB6">
      <w:pPr>
        <w:pStyle w:val="5"/>
        <w:spacing w:line="269" w:lineRule="auto"/>
        <w:rPr>
          <w:rFonts w:ascii="仿宋" w:hAnsi="仿宋" w:eastAsia="仿宋" w:cs="仿宋"/>
          <w:lang w:eastAsia="zh-CN"/>
        </w:rPr>
      </w:pPr>
    </w:p>
    <w:p w14:paraId="131C2A8E">
      <w:pPr>
        <w:pStyle w:val="5"/>
        <w:spacing w:line="269" w:lineRule="auto"/>
        <w:rPr>
          <w:rFonts w:ascii="仿宋" w:hAnsi="仿宋" w:eastAsia="仿宋" w:cs="仿宋"/>
          <w:lang w:eastAsia="zh-CN"/>
        </w:rPr>
      </w:pPr>
    </w:p>
    <w:p w14:paraId="0077FBD9">
      <w:pPr>
        <w:pStyle w:val="5"/>
        <w:spacing w:line="269" w:lineRule="auto"/>
        <w:rPr>
          <w:rFonts w:ascii="仿宋" w:hAnsi="仿宋" w:eastAsia="仿宋" w:cs="仿宋"/>
          <w:lang w:eastAsia="zh-CN"/>
        </w:rPr>
      </w:pPr>
    </w:p>
    <w:p w14:paraId="368BCA26">
      <w:pPr>
        <w:pStyle w:val="5"/>
        <w:spacing w:line="269" w:lineRule="auto"/>
        <w:rPr>
          <w:rFonts w:ascii="仿宋" w:hAnsi="仿宋" w:eastAsia="仿宋" w:cs="仿宋"/>
          <w:lang w:eastAsia="zh-CN"/>
        </w:rPr>
      </w:pPr>
    </w:p>
    <w:p w14:paraId="50387235">
      <w:pPr>
        <w:pStyle w:val="5"/>
        <w:spacing w:line="270" w:lineRule="auto"/>
        <w:rPr>
          <w:rFonts w:ascii="仿宋" w:hAnsi="仿宋" w:eastAsia="仿宋" w:cs="仿宋"/>
          <w:lang w:eastAsia="zh-CN"/>
        </w:rPr>
      </w:pPr>
    </w:p>
    <w:p w14:paraId="4FC3A277">
      <w:pPr>
        <w:pStyle w:val="5"/>
        <w:spacing w:line="270" w:lineRule="auto"/>
        <w:rPr>
          <w:rFonts w:ascii="仿宋" w:hAnsi="仿宋" w:eastAsia="仿宋" w:cs="仿宋"/>
          <w:b/>
          <w:bCs/>
          <w:lang w:eastAsia="zh-CN"/>
        </w:rPr>
      </w:pPr>
    </w:p>
    <w:p w14:paraId="07DA2F65">
      <w:pPr>
        <w:spacing w:line="360" w:lineRule="auto"/>
        <w:jc w:val="center"/>
        <w:rPr>
          <w:rFonts w:ascii="仿宋" w:hAnsi="仿宋" w:eastAsia="仿宋" w:cs="仿宋"/>
          <w:b/>
          <w:bCs/>
          <w:sz w:val="24"/>
          <w:szCs w:val="24"/>
          <w:lang w:eastAsia="zh-CN"/>
        </w:rPr>
      </w:pPr>
      <w:r>
        <w:rPr>
          <w:rFonts w:hint="eastAsia" w:ascii="仿宋" w:hAnsi="仿宋" w:eastAsia="仿宋" w:cs="仿宋"/>
          <w:b/>
          <w:bCs/>
          <w:position w:val="19"/>
          <w:sz w:val="24"/>
          <w:szCs w:val="24"/>
          <w:lang w:eastAsia="zh-CN"/>
        </w:rPr>
        <w:t>政府采购项目</w:t>
      </w:r>
    </w:p>
    <w:p w14:paraId="6F0FEF91">
      <w:pPr>
        <w:spacing w:line="360" w:lineRule="auto"/>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投 标 文 件</w:t>
      </w:r>
    </w:p>
    <w:p w14:paraId="795E675E">
      <w:pPr>
        <w:pStyle w:val="5"/>
        <w:spacing w:line="262" w:lineRule="auto"/>
        <w:rPr>
          <w:rFonts w:ascii="仿宋" w:hAnsi="仿宋" w:eastAsia="仿宋" w:cs="仿宋"/>
          <w:lang w:eastAsia="zh-CN"/>
        </w:rPr>
      </w:pPr>
    </w:p>
    <w:p w14:paraId="67137D31">
      <w:pPr>
        <w:pStyle w:val="5"/>
        <w:spacing w:line="262" w:lineRule="auto"/>
        <w:rPr>
          <w:rFonts w:ascii="仿宋" w:hAnsi="仿宋" w:eastAsia="仿宋" w:cs="仿宋"/>
          <w:lang w:eastAsia="zh-CN"/>
        </w:rPr>
      </w:pPr>
    </w:p>
    <w:p w14:paraId="781F0A44">
      <w:pPr>
        <w:pStyle w:val="5"/>
        <w:spacing w:line="262" w:lineRule="auto"/>
        <w:rPr>
          <w:rFonts w:ascii="仿宋" w:hAnsi="仿宋" w:eastAsia="仿宋" w:cs="仿宋"/>
          <w:lang w:eastAsia="zh-CN"/>
        </w:rPr>
      </w:pPr>
    </w:p>
    <w:p w14:paraId="2EB3649D">
      <w:pPr>
        <w:pStyle w:val="5"/>
        <w:spacing w:line="262" w:lineRule="auto"/>
        <w:rPr>
          <w:rFonts w:ascii="仿宋" w:hAnsi="仿宋" w:eastAsia="仿宋" w:cs="仿宋"/>
          <w:lang w:eastAsia="zh-CN"/>
        </w:rPr>
      </w:pPr>
    </w:p>
    <w:p w14:paraId="0A6BA4B3">
      <w:pPr>
        <w:pStyle w:val="5"/>
        <w:spacing w:line="262" w:lineRule="auto"/>
        <w:rPr>
          <w:rFonts w:ascii="仿宋" w:hAnsi="仿宋" w:eastAsia="仿宋" w:cs="仿宋"/>
          <w:lang w:eastAsia="zh-CN"/>
        </w:rPr>
      </w:pPr>
    </w:p>
    <w:p w14:paraId="05B4F03A">
      <w:pPr>
        <w:pStyle w:val="5"/>
        <w:spacing w:line="262" w:lineRule="auto"/>
        <w:rPr>
          <w:rFonts w:ascii="仿宋" w:hAnsi="仿宋" w:eastAsia="仿宋" w:cs="仿宋"/>
          <w:lang w:eastAsia="zh-CN"/>
        </w:rPr>
      </w:pPr>
    </w:p>
    <w:p w14:paraId="53A3A326">
      <w:pPr>
        <w:pStyle w:val="5"/>
        <w:spacing w:line="262" w:lineRule="auto"/>
        <w:rPr>
          <w:rFonts w:ascii="仿宋" w:hAnsi="仿宋" w:eastAsia="仿宋" w:cs="仿宋"/>
          <w:lang w:eastAsia="zh-CN"/>
        </w:rPr>
      </w:pPr>
    </w:p>
    <w:p w14:paraId="308C5DC0">
      <w:pPr>
        <w:pStyle w:val="5"/>
        <w:spacing w:line="262" w:lineRule="auto"/>
        <w:rPr>
          <w:rFonts w:ascii="仿宋" w:hAnsi="仿宋" w:eastAsia="仿宋" w:cs="仿宋"/>
          <w:lang w:eastAsia="zh-CN"/>
        </w:rPr>
      </w:pPr>
    </w:p>
    <w:p w14:paraId="19C4A174">
      <w:pPr>
        <w:pStyle w:val="5"/>
        <w:spacing w:line="262" w:lineRule="auto"/>
        <w:rPr>
          <w:rFonts w:ascii="仿宋" w:hAnsi="仿宋" w:eastAsia="仿宋" w:cs="仿宋"/>
          <w:lang w:eastAsia="zh-CN"/>
        </w:rPr>
      </w:pPr>
    </w:p>
    <w:p w14:paraId="51DF635F">
      <w:pPr>
        <w:pStyle w:val="5"/>
        <w:spacing w:line="262" w:lineRule="auto"/>
        <w:rPr>
          <w:rFonts w:ascii="仿宋" w:hAnsi="仿宋" w:eastAsia="仿宋" w:cs="仿宋"/>
          <w:b/>
          <w:bCs/>
          <w:lang w:eastAsia="zh-CN"/>
        </w:rPr>
      </w:pPr>
    </w:p>
    <w:p w14:paraId="06D1E03C">
      <w:pPr>
        <w:spacing w:line="480" w:lineRule="auto"/>
        <w:ind w:firstLine="2409" w:firstLineChars="1000"/>
        <w:rPr>
          <w:rFonts w:ascii="仿宋" w:hAnsi="仿宋" w:eastAsia="仿宋" w:cs="仿宋"/>
          <w:b/>
          <w:bCs/>
          <w:sz w:val="24"/>
          <w:szCs w:val="24"/>
          <w:lang w:eastAsia="zh-CN"/>
        </w:rPr>
      </w:pPr>
      <w:r>
        <w:rPr>
          <w:rFonts w:hint="eastAsia" w:ascii="仿宋" w:hAnsi="仿宋" w:eastAsia="仿宋" w:cs="仿宋"/>
          <w:b/>
          <w:bCs/>
          <w:position w:val="19"/>
          <w:sz w:val="24"/>
          <w:szCs w:val="24"/>
          <w:lang w:eastAsia="zh-CN"/>
        </w:rPr>
        <w:t>项 目 名 称：</w:t>
      </w:r>
    </w:p>
    <w:p w14:paraId="2D1426B4">
      <w:pPr>
        <w:spacing w:line="480" w:lineRule="auto"/>
        <w:ind w:firstLine="2409" w:firstLineChars="1000"/>
        <w:rPr>
          <w:rFonts w:ascii="仿宋" w:hAnsi="仿宋" w:eastAsia="仿宋" w:cs="仿宋"/>
          <w:b/>
          <w:bCs/>
          <w:sz w:val="24"/>
          <w:szCs w:val="24"/>
          <w:lang w:eastAsia="zh-CN"/>
        </w:rPr>
      </w:pPr>
      <w:r>
        <w:rPr>
          <w:rFonts w:hint="eastAsia" w:ascii="仿宋" w:hAnsi="仿宋" w:eastAsia="仿宋" w:cs="仿宋"/>
          <w:b/>
          <w:bCs/>
          <w:sz w:val="24"/>
          <w:szCs w:val="24"/>
          <w:lang w:eastAsia="zh-CN"/>
        </w:rPr>
        <w:t>项 目 编 号：</w:t>
      </w:r>
    </w:p>
    <w:p w14:paraId="79AF4849">
      <w:pPr>
        <w:spacing w:line="480" w:lineRule="auto"/>
        <w:ind w:firstLine="2409" w:firstLineChars="1000"/>
        <w:rPr>
          <w:rFonts w:ascii="仿宋" w:hAnsi="仿宋" w:eastAsia="仿宋" w:cs="仿宋"/>
          <w:b/>
          <w:bCs/>
          <w:sz w:val="24"/>
          <w:szCs w:val="24"/>
          <w:lang w:eastAsia="zh-CN"/>
        </w:rPr>
      </w:pPr>
      <w:r>
        <w:rPr>
          <w:rFonts w:hint="eastAsia" w:ascii="仿宋" w:hAnsi="仿宋" w:eastAsia="仿宋" w:cs="仿宋"/>
          <w:b/>
          <w:bCs/>
          <w:position w:val="19"/>
          <w:sz w:val="24"/>
          <w:szCs w:val="24"/>
          <w:lang w:eastAsia="zh-CN"/>
        </w:rPr>
        <w:t>标   包  号：</w:t>
      </w:r>
    </w:p>
    <w:p w14:paraId="5471219C">
      <w:pPr>
        <w:pStyle w:val="5"/>
        <w:spacing w:line="271" w:lineRule="auto"/>
        <w:rPr>
          <w:rFonts w:ascii="仿宋" w:hAnsi="仿宋" w:eastAsia="仿宋" w:cs="仿宋"/>
          <w:lang w:eastAsia="zh-CN"/>
        </w:rPr>
      </w:pPr>
    </w:p>
    <w:p w14:paraId="1BE3D367">
      <w:pPr>
        <w:pStyle w:val="5"/>
        <w:spacing w:line="271" w:lineRule="auto"/>
        <w:rPr>
          <w:rFonts w:ascii="仿宋" w:hAnsi="仿宋" w:eastAsia="仿宋" w:cs="仿宋"/>
          <w:lang w:eastAsia="zh-CN"/>
        </w:rPr>
      </w:pPr>
    </w:p>
    <w:p w14:paraId="593E7A23">
      <w:pPr>
        <w:pStyle w:val="5"/>
        <w:spacing w:line="271" w:lineRule="auto"/>
        <w:rPr>
          <w:rFonts w:ascii="仿宋" w:hAnsi="仿宋" w:eastAsia="仿宋" w:cs="仿宋"/>
          <w:lang w:eastAsia="zh-CN"/>
        </w:rPr>
      </w:pPr>
    </w:p>
    <w:p w14:paraId="3A1DF36F">
      <w:pPr>
        <w:pStyle w:val="5"/>
        <w:spacing w:line="271" w:lineRule="auto"/>
        <w:rPr>
          <w:rFonts w:ascii="仿宋" w:hAnsi="仿宋" w:eastAsia="仿宋" w:cs="仿宋"/>
          <w:lang w:eastAsia="zh-CN"/>
        </w:rPr>
      </w:pPr>
    </w:p>
    <w:p w14:paraId="34D1BAC6">
      <w:pPr>
        <w:pStyle w:val="5"/>
        <w:spacing w:line="360" w:lineRule="auto"/>
        <w:ind w:firstLine="1050" w:firstLineChars="500"/>
        <w:rPr>
          <w:rFonts w:ascii="仿宋" w:hAnsi="仿宋" w:eastAsia="仿宋" w:cs="仿宋"/>
          <w:lang w:eastAsia="zh-CN"/>
        </w:rPr>
      </w:pPr>
    </w:p>
    <w:p w14:paraId="6522FCFD">
      <w:pPr>
        <w:pStyle w:val="5"/>
        <w:spacing w:line="360" w:lineRule="auto"/>
        <w:ind w:firstLine="1050" w:firstLineChars="500"/>
        <w:rPr>
          <w:rFonts w:ascii="仿宋" w:hAnsi="仿宋" w:eastAsia="仿宋" w:cs="仿宋"/>
          <w:lang w:eastAsia="zh-CN"/>
        </w:rPr>
      </w:pPr>
    </w:p>
    <w:p w14:paraId="070C696E">
      <w:pPr>
        <w:spacing w:line="360" w:lineRule="auto"/>
        <w:ind w:firstLine="1205" w:firstLineChars="500"/>
        <w:rPr>
          <w:rFonts w:ascii="仿宋" w:hAnsi="仿宋" w:eastAsia="仿宋" w:cs="仿宋"/>
          <w:lang w:eastAsia="zh-CN"/>
        </w:rPr>
      </w:pPr>
      <w:r>
        <w:rPr>
          <w:rFonts w:hint="eastAsia" w:ascii="仿宋" w:hAnsi="仿宋" w:eastAsia="仿宋" w:cs="仿宋"/>
          <w:b/>
          <w:bCs/>
          <w:sz w:val="24"/>
          <w:szCs w:val="24"/>
          <w:lang w:eastAsia="zh-CN"/>
        </w:rPr>
        <w:t>投标人名称 ：</w:t>
      </w:r>
      <w:r>
        <w:rPr>
          <w:rFonts w:hint="eastAsia" w:ascii="仿宋" w:hAnsi="仿宋" w:eastAsia="仿宋" w:cs="仿宋"/>
          <w:b/>
          <w:bCs/>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0FB4824C">
      <w:pPr>
        <w:spacing w:line="360" w:lineRule="auto"/>
        <w:rPr>
          <w:rFonts w:ascii="仿宋" w:hAnsi="仿宋" w:eastAsia="仿宋" w:cs="仿宋"/>
          <w:lang w:eastAsia="zh-CN"/>
        </w:rPr>
      </w:pPr>
    </w:p>
    <w:p w14:paraId="6970CFB7">
      <w:pPr>
        <w:spacing w:line="360" w:lineRule="auto"/>
        <w:ind w:firstLine="1205" w:firstLineChars="500"/>
        <w:rPr>
          <w:rFonts w:ascii="仿宋" w:hAnsi="仿宋" w:eastAsia="仿宋" w:cs="仿宋"/>
          <w:b/>
          <w:bCs/>
          <w:sz w:val="24"/>
          <w:szCs w:val="24"/>
          <w:lang w:eastAsia="zh-CN"/>
        </w:rPr>
        <w:sectPr>
          <w:footerReference r:id="rId8" w:type="default"/>
          <w:pgSz w:w="11906" w:h="16839"/>
          <w:pgMar w:top="1440" w:right="1803" w:bottom="1440" w:left="1803" w:header="0" w:footer="992" w:gutter="0"/>
          <w:cols w:equalWidth="0" w:num="1">
            <w:col w:w="8335"/>
          </w:cols>
        </w:sectPr>
      </w:pPr>
      <w:r>
        <w:rPr>
          <w:rFonts w:hint="eastAsia" w:ascii="仿宋" w:hAnsi="仿宋" w:eastAsia="仿宋" w:cs="仿宋"/>
          <w:b/>
          <w:bCs/>
          <w:sz w:val="24"/>
          <w:szCs w:val="24"/>
          <w:lang w:eastAsia="zh-CN"/>
        </w:rPr>
        <w:t>日      期 ：</w:t>
      </w:r>
      <w:r>
        <w:rPr>
          <w:rFonts w:hint="eastAsia" w:ascii="仿宋" w:hAnsi="仿宋" w:eastAsia="仿宋" w:cs="仿宋"/>
          <w:b/>
          <w:bCs/>
          <w:sz w:val="24"/>
          <w:szCs w:val="24"/>
          <w:u w:val="single"/>
          <w:lang w:eastAsia="zh-CN"/>
        </w:rPr>
        <w:t xml:space="preserve">          </w:t>
      </w:r>
    </w:p>
    <w:p w14:paraId="3B4F3C9F">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附件2</w:t>
      </w:r>
    </w:p>
    <w:p w14:paraId="380B6B57">
      <w:pPr>
        <w:spacing w:line="360" w:lineRule="auto"/>
        <w:jc w:val="center"/>
        <w:rPr>
          <w:rFonts w:ascii="仿宋" w:hAnsi="仿宋" w:eastAsia="仿宋" w:cs="仿宋"/>
          <w:lang w:eastAsia="zh-CN"/>
        </w:rPr>
      </w:pPr>
      <w:r>
        <w:rPr>
          <w:rFonts w:hint="eastAsia" w:ascii="仿宋" w:hAnsi="仿宋" w:eastAsia="仿宋" w:cs="仿宋"/>
          <w:b/>
          <w:bCs/>
          <w:sz w:val="24"/>
          <w:szCs w:val="24"/>
          <w:lang w:eastAsia="zh-CN"/>
        </w:rPr>
        <w:t>投  标  书</w:t>
      </w:r>
      <w:r>
        <w:rPr>
          <w:rFonts w:hint="eastAsia" w:ascii="仿宋" w:hAnsi="仿宋" w:eastAsia="仿宋" w:cs="仿宋"/>
          <w:sz w:val="24"/>
          <w:szCs w:val="24"/>
          <w:lang w:eastAsia="zh-CN"/>
        </w:rPr>
        <w:t>（格式）</w:t>
      </w:r>
    </w:p>
    <w:p w14:paraId="5EDD5591">
      <w:pPr>
        <w:pStyle w:val="5"/>
        <w:spacing w:line="295" w:lineRule="auto"/>
        <w:rPr>
          <w:rFonts w:ascii="仿宋" w:hAnsi="仿宋" w:eastAsia="仿宋" w:cs="仿宋"/>
          <w:lang w:eastAsia="zh-CN"/>
        </w:rPr>
      </w:pPr>
    </w:p>
    <w:p w14:paraId="5370E7E4">
      <w:pPr>
        <w:keepNext w:val="0"/>
        <w:keepLines w:val="0"/>
        <w:pageBreakBefore w:val="0"/>
        <w:widowControl/>
        <w:kinsoku/>
        <w:wordWrap/>
        <w:overflowPunct/>
        <w:topLinePunct w:val="0"/>
        <w:autoSpaceDE w:val="0"/>
        <w:autoSpaceDN w:val="0"/>
        <w:bidi w:val="0"/>
        <w:adjustRightInd w:val="0"/>
        <w:snapToGrid w:val="0"/>
        <w:spacing w:line="360" w:lineRule="auto"/>
        <w:ind w:left="0" w:firstLine="436" w:firstLineChars="200"/>
        <w:textAlignment w:val="baseline"/>
        <w:rPr>
          <w:rFonts w:ascii="仿宋" w:hAnsi="仿宋" w:eastAsia="仿宋" w:cs="仿宋"/>
          <w:sz w:val="24"/>
          <w:szCs w:val="24"/>
          <w:lang w:eastAsia="zh-CN"/>
        </w:rPr>
      </w:pPr>
      <w:r>
        <w:rPr>
          <w:rFonts w:hint="eastAsia" w:ascii="仿宋" w:hAnsi="仿宋" w:eastAsia="仿宋" w:cs="仿宋"/>
          <w:w w:val="91"/>
          <w:sz w:val="24"/>
          <w:szCs w:val="24"/>
          <w:lang w:eastAsia="zh-CN"/>
        </w:rPr>
        <w:t>致</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w w:val="91"/>
          <w:sz w:val="24"/>
          <w:szCs w:val="24"/>
          <w:lang w:eastAsia="zh-CN"/>
        </w:rPr>
        <w:t>招标人名称</w:t>
      </w:r>
      <w:r>
        <w:rPr>
          <w:rFonts w:hint="eastAsia" w:ascii="仿宋" w:hAnsi="仿宋" w:eastAsia="仿宋" w:cs="仿宋"/>
          <w:sz w:val="24"/>
          <w:szCs w:val="24"/>
          <w:lang w:eastAsia="zh-CN"/>
        </w:rPr>
        <w:t>）：</w:t>
      </w:r>
    </w:p>
    <w:p w14:paraId="42C7D652">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 xml:space="preserve">（投标人名称）现委托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（姓名）为我方代理人，参加贵方组织的</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项目（项目编号：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)的投标。现正式提交下述文件1份：</w:t>
      </w:r>
    </w:p>
    <w:p w14:paraId="2020FB97">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1.开标一览表</w:t>
      </w:r>
    </w:p>
    <w:p w14:paraId="00CCFB9B">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2.服务技术响应表</w:t>
      </w:r>
    </w:p>
    <w:p w14:paraId="7DCC68B8">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3.商务响应表</w:t>
      </w:r>
    </w:p>
    <w:p w14:paraId="434A49BD">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4.法定代表人身份证明</w:t>
      </w:r>
    </w:p>
    <w:p w14:paraId="60CA57D7">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5.法定代表人授权书</w:t>
      </w:r>
    </w:p>
    <w:p w14:paraId="62342E42">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6.证明文件</w:t>
      </w:r>
    </w:p>
    <w:p w14:paraId="5A4F0D24">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7.抵制商业贿赂承诺</w:t>
      </w:r>
    </w:p>
    <w:p w14:paraId="03EB812B">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为便于贵方公正、择优地确定中标人及其投标产品和服务，我方就本次投标有关事项郑重声明并宣布同意如下：</w:t>
      </w:r>
    </w:p>
    <w:p w14:paraId="7CBB6968">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1.我方承诺已经具备招标文件中规定的参加政府采购活动的投标人应当具 备的条件。我方愿意向贵方提供任何与本招标项目投标有关的数据、情况和技术资料，并根据需要提供一切承诺的证明材料，并保证其真实、合法、有效。</w:t>
      </w:r>
    </w:p>
    <w:p w14:paraId="5F740093">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2.我方承诺在投标活动中提供的各种材料真实有效。</w:t>
      </w:r>
    </w:p>
    <w:p w14:paraId="65AF92A7">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3.我方同意在投标文件有效期内遵守本投标文件中的承诺且在此期限期满之前均具有约束力。如果我方中标，投标文件有效期与合同履行期相同。</w:t>
      </w:r>
    </w:p>
    <w:p w14:paraId="3F773301">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4.我方已详细审查全部招标文件，包括修改文件（如有的话）和有关附件,将自行承担因对全部招标文件理解不正确或误解而产生的相应后果。</w:t>
      </w:r>
    </w:p>
    <w:p w14:paraId="7BC8E671">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5.我方保证尊重评标委员会的评标结果，完全理解本招标项目最低投标价不作为中标的保证。</w:t>
      </w:r>
    </w:p>
    <w:p w14:paraId="6EE0E14E">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6.我方理解并遵守招标文件的全部规定，接受招标文件中政府采购合同的全部条款且无任何异议。</w:t>
      </w:r>
    </w:p>
    <w:p w14:paraId="7238037C">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7.如果我方代表未按时参加开标的，视同放弃开标监督权利，认可开标结果。</w:t>
      </w:r>
    </w:p>
    <w:p w14:paraId="0C76433C">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8.如果我方存在投标人须知第9.3项所述情况，同意被认定为在经营活动中有重大违法记录。</w:t>
      </w:r>
    </w:p>
    <w:p w14:paraId="09A56FD8">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9.如果发生投标人须知第26.4.1、26.4.3项所述情况，同意我方投标被作为无效投标处理。</w:t>
      </w:r>
    </w:p>
    <w:p w14:paraId="3E9B4D08">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10.如果发生投标人须知第26.5项所述情况，同意评标委员会认定我方的行为属于串通投标的行为，并自愿接受监管部门的处罚。</w:t>
      </w:r>
    </w:p>
    <w:p w14:paraId="49A847D6">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11.如果现场变更采购方式，我方同意在不改变招标需求、资质条件等情况下，按变更后的采购方式的规定程序进行采购。</w:t>
      </w:r>
    </w:p>
    <w:p w14:paraId="151AA691">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12.如果被确定为中标人，我方同意按招标文件的规定领取中标通知书。否则，视为我方中标后自动放弃中标资格，承担由此引起的一切后果。</w:t>
      </w:r>
    </w:p>
    <w:p w14:paraId="3B39DB2C">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13.如果被确定为中标人，我方同意在领取中标通知书之日起个</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工作日内，按照招标文件的规定与招标人签订采购合同。否则，视为我方中标后无正当理由不与招标人签订合同并承担相应法律责任。</w:t>
      </w:r>
    </w:p>
    <w:p w14:paraId="534D6E6F">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14.我方最近3年内的被公开披露或查处的违法违规行为有：</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0FF7589B">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15.以上事项如有虚假或隐瞒，我方愿意承担一切后果和责任。</w:t>
      </w:r>
    </w:p>
    <w:p w14:paraId="0AE17250">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16.与本投标有关的一切正式往来通讯请寄（地址电话必须为最新并可以联</w:t>
      </w:r>
    </w:p>
    <w:p w14:paraId="2A414FD7">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lang w:eastAsia="zh-CN"/>
        </w:rPr>
      </w:pPr>
      <w:r>
        <w:rPr>
          <w:rFonts w:hint="eastAsia" w:ascii="仿宋" w:hAnsi="仿宋" w:eastAsia="仿宋" w:cs="仿宋"/>
          <w:sz w:val="24"/>
          <w:szCs w:val="24"/>
          <w:lang w:eastAsia="zh-CN"/>
        </w:rPr>
        <w:t>系到）：</w:t>
      </w:r>
    </w:p>
    <w:p w14:paraId="23C6B33F">
      <w:pPr>
        <w:ind w:firstLine="480" w:firstLineChars="200"/>
        <w:rPr>
          <w:rFonts w:ascii="仿宋" w:hAnsi="仿宋" w:eastAsia="仿宋" w:cs="仿宋"/>
          <w:sz w:val="24"/>
          <w:szCs w:val="24"/>
          <w:lang w:eastAsia="zh-CN"/>
        </w:rPr>
      </w:pPr>
    </w:p>
    <w:p w14:paraId="7065DCFB">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地址：                              邮编：</w:t>
      </w:r>
    </w:p>
    <w:p w14:paraId="6423C44D">
      <w:pPr>
        <w:rPr>
          <w:rFonts w:ascii="仿宋" w:hAnsi="仿宋" w:eastAsia="仿宋" w:cs="仿宋"/>
          <w:sz w:val="24"/>
          <w:szCs w:val="24"/>
          <w:lang w:eastAsia="zh-CN"/>
        </w:rPr>
      </w:pPr>
    </w:p>
    <w:p w14:paraId="7AB83753">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传真：</w:t>
      </w:r>
    </w:p>
    <w:p w14:paraId="140D9881">
      <w:pPr>
        <w:pStyle w:val="5"/>
        <w:spacing w:line="306" w:lineRule="auto"/>
        <w:rPr>
          <w:rFonts w:ascii="仿宋" w:hAnsi="仿宋" w:eastAsia="仿宋" w:cs="仿宋"/>
          <w:lang w:eastAsia="zh-CN"/>
        </w:rPr>
      </w:pPr>
    </w:p>
    <w:p w14:paraId="4657A150">
      <w:pPr>
        <w:pStyle w:val="5"/>
        <w:spacing w:line="307" w:lineRule="auto"/>
        <w:rPr>
          <w:rFonts w:ascii="仿宋" w:hAnsi="仿宋" w:eastAsia="仿宋" w:cs="仿宋"/>
          <w:lang w:eastAsia="zh-CN"/>
        </w:rPr>
      </w:pPr>
    </w:p>
    <w:p w14:paraId="2CFC5A5D">
      <w:pPr>
        <w:spacing w:before="78" w:line="220" w:lineRule="auto"/>
        <w:ind w:left="654"/>
        <w:rPr>
          <w:rFonts w:ascii="仿宋" w:hAnsi="仿宋" w:eastAsia="仿宋" w:cs="仿宋"/>
          <w:sz w:val="24"/>
          <w:szCs w:val="24"/>
          <w:lang w:eastAsia="zh-CN"/>
        </w:rPr>
      </w:pPr>
      <w:r>
        <w:rPr>
          <w:rFonts w:hint="eastAsia" w:ascii="仿宋" w:hAnsi="仿宋" w:eastAsia="仿宋" w:cs="仿宋"/>
          <w:sz w:val="24"/>
          <w:szCs w:val="24"/>
          <w:lang w:eastAsia="zh-CN"/>
        </w:rPr>
        <w:t>投标人代表（法定代表人或委托代理人）签字：</w:t>
      </w:r>
    </w:p>
    <w:p w14:paraId="5EAC3F61">
      <w:pPr>
        <w:spacing w:before="182" w:line="219" w:lineRule="auto"/>
        <w:ind w:left="654"/>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38178518">
      <w:pPr>
        <w:spacing w:before="182" w:line="220" w:lineRule="auto"/>
        <w:ind w:left="4222"/>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1EDEFAF2">
      <w:pPr>
        <w:pStyle w:val="5"/>
        <w:spacing w:line="256" w:lineRule="auto"/>
        <w:rPr>
          <w:rFonts w:ascii="仿宋" w:hAnsi="仿宋" w:eastAsia="仿宋" w:cs="仿宋"/>
          <w:lang w:eastAsia="zh-CN"/>
        </w:rPr>
      </w:pPr>
    </w:p>
    <w:p w14:paraId="32897886">
      <w:pPr>
        <w:pStyle w:val="5"/>
        <w:spacing w:line="256" w:lineRule="auto"/>
        <w:rPr>
          <w:rFonts w:ascii="仿宋" w:hAnsi="仿宋" w:eastAsia="仿宋" w:cs="仿宋"/>
          <w:lang w:eastAsia="zh-CN"/>
        </w:rPr>
      </w:pPr>
    </w:p>
    <w:p w14:paraId="7D0407A9">
      <w:pPr>
        <w:pStyle w:val="5"/>
        <w:spacing w:line="256" w:lineRule="auto"/>
        <w:rPr>
          <w:rFonts w:ascii="仿宋" w:hAnsi="仿宋" w:eastAsia="仿宋" w:cs="仿宋"/>
          <w:lang w:eastAsia="zh-CN"/>
        </w:rPr>
      </w:pPr>
    </w:p>
    <w:p w14:paraId="0CCAE3B5">
      <w:pPr>
        <w:pStyle w:val="5"/>
        <w:spacing w:line="256" w:lineRule="auto"/>
        <w:rPr>
          <w:rFonts w:ascii="仿宋" w:hAnsi="仿宋" w:eastAsia="仿宋" w:cs="仿宋"/>
          <w:lang w:eastAsia="zh-CN"/>
        </w:rPr>
      </w:pPr>
    </w:p>
    <w:p w14:paraId="7EC10C25">
      <w:pPr>
        <w:pStyle w:val="5"/>
        <w:spacing w:line="256" w:lineRule="auto"/>
        <w:rPr>
          <w:rFonts w:ascii="仿宋" w:hAnsi="仿宋" w:eastAsia="仿宋" w:cs="仿宋"/>
          <w:lang w:eastAsia="zh-CN"/>
        </w:rPr>
      </w:pPr>
    </w:p>
    <w:p w14:paraId="4E4EEEEA">
      <w:pPr>
        <w:pStyle w:val="5"/>
        <w:spacing w:line="256" w:lineRule="auto"/>
        <w:rPr>
          <w:rFonts w:ascii="仿宋" w:hAnsi="仿宋" w:eastAsia="仿宋" w:cs="仿宋"/>
          <w:lang w:eastAsia="zh-CN"/>
        </w:rPr>
      </w:pPr>
    </w:p>
    <w:p w14:paraId="6C85E629">
      <w:pPr>
        <w:pStyle w:val="5"/>
        <w:spacing w:line="256" w:lineRule="auto"/>
        <w:rPr>
          <w:rFonts w:ascii="仿宋" w:hAnsi="仿宋" w:eastAsia="仿宋" w:cs="仿宋"/>
          <w:lang w:eastAsia="zh-CN"/>
        </w:rPr>
      </w:pPr>
    </w:p>
    <w:p w14:paraId="3EA47136">
      <w:pPr>
        <w:pStyle w:val="6"/>
        <w:rPr>
          <w:rFonts w:ascii="仿宋" w:hAnsi="仿宋" w:eastAsia="仿宋" w:cs="仿宋"/>
        </w:rPr>
      </w:pPr>
    </w:p>
    <w:p w14:paraId="5DE76F62">
      <w:pPr>
        <w:rPr>
          <w:rFonts w:ascii="仿宋" w:hAnsi="仿宋" w:eastAsia="仿宋" w:cs="仿宋"/>
          <w:lang w:eastAsia="zh-CN"/>
        </w:rPr>
      </w:pPr>
    </w:p>
    <w:p w14:paraId="592C5164">
      <w:pPr>
        <w:spacing w:before="78" w:line="219" w:lineRule="auto"/>
        <w:rPr>
          <w:rFonts w:hint="eastAsia" w:ascii="仿宋" w:hAnsi="仿宋" w:eastAsia="仿宋" w:cs="仿宋"/>
          <w:sz w:val="24"/>
          <w:szCs w:val="24"/>
          <w:lang w:eastAsia="zh-CN"/>
        </w:rPr>
      </w:pPr>
    </w:p>
    <w:p w14:paraId="4252784A">
      <w:pPr>
        <w:spacing w:before="78" w:line="219" w:lineRule="auto"/>
        <w:rPr>
          <w:rFonts w:hint="eastAsia" w:ascii="仿宋" w:hAnsi="仿宋" w:eastAsia="仿宋" w:cs="仿宋"/>
          <w:sz w:val="24"/>
          <w:szCs w:val="24"/>
          <w:lang w:eastAsia="zh-CN"/>
        </w:rPr>
      </w:pPr>
    </w:p>
    <w:p w14:paraId="35687C97">
      <w:pPr>
        <w:rPr>
          <w:rFonts w:hint="eastAsia" w:ascii="仿宋" w:hAnsi="仿宋" w:eastAsia="仿宋" w:cs="仿宋"/>
          <w:sz w:val="24"/>
          <w:szCs w:val="24"/>
          <w:lang w:eastAsia="zh-CN"/>
        </w:rPr>
      </w:pPr>
      <w:r>
        <w:rPr>
          <w:rFonts w:hint="eastAsia" w:ascii="仿宋" w:hAnsi="仿宋" w:eastAsia="仿宋" w:cs="仿宋"/>
          <w:sz w:val="24"/>
          <w:szCs w:val="24"/>
          <w:lang w:eastAsia="zh-CN"/>
        </w:rPr>
        <w:br w:type="page"/>
      </w:r>
    </w:p>
    <w:p w14:paraId="347CF18E">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附件3</w:t>
      </w:r>
    </w:p>
    <w:p w14:paraId="3787EE35">
      <w:pPr>
        <w:spacing w:line="360" w:lineRule="auto"/>
        <w:jc w:val="center"/>
        <w:rPr>
          <w:rFonts w:ascii="仿宋" w:hAnsi="仿宋" w:eastAsia="仿宋" w:cs="仿宋"/>
          <w:sz w:val="24"/>
          <w:szCs w:val="24"/>
          <w:lang w:eastAsia="zh-CN"/>
        </w:rPr>
      </w:pPr>
      <w:r>
        <w:rPr>
          <w:rFonts w:hint="eastAsia" w:ascii="仿宋" w:hAnsi="仿宋" w:eastAsia="仿宋" w:cs="仿宋"/>
          <w:b/>
          <w:bCs/>
          <w:sz w:val="24"/>
          <w:szCs w:val="24"/>
          <w:lang w:eastAsia="zh-CN"/>
        </w:rPr>
        <w:t>开标一览表</w:t>
      </w:r>
      <w:r>
        <w:rPr>
          <w:rFonts w:hint="eastAsia" w:ascii="仿宋" w:hAnsi="仿宋" w:eastAsia="仿宋" w:cs="仿宋"/>
          <w:sz w:val="24"/>
          <w:szCs w:val="24"/>
          <w:lang w:eastAsia="zh-CN"/>
        </w:rPr>
        <w:t>（格式）</w:t>
      </w:r>
    </w:p>
    <w:p w14:paraId="77E3FBFC">
      <w:pPr>
        <w:pStyle w:val="5"/>
        <w:spacing w:line="308" w:lineRule="auto"/>
        <w:rPr>
          <w:rFonts w:ascii="仿宋" w:hAnsi="仿宋" w:eastAsia="仿宋" w:cs="仿宋"/>
          <w:lang w:eastAsia="zh-CN"/>
        </w:rPr>
      </w:pPr>
    </w:p>
    <w:p w14:paraId="52A2837F">
      <w:pPr>
        <w:wordWrap w:val="0"/>
        <w:spacing w:before="50" w:after="50" w:line="360" w:lineRule="auto"/>
        <w:rPr>
          <w:rFonts w:ascii="仿宋" w:hAnsi="仿宋" w:eastAsia="仿宋" w:cs="仿宋"/>
          <w:color w:val="auto"/>
          <w:highlight w:val="yellow"/>
        </w:rPr>
      </w:pPr>
      <w:r>
        <w:rPr>
          <w:rFonts w:hint="eastAsia" w:ascii="仿宋" w:hAnsi="仿宋" w:eastAsia="仿宋" w:cs="仿宋"/>
          <w:color w:val="auto"/>
          <w:sz w:val="24"/>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标包号：</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tbl>
      <w:tblPr>
        <w:tblStyle w:val="21"/>
        <w:tblW w:w="8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5"/>
        <w:gridCol w:w="6615"/>
      </w:tblGrid>
      <w:tr w14:paraId="2C57E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25" w:type="dxa"/>
            <w:vAlign w:val="center"/>
          </w:tcPr>
          <w:p w14:paraId="761F7EF7">
            <w:pPr>
              <w:pStyle w:val="22"/>
              <w:spacing w:before="121" w:line="220" w:lineRule="auto"/>
              <w:jc w:val="center"/>
              <w:rPr>
                <w:rFonts w:ascii="仿宋" w:hAnsi="仿宋" w:eastAsia="仿宋" w:cs="仿宋"/>
              </w:rPr>
            </w:pPr>
            <w:r>
              <w:rPr>
                <w:rFonts w:hint="eastAsia" w:ascii="仿宋" w:hAnsi="仿宋" w:eastAsia="仿宋" w:cs="仿宋"/>
              </w:rPr>
              <w:t>项目名称</w:t>
            </w:r>
          </w:p>
        </w:tc>
        <w:tc>
          <w:tcPr>
            <w:tcW w:w="6615" w:type="dxa"/>
          </w:tcPr>
          <w:p w14:paraId="0054F9A4">
            <w:pPr>
              <w:rPr>
                <w:rFonts w:ascii="仿宋" w:hAnsi="仿宋" w:eastAsia="仿宋" w:cs="仿宋"/>
              </w:rPr>
            </w:pPr>
          </w:p>
        </w:tc>
      </w:tr>
      <w:tr w14:paraId="3B3B7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25" w:type="dxa"/>
            <w:vAlign w:val="center"/>
          </w:tcPr>
          <w:p w14:paraId="3BE7D1A7">
            <w:pPr>
              <w:pStyle w:val="22"/>
              <w:spacing w:before="118" w:line="220" w:lineRule="auto"/>
              <w:jc w:val="center"/>
              <w:rPr>
                <w:rFonts w:ascii="仿宋" w:hAnsi="仿宋" w:eastAsia="仿宋" w:cs="仿宋"/>
                <w:lang w:eastAsia="zh-CN"/>
              </w:rPr>
            </w:pPr>
            <w:r>
              <w:rPr>
                <w:rFonts w:hint="eastAsia" w:ascii="仿宋" w:hAnsi="仿宋" w:eastAsia="仿宋" w:cs="仿宋"/>
              </w:rPr>
              <w:t>投标人</w:t>
            </w:r>
            <w:r>
              <w:rPr>
                <w:rFonts w:hint="eastAsia" w:ascii="仿宋" w:hAnsi="仿宋" w:eastAsia="仿宋" w:cs="仿宋"/>
                <w:lang w:eastAsia="zh-CN"/>
              </w:rPr>
              <w:t>名称</w:t>
            </w:r>
          </w:p>
        </w:tc>
        <w:tc>
          <w:tcPr>
            <w:tcW w:w="6615" w:type="dxa"/>
          </w:tcPr>
          <w:p w14:paraId="7C333BEA">
            <w:pPr>
              <w:rPr>
                <w:rFonts w:ascii="仿宋" w:hAnsi="仿宋" w:eastAsia="仿宋" w:cs="仿宋"/>
              </w:rPr>
            </w:pPr>
          </w:p>
        </w:tc>
      </w:tr>
      <w:tr w14:paraId="375B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125" w:type="dxa"/>
            <w:vAlign w:val="center"/>
          </w:tcPr>
          <w:p w14:paraId="48BC7EF0">
            <w:pPr>
              <w:pStyle w:val="22"/>
              <w:spacing w:before="183" w:line="222" w:lineRule="auto"/>
              <w:jc w:val="center"/>
              <w:rPr>
                <w:rFonts w:ascii="仿宋" w:hAnsi="仿宋" w:eastAsia="仿宋" w:cs="仿宋"/>
                <w:lang w:eastAsia="zh-CN"/>
              </w:rPr>
            </w:pPr>
            <w:r>
              <w:rPr>
                <w:rFonts w:hint="eastAsia" w:ascii="仿宋" w:hAnsi="仿宋" w:eastAsia="仿宋" w:cs="仿宋"/>
                <w:spacing w:val="0"/>
                <w:highlight w:val="none"/>
              </w:rPr>
              <w:t>投标报价</w:t>
            </w:r>
            <w:r>
              <w:rPr>
                <w:rFonts w:hint="eastAsia" w:ascii="仿宋" w:hAnsi="仿宋" w:eastAsia="仿宋" w:cs="仿宋"/>
                <w:spacing w:val="0"/>
                <w:highlight w:val="none"/>
                <w:lang w:eastAsia="zh-CN"/>
              </w:rPr>
              <w:t>（</w:t>
            </w:r>
            <w:r>
              <w:rPr>
                <w:rFonts w:hint="eastAsia" w:ascii="仿宋" w:hAnsi="仿宋" w:eastAsia="仿宋" w:cs="仿宋"/>
                <w:spacing w:val="0"/>
                <w:highlight w:val="none"/>
                <w:lang w:val="en-US" w:eastAsia="zh-CN"/>
              </w:rPr>
              <w:t>元）</w:t>
            </w:r>
          </w:p>
        </w:tc>
        <w:tc>
          <w:tcPr>
            <w:tcW w:w="6615" w:type="dxa"/>
            <w:vAlign w:val="top"/>
          </w:tcPr>
          <w:p w14:paraId="76DF3656">
            <w:pPr>
              <w:pStyle w:val="22"/>
              <w:spacing w:before="78" w:line="220" w:lineRule="auto"/>
              <w:rPr>
                <w:rFonts w:hint="eastAsia" w:ascii="仿宋" w:hAnsi="仿宋" w:eastAsia="仿宋" w:cs="仿宋"/>
                <w:spacing w:val="0"/>
                <w:highlight w:val="none"/>
                <w:lang w:val="en-US" w:eastAsia="zh-CN"/>
              </w:rPr>
            </w:pPr>
          </w:p>
          <w:p w14:paraId="7704A583">
            <w:pPr>
              <w:pStyle w:val="22"/>
              <w:spacing w:before="78" w:line="220" w:lineRule="auto"/>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大写：</w:t>
            </w:r>
          </w:p>
          <w:p w14:paraId="67E75966">
            <w:pPr>
              <w:pStyle w:val="22"/>
              <w:spacing w:before="78" w:line="220" w:lineRule="auto"/>
              <w:rPr>
                <w:rFonts w:hint="eastAsia" w:ascii="仿宋" w:hAnsi="仿宋" w:eastAsia="仿宋" w:cs="仿宋"/>
                <w:spacing w:val="0"/>
                <w:highlight w:val="none"/>
                <w:lang w:val="en-US" w:eastAsia="zh-CN"/>
              </w:rPr>
            </w:pPr>
          </w:p>
          <w:p w14:paraId="5AF0FA12">
            <w:pPr>
              <w:pStyle w:val="22"/>
              <w:spacing w:before="78" w:line="220" w:lineRule="auto"/>
              <w:rPr>
                <w:rFonts w:hint="eastAsia" w:ascii="仿宋" w:hAnsi="仿宋" w:eastAsia="仿宋" w:cs="仿宋"/>
                <w:spacing w:val="0"/>
                <w:highlight w:val="none"/>
                <w:lang w:val="en-US" w:eastAsia="zh-CN"/>
              </w:rPr>
            </w:pPr>
            <w:r>
              <w:rPr>
                <w:rFonts w:hint="eastAsia" w:ascii="仿宋" w:hAnsi="仿宋" w:eastAsia="仿宋" w:cs="仿宋"/>
                <w:spacing w:val="0"/>
                <w:highlight w:val="none"/>
                <w:lang w:val="en-US" w:eastAsia="zh-CN"/>
              </w:rPr>
              <w:t>小写：</w:t>
            </w:r>
          </w:p>
          <w:p w14:paraId="251BA9F4">
            <w:pPr>
              <w:pStyle w:val="22"/>
              <w:spacing w:before="78" w:line="220" w:lineRule="auto"/>
              <w:rPr>
                <w:rFonts w:hint="eastAsia" w:ascii="仿宋" w:hAnsi="仿宋" w:eastAsia="仿宋" w:cs="仿宋"/>
                <w:spacing w:val="0"/>
                <w:highlight w:val="none"/>
                <w:lang w:val="en-US" w:eastAsia="zh-CN"/>
              </w:rPr>
            </w:pPr>
          </w:p>
        </w:tc>
      </w:tr>
      <w:tr w14:paraId="2812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25" w:type="dxa"/>
            <w:vAlign w:val="center"/>
          </w:tcPr>
          <w:p w14:paraId="205A0376">
            <w:pPr>
              <w:pStyle w:val="22"/>
              <w:spacing w:before="121" w:line="220" w:lineRule="auto"/>
              <w:jc w:val="center"/>
              <w:rPr>
                <w:rFonts w:ascii="仿宋" w:hAnsi="仿宋" w:eastAsia="仿宋" w:cs="仿宋"/>
              </w:rPr>
            </w:pPr>
            <w:r>
              <w:rPr>
                <w:rFonts w:hint="eastAsia" w:ascii="仿宋" w:hAnsi="仿宋" w:eastAsia="仿宋" w:cs="仿宋"/>
              </w:rPr>
              <w:t>服务期限</w:t>
            </w:r>
          </w:p>
        </w:tc>
        <w:tc>
          <w:tcPr>
            <w:tcW w:w="6615" w:type="dxa"/>
          </w:tcPr>
          <w:p w14:paraId="34B8F758">
            <w:pPr>
              <w:rPr>
                <w:rFonts w:ascii="仿宋" w:hAnsi="仿宋" w:eastAsia="仿宋" w:cs="仿宋"/>
              </w:rPr>
            </w:pPr>
          </w:p>
        </w:tc>
      </w:tr>
      <w:tr w14:paraId="1C51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25" w:type="dxa"/>
            <w:vAlign w:val="center"/>
          </w:tcPr>
          <w:p w14:paraId="37BD8DC3">
            <w:pPr>
              <w:pStyle w:val="22"/>
              <w:spacing w:before="124" w:line="221" w:lineRule="auto"/>
              <w:jc w:val="center"/>
              <w:rPr>
                <w:rFonts w:ascii="仿宋" w:hAnsi="仿宋" w:eastAsia="仿宋" w:cs="仿宋"/>
              </w:rPr>
            </w:pPr>
            <w:r>
              <w:rPr>
                <w:rFonts w:hint="eastAsia" w:ascii="仿宋" w:hAnsi="仿宋" w:eastAsia="仿宋" w:cs="仿宋"/>
              </w:rPr>
              <w:t>备注</w:t>
            </w:r>
          </w:p>
        </w:tc>
        <w:tc>
          <w:tcPr>
            <w:tcW w:w="6615" w:type="dxa"/>
          </w:tcPr>
          <w:p w14:paraId="768F7FBA">
            <w:pPr>
              <w:rPr>
                <w:rFonts w:ascii="仿宋" w:hAnsi="仿宋" w:eastAsia="仿宋" w:cs="仿宋"/>
              </w:rPr>
            </w:pPr>
          </w:p>
        </w:tc>
      </w:tr>
    </w:tbl>
    <w:p w14:paraId="16B12F73">
      <w:pPr>
        <w:spacing w:before="71" w:line="224" w:lineRule="auto"/>
        <w:ind w:left="771"/>
        <w:rPr>
          <w:rFonts w:ascii="仿宋" w:hAnsi="仿宋" w:eastAsia="仿宋" w:cs="仿宋"/>
          <w:sz w:val="24"/>
          <w:szCs w:val="24"/>
        </w:rPr>
      </w:pPr>
    </w:p>
    <w:p w14:paraId="508E13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注:1、报价一经涂改，应在涂改处加盖单位公章或投标人代表签字或盖章，否则其投标作无效标处理。</w:t>
      </w:r>
    </w:p>
    <w:p w14:paraId="6EC9EB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本次报价以单价报价，投标单位报价超过控制价的为无效标。</w:t>
      </w:r>
    </w:p>
    <w:p w14:paraId="6847CF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3、投标人按格式填列，不得自行更改。否则引起的不利后果由投标人承担。</w:t>
      </w:r>
    </w:p>
    <w:p w14:paraId="3BA4F16A">
      <w:pPr>
        <w:spacing w:line="224" w:lineRule="auto"/>
        <w:ind w:firstLine="480" w:firstLineChars="200"/>
        <w:rPr>
          <w:rFonts w:ascii="仿宋" w:hAnsi="仿宋" w:eastAsia="仿宋" w:cs="仿宋"/>
          <w:sz w:val="24"/>
          <w:szCs w:val="24"/>
          <w:lang w:eastAsia="zh-CN"/>
        </w:rPr>
      </w:pPr>
    </w:p>
    <w:p w14:paraId="53B3E3F6">
      <w:pPr>
        <w:spacing w:before="79" w:line="398" w:lineRule="auto"/>
        <w:ind w:left="2435"/>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056A34DB">
      <w:pPr>
        <w:spacing w:line="219" w:lineRule="auto"/>
        <w:ind w:left="3903"/>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4D0EF9DB">
      <w:pPr>
        <w:pStyle w:val="5"/>
        <w:spacing w:line="243" w:lineRule="auto"/>
        <w:rPr>
          <w:rFonts w:ascii="仿宋" w:hAnsi="仿宋" w:eastAsia="仿宋" w:cs="仿宋"/>
          <w:lang w:eastAsia="zh-CN"/>
        </w:rPr>
      </w:pPr>
    </w:p>
    <w:p w14:paraId="6B9B161F">
      <w:pPr>
        <w:pStyle w:val="5"/>
        <w:spacing w:line="243" w:lineRule="auto"/>
        <w:rPr>
          <w:rFonts w:ascii="仿宋" w:hAnsi="仿宋" w:eastAsia="仿宋" w:cs="仿宋"/>
          <w:lang w:eastAsia="zh-CN"/>
        </w:rPr>
      </w:pPr>
    </w:p>
    <w:p w14:paraId="277841C3">
      <w:pPr>
        <w:pStyle w:val="5"/>
        <w:spacing w:line="243" w:lineRule="auto"/>
        <w:rPr>
          <w:rFonts w:ascii="仿宋" w:hAnsi="仿宋" w:eastAsia="仿宋" w:cs="仿宋"/>
          <w:lang w:eastAsia="zh-CN"/>
        </w:rPr>
      </w:pPr>
    </w:p>
    <w:p w14:paraId="44BE4105">
      <w:pPr>
        <w:pStyle w:val="5"/>
        <w:spacing w:line="243" w:lineRule="auto"/>
        <w:rPr>
          <w:rFonts w:ascii="仿宋" w:hAnsi="仿宋" w:eastAsia="仿宋" w:cs="仿宋"/>
          <w:lang w:eastAsia="zh-CN"/>
        </w:rPr>
      </w:pPr>
    </w:p>
    <w:p w14:paraId="0C80B91A">
      <w:pPr>
        <w:pStyle w:val="5"/>
        <w:spacing w:line="243" w:lineRule="auto"/>
        <w:rPr>
          <w:rFonts w:ascii="仿宋" w:hAnsi="仿宋" w:eastAsia="仿宋" w:cs="仿宋"/>
          <w:lang w:eastAsia="zh-CN"/>
        </w:rPr>
      </w:pPr>
    </w:p>
    <w:p w14:paraId="1AF5A104">
      <w:pPr>
        <w:pStyle w:val="5"/>
        <w:spacing w:line="243" w:lineRule="auto"/>
        <w:rPr>
          <w:rFonts w:ascii="仿宋" w:hAnsi="仿宋" w:eastAsia="仿宋" w:cs="仿宋"/>
          <w:lang w:eastAsia="zh-CN"/>
        </w:rPr>
      </w:pPr>
    </w:p>
    <w:p w14:paraId="47D86255">
      <w:pPr>
        <w:pStyle w:val="5"/>
        <w:spacing w:line="244" w:lineRule="auto"/>
        <w:rPr>
          <w:rFonts w:ascii="仿宋" w:hAnsi="仿宋" w:eastAsia="仿宋" w:cs="仿宋"/>
          <w:lang w:eastAsia="zh-CN"/>
        </w:rPr>
      </w:pPr>
    </w:p>
    <w:p w14:paraId="122C3C5F">
      <w:pPr>
        <w:pStyle w:val="5"/>
        <w:spacing w:line="244" w:lineRule="auto"/>
        <w:rPr>
          <w:rFonts w:ascii="仿宋" w:hAnsi="仿宋" w:eastAsia="仿宋" w:cs="仿宋"/>
          <w:lang w:eastAsia="zh-CN"/>
        </w:rPr>
      </w:pPr>
    </w:p>
    <w:p w14:paraId="41B2BDAD">
      <w:pPr>
        <w:pStyle w:val="5"/>
        <w:spacing w:line="244" w:lineRule="auto"/>
        <w:rPr>
          <w:rFonts w:ascii="仿宋" w:hAnsi="仿宋" w:eastAsia="仿宋" w:cs="仿宋"/>
          <w:lang w:eastAsia="zh-CN"/>
        </w:rPr>
      </w:pPr>
    </w:p>
    <w:p w14:paraId="1183FE44">
      <w:pPr>
        <w:pStyle w:val="5"/>
        <w:spacing w:line="244" w:lineRule="auto"/>
        <w:rPr>
          <w:rFonts w:ascii="仿宋" w:hAnsi="仿宋" w:eastAsia="仿宋" w:cs="仿宋"/>
          <w:lang w:eastAsia="zh-CN"/>
        </w:rPr>
      </w:pPr>
    </w:p>
    <w:p w14:paraId="423FD05F">
      <w:pPr>
        <w:pStyle w:val="5"/>
        <w:spacing w:line="244" w:lineRule="auto"/>
        <w:rPr>
          <w:rFonts w:ascii="仿宋" w:hAnsi="仿宋" w:eastAsia="仿宋" w:cs="仿宋"/>
          <w:lang w:eastAsia="zh-CN"/>
        </w:rPr>
      </w:pPr>
    </w:p>
    <w:p w14:paraId="5D9755D9">
      <w:pPr>
        <w:pStyle w:val="5"/>
        <w:spacing w:line="244" w:lineRule="auto"/>
        <w:rPr>
          <w:rFonts w:ascii="仿宋" w:hAnsi="仿宋" w:eastAsia="仿宋" w:cs="仿宋"/>
          <w:lang w:eastAsia="zh-CN"/>
        </w:rPr>
      </w:pPr>
    </w:p>
    <w:p w14:paraId="21B4486C">
      <w:pPr>
        <w:pStyle w:val="5"/>
        <w:spacing w:line="244" w:lineRule="auto"/>
        <w:rPr>
          <w:rFonts w:ascii="仿宋" w:hAnsi="仿宋" w:eastAsia="仿宋" w:cs="仿宋"/>
          <w:lang w:eastAsia="zh-CN"/>
        </w:rPr>
      </w:pPr>
    </w:p>
    <w:p w14:paraId="2E1C995A">
      <w:pPr>
        <w:pStyle w:val="5"/>
        <w:spacing w:line="244" w:lineRule="auto"/>
        <w:rPr>
          <w:rFonts w:ascii="仿宋" w:hAnsi="仿宋" w:eastAsia="仿宋" w:cs="仿宋"/>
          <w:lang w:eastAsia="zh-CN"/>
        </w:rPr>
      </w:pPr>
    </w:p>
    <w:p w14:paraId="42163571">
      <w:pPr>
        <w:pStyle w:val="5"/>
        <w:spacing w:line="244" w:lineRule="auto"/>
        <w:rPr>
          <w:rFonts w:ascii="仿宋" w:hAnsi="仿宋" w:eastAsia="仿宋" w:cs="仿宋"/>
          <w:lang w:eastAsia="zh-CN"/>
        </w:rPr>
      </w:pPr>
    </w:p>
    <w:p w14:paraId="7B16328B">
      <w:pPr>
        <w:pStyle w:val="5"/>
        <w:spacing w:line="244" w:lineRule="auto"/>
        <w:rPr>
          <w:rFonts w:ascii="仿宋" w:hAnsi="仿宋" w:eastAsia="仿宋" w:cs="仿宋"/>
          <w:lang w:eastAsia="zh-CN"/>
        </w:rPr>
      </w:pPr>
    </w:p>
    <w:p w14:paraId="02F764DC">
      <w:pPr>
        <w:pStyle w:val="5"/>
        <w:spacing w:line="244" w:lineRule="auto"/>
        <w:rPr>
          <w:rFonts w:ascii="仿宋" w:hAnsi="仿宋" w:eastAsia="仿宋" w:cs="仿宋"/>
          <w:lang w:eastAsia="zh-CN"/>
        </w:rPr>
      </w:pPr>
    </w:p>
    <w:p w14:paraId="7E3404C6">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附件4</w:t>
      </w:r>
    </w:p>
    <w:p w14:paraId="0F24CB8A">
      <w:pPr>
        <w:spacing w:before="182" w:line="220" w:lineRule="auto"/>
        <w:ind w:left="2955"/>
        <w:rPr>
          <w:rFonts w:ascii="仿宋" w:hAnsi="仿宋" w:eastAsia="仿宋" w:cs="仿宋"/>
          <w:sz w:val="24"/>
          <w:szCs w:val="24"/>
          <w:lang w:eastAsia="zh-CN"/>
        </w:rPr>
      </w:pPr>
      <w:r>
        <w:rPr>
          <w:rFonts w:hint="eastAsia" w:ascii="仿宋" w:hAnsi="仿宋" w:eastAsia="仿宋" w:cs="仿宋"/>
          <w:b/>
          <w:bCs/>
          <w:sz w:val="24"/>
          <w:szCs w:val="24"/>
          <w:lang w:eastAsia="zh-CN"/>
        </w:rPr>
        <w:t>服务技术响应表</w:t>
      </w:r>
      <w:r>
        <w:rPr>
          <w:rFonts w:hint="eastAsia" w:ascii="仿宋" w:hAnsi="仿宋" w:eastAsia="仿宋" w:cs="仿宋"/>
          <w:sz w:val="24"/>
          <w:szCs w:val="24"/>
          <w:lang w:eastAsia="zh-CN"/>
        </w:rPr>
        <w:t>（格式）</w:t>
      </w:r>
    </w:p>
    <w:p w14:paraId="2AF355D9">
      <w:pPr>
        <w:spacing w:before="25"/>
        <w:rPr>
          <w:rFonts w:ascii="仿宋" w:hAnsi="仿宋" w:eastAsia="仿宋" w:cs="仿宋"/>
          <w:color w:val="auto"/>
          <w:sz w:val="24"/>
          <w:lang w:eastAsia="zh-CN"/>
        </w:rPr>
      </w:pPr>
    </w:p>
    <w:p w14:paraId="4AD628A0">
      <w:pPr>
        <w:spacing w:before="25" w:line="360" w:lineRule="auto"/>
        <w:rPr>
          <w:rFonts w:ascii="仿宋" w:hAnsi="仿宋" w:eastAsia="仿宋" w:cs="仿宋"/>
        </w:rPr>
      </w:pPr>
      <w:r>
        <w:rPr>
          <w:rFonts w:hint="eastAsia" w:ascii="仿宋" w:hAnsi="仿宋" w:eastAsia="仿宋" w:cs="仿宋"/>
          <w:color w:val="auto"/>
          <w:sz w:val="24"/>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标包号：</w:t>
      </w:r>
      <w:r>
        <w:rPr>
          <w:rFonts w:hint="eastAsia" w:ascii="仿宋" w:hAnsi="仿宋" w:eastAsia="仿宋" w:cs="仿宋"/>
          <w:color w:val="auto"/>
          <w:sz w:val="24"/>
          <w:u w:val="single"/>
        </w:rPr>
        <w:t xml:space="preserve">         </w:t>
      </w:r>
    </w:p>
    <w:tbl>
      <w:tblPr>
        <w:tblStyle w:val="21"/>
        <w:tblW w:w="8943"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463"/>
        <w:gridCol w:w="2838"/>
        <w:gridCol w:w="2898"/>
        <w:gridCol w:w="1058"/>
      </w:tblGrid>
      <w:tr w14:paraId="1B60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686" w:type="dxa"/>
            <w:vAlign w:val="center"/>
          </w:tcPr>
          <w:p w14:paraId="6EE46108">
            <w:pPr>
              <w:pStyle w:val="22"/>
              <w:spacing w:before="71" w:line="210" w:lineRule="auto"/>
              <w:jc w:val="center"/>
              <w:rPr>
                <w:rFonts w:ascii="仿宋" w:hAnsi="仿宋" w:eastAsia="仿宋" w:cs="仿宋"/>
              </w:rPr>
            </w:pPr>
            <w:r>
              <w:rPr>
                <w:rFonts w:hint="eastAsia" w:ascii="仿宋" w:hAnsi="仿宋" w:eastAsia="仿宋" w:cs="仿宋"/>
              </w:rPr>
              <w:t>序号</w:t>
            </w:r>
          </w:p>
        </w:tc>
        <w:tc>
          <w:tcPr>
            <w:tcW w:w="1463" w:type="dxa"/>
            <w:vAlign w:val="center"/>
          </w:tcPr>
          <w:p w14:paraId="7035A696">
            <w:pPr>
              <w:pStyle w:val="22"/>
              <w:spacing w:before="78" w:line="220" w:lineRule="auto"/>
              <w:ind w:left="284"/>
              <w:jc w:val="center"/>
              <w:rPr>
                <w:rFonts w:ascii="仿宋" w:hAnsi="仿宋" w:eastAsia="仿宋" w:cs="仿宋"/>
              </w:rPr>
            </w:pPr>
            <w:r>
              <w:rPr>
                <w:rFonts w:hint="eastAsia" w:ascii="仿宋" w:hAnsi="仿宋" w:eastAsia="仿宋" w:cs="仿宋"/>
              </w:rPr>
              <w:t>服务名称</w:t>
            </w:r>
          </w:p>
        </w:tc>
        <w:tc>
          <w:tcPr>
            <w:tcW w:w="2838" w:type="dxa"/>
            <w:vAlign w:val="center"/>
          </w:tcPr>
          <w:p w14:paraId="3E64311C">
            <w:pPr>
              <w:pStyle w:val="22"/>
              <w:spacing w:before="78" w:line="220" w:lineRule="auto"/>
              <w:jc w:val="center"/>
              <w:rPr>
                <w:rFonts w:ascii="仿宋" w:hAnsi="仿宋" w:eastAsia="仿宋" w:cs="仿宋"/>
              </w:rPr>
            </w:pPr>
            <w:r>
              <w:rPr>
                <w:rFonts w:hint="eastAsia" w:ascii="仿宋" w:hAnsi="仿宋" w:eastAsia="仿宋" w:cs="仿宋"/>
              </w:rPr>
              <w:t>招标文件要求</w:t>
            </w:r>
          </w:p>
        </w:tc>
        <w:tc>
          <w:tcPr>
            <w:tcW w:w="2898" w:type="dxa"/>
            <w:vAlign w:val="center"/>
          </w:tcPr>
          <w:p w14:paraId="781E735E">
            <w:pPr>
              <w:pStyle w:val="22"/>
              <w:spacing w:before="78" w:line="220" w:lineRule="auto"/>
              <w:jc w:val="center"/>
              <w:rPr>
                <w:rFonts w:ascii="仿宋" w:hAnsi="仿宋" w:eastAsia="仿宋" w:cs="仿宋"/>
              </w:rPr>
            </w:pPr>
            <w:r>
              <w:rPr>
                <w:rFonts w:hint="eastAsia" w:ascii="仿宋" w:hAnsi="仿宋" w:eastAsia="仿宋" w:cs="仿宋"/>
              </w:rPr>
              <w:t>投标文件响应</w:t>
            </w:r>
          </w:p>
        </w:tc>
        <w:tc>
          <w:tcPr>
            <w:tcW w:w="1058" w:type="dxa"/>
            <w:vAlign w:val="center"/>
          </w:tcPr>
          <w:p w14:paraId="31CD2F1F">
            <w:pPr>
              <w:pStyle w:val="22"/>
              <w:spacing w:before="78"/>
              <w:jc w:val="both"/>
              <w:rPr>
                <w:rFonts w:ascii="仿宋" w:hAnsi="仿宋" w:eastAsia="仿宋" w:cs="仿宋"/>
              </w:rPr>
            </w:pPr>
            <w:r>
              <w:rPr>
                <w:rFonts w:hint="eastAsia" w:ascii="仿宋" w:hAnsi="仿宋" w:eastAsia="仿宋" w:cs="仿宋"/>
              </w:rPr>
              <w:t>偏离情况</w:t>
            </w:r>
          </w:p>
        </w:tc>
      </w:tr>
      <w:tr w14:paraId="7FFC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86" w:type="dxa"/>
          </w:tcPr>
          <w:p w14:paraId="17F96D75">
            <w:pPr>
              <w:spacing w:line="263" w:lineRule="auto"/>
              <w:rPr>
                <w:rFonts w:ascii="仿宋" w:hAnsi="仿宋" w:eastAsia="仿宋" w:cs="仿宋"/>
              </w:rPr>
            </w:pPr>
          </w:p>
          <w:p w14:paraId="0C4C58BF">
            <w:pPr>
              <w:pStyle w:val="22"/>
              <w:spacing w:before="78" w:line="182" w:lineRule="auto"/>
              <w:ind w:left="130"/>
              <w:rPr>
                <w:rFonts w:ascii="仿宋" w:hAnsi="仿宋" w:eastAsia="仿宋" w:cs="仿宋"/>
              </w:rPr>
            </w:pPr>
            <w:r>
              <w:rPr>
                <w:rFonts w:hint="eastAsia" w:ascii="仿宋" w:hAnsi="仿宋" w:eastAsia="仿宋" w:cs="仿宋"/>
              </w:rPr>
              <w:t>1</w:t>
            </w:r>
          </w:p>
        </w:tc>
        <w:tc>
          <w:tcPr>
            <w:tcW w:w="1463" w:type="dxa"/>
          </w:tcPr>
          <w:p w14:paraId="05800B90">
            <w:pPr>
              <w:rPr>
                <w:rFonts w:ascii="仿宋" w:hAnsi="仿宋" w:eastAsia="仿宋" w:cs="仿宋"/>
              </w:rPr>
            </w:pPr>
          </w:p>
        </w:tc>
        <w:tc>
          <w:tcPr>
            <w:tcW w:w="2838" w:type="dxa"/>
          </w:tcPr>
          <w:p w14:paraId="2874AA34">
            <w:pPr>
              <w:rPr>
                <w:rFonts w:ascii="仿宋" w:hAnsi="仿宋" w:eastAsia="仿宋" w:cs="仿宋"/>
              </w:rPr>
            </w:pPr>
          </w:p>
        </w:tc>
        <w:tc>
          <w:tcPr>
            <w:tcW w:w="2898" w:type="dxa"/>
          </w:tcPr>
          <w:p w14:paraId="27779A5C">
            <w:pPr>
              <w:rPr>
                <w:rFonts w:ascii="仿宋" w:hAnsi="仿宋" w:eastAsia="仿宋" w:cs="仿宋"/>
              </w:rPr>
            </w:pPr>
          </w:p>
        </w:tc>
        <w:tc>
          <w:tcPr>
            <w:tcW w:w="1058" w:type="dxa"/>
          </w:tcPr>
          <w:p w14:paraId="591BF29E">
            <w:pPr>
              <w:rPr>
                <w:rFonts w:ascii="仿宋" w:hAnsi="仿宋" w:eastAsia="仿宋" w:cs="仿宋"/>
              </w:rPr>
            </w:pPr>
          </w:p>
        </w:tc>
      </w:tr>
      <w:tr w14:paraId="34B4A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86" w:type="dxa"/>
          </w:tcPr>
          <w:p w14:paraId="6B36F0CF">
            <w:pPr>
              <w:spacing w:line="266" w:lineRule="auto"/>
              <w:rPr>
                <w:rFonts w:ascii="仿宋" w:hAnsi="仿宋" w:eastAsia="仿宋" w:cs="仿宋"/>
              </w:rPr>
            </w:pPr>
          </w:p>
          <w:p w14:paraId="471705C7">
            <w:pPr>
              <w:pStyle w:val="22"/>
              <w:spacing w:before="78" w:line="181" w:lineRule="auto"/>
              <w:ind w:left="115"/>
              <w:rPr>
                <w:rFonts w:ascii="仿宋" w:hAnsi="仿宋" w:eastAsia="仿宋" w:cs="仿宋"/>
              </w:rPr>
            </w:pPr>
            <w:r>
              <w:rPr>
                <w:rFonts w:hint="eastAsia" w:ascii="仿宋" w:hAnsi="仿宋" w:eastAsia="仿宋" w:cs="仿宋"/>
              </w:rPr>
              <w:t>2</w:t>
            </w:r>
          </w:p>
        </w:tc>
        <w:tc>
          <w:tcPr>
            <w:tcW w:w="1463" w:type="dxa"/>
          </w:tcPr>
          <w:p w14:paraId="2AA306C0">
            <w:pPr>
              <w:rPr>
                <w:rFonts w:ascii="仿宋" w:hAnsi="仿宋" w:eastAsia="仿宋" w:cs="仿宋"/>
              </w:rPr>
            </w:pPr>
          </w:p>
        </w:tc>
        <w:tc>
          <w:tcPr>
            <w:tcW w:w="2838" w:type="dxa"/>
          </w:tcPr>
          <w:p w14:paraId="45089DD4">
            <w:pPr>
              <w:rPr>
                <w:rFonts w:ascii="仿宋" w:hAnsi="仿宋" w:eastAsia="仿宋" w:cs="仿宋"/>
              </w:rPr>
            </w:pPr>
          </w:p>
        </w:tc>
        <w:tc>
          <w:tcPr>
            <w:tcW w:w="2898" w:type="dxa"/>
          </w:tcPr>
          <w:p w14:paraId="7DA316D1">
            <w:pPr>
              <w:rPr>
                <w:rFonts w:ascii="仿宋" w:hAnsi="仿宋" w:eastAsia="仿宋" w:cs="仿宋"/>
              </w:rPr>
            </w:pPr>
          </w:p>
        </w:tc>
        <w:tc>
          <w:tcPr>
            <w:tcW w:w="1058" w:type="dxa"/>
          </w:tcPr>
          <w:p w14:paraId="185B6F63">
            <w:pPr>
              <w:rPr>
                <w:rFonts w:ascii="仿宋" w:hAnsi="仿宋" w:eastAsia="仿宋" w:cs="仿宋"/>
              </w:rPr>
            </w:pPr>
          </w:p>
        </w:tc>
      </w:tr>
      <w:tr w14:paraId="281F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86" w:type="dxa"/>
          </w:tcPr>
          <w:p w14:paraId="50342C46">
            <w:pPr>
              <w:spacing w:line="327" w:lineRule="auto"/>
              <w:rPr>
                <w:rFonts w:ascii="仿宋" w:hAnsi="仿宋" w:eastAsia="仿宋" w:cs="仿宋"/>
              </w:rPr>
            </w:pPr>
          </w:p>
          <w:p w14:paraId="5A052A99">
            <w:pPr>
              <w:pStyle w:val="22"/>
              <w:spacing w:before="78" w:line="175" w:lineRule="exact"/>
              <w:ind w:left="127"/>
              <w:rPr>
                <w:rFonts w:ascii="仿宋" w:hAnsi="仿宋" w:eastAsia="仿宋" w:cs="仿宋"/>
              </w:rPr>
            </w:pPr>
            <w:r>
              <w:rPr>
                <w:rFonts w:hint="eastAsia" w:ascii="仿宋" w:hAnsi="仿宋" w:eastAsia="仿宋" w:cs="仿宋"/>
                <w:position w:val="-3"/>
              </w:rPr>
              <w:t>…</w:t>
            </w:r>
          </w:p>
        </w:tc>
        <w:tc>
          <w:tcPr>
            <w:tcW w:w="1463" w:type="dxa"/>
          </w:tcPr>
          <w:p w14:paraId="372D8212">
            <w:pPr>
              <w:rPr>
                <w:rFonts w:ascii="仿宋" w:hAnsi="仿宋" w:eastAsia="仿宋" w:cs="仿宋"/>
              </w:rPr>
            </w:pPr>
          </w:p>
        </w:tc>
        <w:tc>
          <w:tcPr>
            <w:tcW w:w="2838" w:type="dxa"/>
          </w:tcPr>
          <w:p w14:paraId="72B93A02">
            <w:pPr>
              <w:rPr>
                <w:rFonts w:ascii="仿宋" w:hAnsi="仿宋" w:eastAsia="仿宋" w:cs="仿宋"/>
              </w:rPr>
            </w:pPr>
          </w:p>
        </w:tc>
        <w:tc>
          <w:tcPr>
            <w:tcW w:w="2898" w:type="dxa"/>
          </w:tcPr>
          <w:p w14:paraId="4D4F21C6">
            <w:pPr>
              <w:rPr>
                <w:rFonts w:ascii="仿宋" w:hAnsi="仿宋" w:eastAsia="仿宋" w:cs="仿宋"/>
              </w:rPr>
            </w:pPr>
          </w:p>
        </w:tc>
        <w:tc>
          <w:tcPr>
            <w:tcW w:w="1058" w:type="dxa"/>
          </w:tcPr>
          <w:p w14:paraId="07D0A887">
            <w:pPr>
              <w:rPr>
                <w:rFonts w:ascii="仿宋" w:hAnsi="仿宋" w:eastAsia="仿宋" w:cs="仿宋"/>
              </w:rPr>
            </w:pPr>
          </w:p>
        </w:tc>
      </w:tr>
      <w:tr w14:paraId="4C4B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149" w:type="dxa"/>
            <w:gridSpan w:val="2"/>
          </w:tcPr>
          <w:p w14:paraId="5B9BCA56">
            <w:pPr>
              <w:pStyle w:val="22"/>
              <w:spacing w:before="191" w:line="220" w:lineRule="auto"/>
              <w:ind w:left="500"/>
              <w:rPr>
                <w:rFonts w:ascii="仿宋" w:hAnsi="仿宋" w:eastAsia="仿宋" w:cs="仿宋"/>
              </w:rPr>
            </w:pPr>
            <w:r>
              <w:rPr>
                <w:rFonts w:hint="eastAsia" w:ascii="仿宋" w:hAnsi="仿宋" w:eastAsia="仿宋" w:cs="仿宋"/>
              </w:rPr>
              <w:t>质量标准</w:t>
            </w:r>
          </w:p>
        </w:tc>
        <w:tc>
          <w:tcPr>
            <w:tcW w:w="6794" w:type="dxa"/>
            <w:gridSpan w:val="3"/>
          </w:tcPr>
          <w:p w14:paraId="4ECF2244">
            <w:pPr>
              <w:rPr>
                <w:rFonts w:ascii="仿宋" w:hAnsi="仿宋" w:eastAsia="仿宋" w:cs="仿宋"/>
              </w:rPr>
            </w:pPr>
          </w:p>
        </w:tc>
      </w:tr>
      <w:tr w14:paraId="5CDCF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149" w:type="dxa"/>
            <w:gridSpan w:val="2"/>
          </w:tcPr>
          <w:p w14:paraId="1B65AE91">
            <w:pPr>
              <w:pStyle w:val="22"/>
              <w:spacing w:before="211" w:line="220" w:lineRule="auto"/>
              <w:ind w:left="138"/>
              <w:rPr>
                <w:rFonts w:ascii="仿宋" w:hAnsi="仿宋" w:eastAsia="仿宋" w:cs="仿宋"/>
              </w:rPr>
            </w:pPr>
            <w:r>
              <w:rPr>
                <w:rFonts w:hint="eastAsia" w:ascii="仿宋" w:hAnsi="仿宋" w:eastAsia="仿宋" w:cs="仿宋"/>
              </w:rPr>
              <w:t>验收条件及标准</w:t>
            </w:r>
          </w:p>
        </w:tc>
        <w:tc>
          <w:tcPr>
            <w:tcW w:w="6794" w:type="dxa"/>
            <w:gridSpan w:val="3"/>
          </w:tcPr>
          <w:p w14:paraId="390FBD74">
            <w:pPr>
              <w:rPr>
                <w:rFonts w:ascii="仿宋" w:hAnsi="仿宋" w:eastAsia="仿宋" w:cs="仿宋"/>
              </w:rPr>
            </w:pPr>
          </w:p>
        </w:tc>
      </w:tr>
      <w:tr w14:paraId="6D9EB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2149" w:type="dxa"/>
            <w:gridSpan w:val="2"/>
          </w:tcPr>
          <w:p w14:paraId="76FF1B58">
            <w:pPr>
              <w:spacing w:line="292" w:lineRule="auto"/>
              <w:rPr>
                <w:rFonts w:ascii="仿宋" w:hAnsi="仿宋" w:eastAsia="仿宋" w:cs="仿宋"/>
              </w:rPr>
            </w:pPr>
          </w:p>
          <w:p w14:paraId="769F0FEE">
            <w:pPr>
              <w:pStyle w:val="22"/>
              <w:spacing w:before="78" w:line="175" w:lineRule="exact"/>
              <w:ind w:left="874"/>
              <w:rPr>
                <w:rFonts w:ascii="仿宋" w:hAnsi="仿宋" w:eastAsia="仿宋" w:cs="仿宋"/>
              </w:rPr>
            </w:pPr>
            <w:r>
              <w:rPr>
                <w:rFonts w:hint="eastAsia" w:ascii="仿宋" w:hAnsi="仿宋" w:eastAsia="仿宋" w:cs="仿宋"/>
                <w:position w:val="-3"/>
              </w:rPr>
              <w:t>…</w:t>
            </w:r>
          </w:p>
        </w:tc>
        <w:tc>
          <w:tcPr>
            <w:tcW w:w="6794" w:type="dxa"/>
            <w:gridSpan w:val="3"/>
          </w:tcPr>
          <w:p w14:paraId="6D070A04">
            <w:pPr>
              <w:rPr>
                <w:rFonts w:ascii="仿宋" w:hAnsi="仿宋" w:eastAsia="仿宋" w:cs="仿宋"/>
              </w:rPr>
            </w:pPr>
          </w:p>
        </w:tc>
      </w:tr>
    </w:tbl>
    <w:p w14:paraId="3793042D">
      <w:pPr>
        <w:pStyle w:val="5"/>
        <w:rPr>
          <w:rFonts w:ascii="仿宋" w:hAnsi="仿宋" w:eastAsia="仿宋" w:cs="仿宋"/>
        </w:rPr>
      </w:pPr>
    </w:p>
    <w:p w14:paraId="269CCD65">
      <w:pPr>
        <w:spacing w:before="157" w:line="220" w:lineRule="auto"/>
        <w:ind w:left="127"/>
        <w:rPr>
          <w:rFonts w:ascii="仿宋" w:hAnsi="仿宋" w:eastAsia="仿宋" w:cs="仿宋"/>
          <w:sz w:val="24"/>
          <w:szCs w:val="24"/>
          <w:lang w:eastAsia="zh-CN"/>
        </w:rPr>
      </w:pPr>
      <w:r>
        <w:rPr>
          <w:rFonts w:hint="eastAsia" w:ascii="仿宋" w:hAnsi="仿宋" w:eastAsia="仿宋" w:cs="仿宋"/>
          <w:sz w:val="24"/>
          <w:szCs w:val="24"/>
          <w:lang w:eastAsia="zh-CN"/>
        </w:rPr>
        <w:t>注：投标人必须如实完整填写表格，</w:t>
      </w:r>
    </w:p>
    <w:p w14:paraId="5C0CCE1F">
      <w:pPr>
        <w:spacing w:before="181" w:line="220" w:lineRule="auto"/>
        <w:ind w:left="110"/>
        <w:rPr>
          <w:rFonts w:ascii="仿宋" w:hAnsi="仿宋" w:eastAsia="仿宋" w:cs="仿宋"/>
          <w:sz w:val="24"/>
          <w:szCs w:val="24"/>
          <w:lang w:eastAsia="zh-CN"/>
        </w:rPr>
      </w:pPr>
      <w:r>
        <w:rPr>
          <w:rFonts w:hint="eastAsia" w:ascii="仿宋" w:hAnsi="仿宋" w:eastAsia="仿宋" w:cs="仿宋"/>
          <w:sz w:val="24"/>
          <w:szCs w:val="24"/>
          <w:lang w:eastAsia="zh-CN"/>
        </w:rPr>
        <w:t>“偏离情况”是指“正偏离”、“负偏离”或“无偏离”。</w:t>
      </w:r>
    </w:p>
    <w:p w14:paraId="3317CDB9">
      <w:pPr>
        <w:pStyle w:val="5"/>
        <w:spacing w:line="270" w:lineRule="auto"/>
        <w:rPr>
          <w:rFonts w:ascii="仿宋" w:hAnsi="仿宋" w:eastAsia="仿宋" w:cs="仿宋"/>
          <w:lang w:eastAsia="zh-CN"/>
        </w:rPr>
      </w:pPr>
    </w:p>
    <w:p w14:paraId="4F0DA7F9">
      <w:pPr>
        <w:pStyle w:val="5"/>
        <w:spacing w:line="271" w:lineRule="auto"/>
        <w:rPr>
          <w:rFonts w:ascii="仿宋" w:hAnsi="仿宋" w:eastAsia="仿宋" w:cs="仿宋"/>
          <w:lang w:eastAsia="zh-CN"/>
        </w:rPr>
      </w:pPr>
    </w:p>
    <w:p w14:paraId="5FADAED0">
      <w:pPr>
        <w:spacing w:before="78" w:line="419" w:lineRule="auto"/>
        <w:ind w:left="3490"/>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2EF44837">
      <w:pPr>
        <w:spacing w:line="219" w:lineRule="auto"/>
        <w:ind w:left="4568"/>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2317D770">
      <w:pPr>
        <w:pStyle w:val="5"/>
        <w:spacing w:line="249" w:lineRule="auto"/>
        <w:rPr>
          <w:rFonts w:ascii="仿宋" w:hAnsi="仿宋" w:eastAsia="仿宋" w:cs="仿宋"/>
          <w:lang w:eastAsia="zh-CN"/>
        </w:rPr>
      </w:pPr>
    </w:p>
    <w:p w14:paraId="68F86860">
      <w:pPr>
        <w:pStyle w:val="5"/>
        <w:spacing w:line="249" w:lineRule="auto"/>
        <w:rPr>
          <w:rFonts w:ascii="仿宋" w:hAnsi="仿宋" w:eastAsia="仿宋" w:cs="仿宋"/>
          <w:lang w:eastAsia="zh-CN"/>
        </w:rPr>
      </w:pPr>
    </w:p>
    <w:p w14:paraId="15DE6021">
      <w:pPr>
        <w:pStyle w:val="5"/>
        <w:spacing w:line="249" w:lineRule="auto"/>
        <w:rPr>
          <w:rFonts w:ascii="仿宋" w:hAnsi="仿宋" w:eastAsia="仿宋" w:cs="仿宋"/>
          <w:lang w:eastAsia="zh-CN"/>
        </w:rPr>
      </w:pPr>
    </w:p>
    <w:p w14:paraId="1C7C63F5">
      <w:pPr>
        <w:pStyle w:val="5"/>
        <w:spacing w:line="249" w:lineRule="auto"/>
        <w:rPr>
          <w:rFonts w:ascii="仿宋" w:hAnsi="仿宋" w:eastAsia="仿宋" w:cs="仿宋"/>
          <w:lang w:eastAsia="zh-CN"/>
        </w:rPr>
      </w:pPr>
    </w:p>
    <w:p w14:paraId="12C52EB2">
      <w:pPr>
        <w:pStyle w:val="5"/>
        <w:spacing w:line="249" w:lineRule="auto"/>
        <w:rPr>
          <w:rFonts w:ascii="仿宋" w:hAnsi="仿宋" w:eastAsia="仿宋" w:cs="仿宋"/>
          <w:lang w:eastAsia="zh-CN"/>
        </w:rPr>
      </w:pPr>
    </w:p>
    <w:p w14:paraId="635E9CA1">
      <w:pPr>
        <w:pStyle w:val="5"/>
        <w:spacing w:line="249" w:lineRule="auto"/>
        <w:rPr>
          <w:rFonts w:ascii="仿宋" w:hAnsi="仿宋" w:eastAsia="仿宋" w:cs="仿宋"/>
          <w:lang w:eastAsia="zh-CN"/>
        </w:rPr>
      </w:pPr>
    </w:p>
    <w:p w14:paraId="5128E930">
      <w:pPr>
        <w:pStyle w:val="5"/>
        <w:spacing w:line="249" w:lineRule="auto"/>
        <w:rPr>
          <w:rFonts w:ascii="仿宋" w:hAnsi="仿宋" w:eastAsia="仿宋" w:cs="仿宋"/>
          <w:lang w:eastAsia="zh-CN"/>
        </w:rPr>
      </w:pPr>
    </w:p>
    <w:p w14:paraId="0614E65F">
      <w:pPr>
        <w:pStyle w:val="5"/>
        <w:spacing w:line="249" w:lineRule="auto"/>
        <w:rPr>
          <w:rFonts w:ascii="仿宋" w:hAnsi="仿宋" w:eastAsia="仿宋" w:cs="仿宋"/>
          <w:lang w:eastAsia="zh-CN"/>
        </w:rPr>
      </w:pPr>
    </w:p>
    <w:p w14:paraId="76B6EA07">
      <w:pPr>
        <w:pStyle w:val="5"/>
        <w:spacing w:line="249" w:lineRule="auto"/>
        <w:rPr>
          <w:rFonts w:ascii="仿宋" w:hAnsi="仿宋" w:eastAsia="仿宋" w:cs="仿宋"/>
          <w:lang w:eastAsia="zh-CN"/>
        </w:rPr>
      </w:pPr>
    </w:p>
    <w:p w14:paraId="5269DAA3">
      <w:pPr>
        <w:pStyle w:val="6"/>
        <w:rPr>
          <w:rFonts w:ascii="仿宋" w:hAnsi="仿宋" w:eastAsia="仿宋" w:cs="仿宋"/>
        </w:rPr>
      </w:pPr>
    </w:p>
    <w:p w14:paraId="0487F003">
      <w:pPr>
        <w:pStyle w:val="5"/>
        <w:spacing w:line="249" w:lineRule="auto"/>
        <w:rPr>
          <w:rFonts w:ascii="仿宋" w:hAnsi="仿宋" w:eastAsia="仿宋" w:cs="仿宋"/>
          <w:lang w:eastAsia="zh-CN"/>
        </w:rPr>
      </w:pPr>
    </w:p>
    <w:p w14:paraId="60A7A687">
      <w:pPr>
        <w:pStyle w:val="5"/>
        <w:spacing w:line="250" w:lineRule="auto"/>
        <w:rPr>
          <w:rFonts w:ascii="仿宋" w:hAnsi="仿宋" w:eastAsia="仿宋" w:cs="仿宋"/>
          <w:lang w:eastAsia="zh-CN"/>
        </w:rPr>
      </w:pPr>
    </w:p>
    <w:p w14:paraId="391A48F3">
      <w:pPr>
        <w:spacing w:before="79"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附件5</w:t>
      </w:r>
    </w:p>
    <w:p w14:paraId="15895B8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sz w:val="24"/>
          <w:szCs w:val="24"/>
          <w:lang w:eastAsia="zh-CN"/>
        </w:rPr>
      </w:pPr>
      <w:r>
        <w:rPr>
          <w:rFonts w:hint="eastAsia" w:ascii="仿宋" w:hAnsi="仿宋" w:eastAsia="仿宋" w:cs="仿宋"/>
          <w:b/>
          <w:bCs/>
          <w:sz w:val="24"/>
          <w:szCs w:val="24"/>
          <w:lang w:eastAsia="zh-CN"/>
        </w:rPr>
        <w:t>商务响应表</w:t>
      </w:r>
      <w:r>
        <w:rPr>
          <w:rFonts w:hint="eastAsia" w:ascii="仿宋" w:hAnsi="仿宋" w:eastAsia="仿宋" w:cs="仿宋"/>
          <w:sz w:val="24"/>
          <w:szCs w:val="24"/>
          <w:lang w:eastAsia="zh-CN"/>
        </w:rPr>
        <w:t>（格式）</w:t>
      </w:r>
    </w:p>
    <w:p w14:paraId="66A1A93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rPr>
      </w:pPr>
      <w:r>
        <w:rPr>
          <w:rFonts w:hint="eastAsia" w:ascii="仿宋" w:hAnsi="仿宋" w:eastAsia="仿宋" w:cs="仿宋"/>
          <w:color w:val="auto"/>
          <w:sz w:val="24"/>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标包号：</w:t>
      </w:r>
      <w:r>
        <w:rPr>
          <w:rFonts w:hint="eastAsia" w:ascii="仿宋" w:hAnsi="仿宋" w:eastAsia="仿宋" w:cs="仿宋"/>
          <w:color w:val="auto"/>
          <w:sz w:val="24"/>
          <w:u w:val="single"/>
        </w:rPr>
        <w:t xml:space="preserve">         </w:t>
      </w:r>
    </w:p>
    <w:tbl>
      <w:tblPr>
        <w:tblStyle w:val="21"/>
        <w:tblW w:w="847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56"/>
        <w:gridCol w:w="2121"/>
        <w:gridCol w:w="2122"/>
        <w:gridCol w:w="2272"/>
      </w:tblGrid>
      <w:tr w14:paraId="36B20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956" w:type="dxa"/>
            <w:tcBorders>
              <w:right w:val="single" w:color="000000" w:sz="4" w:space="0"/>
            </w:tcBorders>
          </w:tcPr>
          <w:p w14:paraId="311AAE71">
            <w:pPr>
              <w:pStyle w:val="22"/>
              <w:spacing w:before="172" w:line="220" w:lineRule="auto"/>
              <w:ind w:left="738"/>
              <w:rPr>
                <w:rFonts w:ascii="仿宋" w:hAnsi="仿宋" w:eastAsia="仿宋" w:cs="仿宋"/>
              </w:rPr>
            </w:pPr>
            <w:r>
              <w:rPr>
                <w:rFonts w:hint="eastAsia" w:ascii="仿宋" w:hAnsi="仿宋" w:eastAsia="仿宋" w:cs="仿宋"/>
              </w:rPr>
              <w:t>项目</w:t>
            </w:r>
          </w:p>
        </w:tc>
        <w:tc>
          <w:tcPr>
            <w:tcW w:w="2121" w:type="dxa"/>
            <w:tcBorders>
              <w:left w:val="single" w:color="000000" w:sz="4" w:space="0"/>
              <w:right w:val="single" w:color="000000" w:sz="4" w:space="0"/>
            </w:tcBorders>
          </w:tcPr>
          <w:p w14:paraId="7E88D0EA">
            <w:pPr>
              <w:pStyle w:val="22"/>
              <w:spacing w:before="250" w:line="200" w:lineRule="auto"/>
              <w:ind w:left="343"/>
              <w:rPr>
                <w:rFonts w:ascii="仿宋" w:hAnsi="仿宋" w:eastAsia="仿宋" w:cs="仿宋"/>
              </w:rPr>
            </w:pPr>
            <w:r>
              <w:rPr>
                <w:rFonts w:hint="eastAsia" w:ascii="仿宋" w:hAnsi="仿宋" w:eastAsia="仿宋" w:cs="仿宋"/>
              </w:rPr>
              <w:t>招标文件要求</w:t>
            </w:r>
          </w:p>
        </w:tc>
        <w:tc>
          <w:tcPr>
            <w:tcW w:w="2122" w:type="dxa"/>
            <w:tcBorders>
              <w:left w:val="single" w:color="000000" w:sz="4" w:space="0"/>
              <w:right w:val="single" w:color="000000" w:sz="4" w:space="0"/>
            </w:tcBorders>
          </w:tcPr>
          <w:p w14:paraId="078A329F">
            <w:pPr>
              <w:pStyle w:val="22"/>
              <w:spacing w:before="250" w:line="200" w:lineRule="auto"/>
              <w:ind w:left="591"/>
              <w:rPr>
                <w:rFonts w:ascii="仿宋" w:hAnsi="仿宋" w:eastAsia="仿宋" w:cs="仿宋"/>
              </w:rPr>
            </w:pPr>
            <w:r>
              <w:rPr>
                <w:rFonts w:hint="eastAsia" w:ascii="仿宋" w:hAnsi="仿宋" w:eastAsia="仿宋" w:cs="仿宋"/>
              </w:rPr>
              <w:t>是否响应</w:t>
            </w:r>
          </w:p>
        </w:tc>
        <w:tc>
          <w:tcPr>
            <w:tcW w:w="2272" w:type="dxa"/>
            <w:tcBorders>
              <w:left w:val="single" w:color="000000" w:sz="4" w:space="0"/>
            </w:tcBorders>
          </w:tcPr>
          <w:p w14:paraId="6EAB083C">
            <w:pPr>
              <w:pStyle w:val="22"/>
              <w:spacing w:before="250" w:line="200" w:lineRule="auto"/>
              <w:ind w:left="63"/>
              <w:rPr>
                <w:rFonts w:ascii="仿宋" w:hAnsi="仿宋" w:eastAsia="仿宋" w:cs="仿宋"/>
              </w:rPr>
            </w:pPr>
            <w:r>
              <w:rPr>
                <w:rFonts w:hint="eastAsia" w:ascii="仿宋" w:hAnsi="仿宋" w:eastAsia="仿宋" w:cs="仿宋"/>
              </w:rPr>
              <w:t>投标人的承诺或说明</w:t>
            </w:r>
          </w:p>
        </w:tc>
      </w:tr>
      <w:tr w14:paraId="634D2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1956" w:type="dxa"/>
            <w:tcBorders>
              <w:right w:val="single" w:color="000000" w:sz="4" w:space="0"/>
            </w:tcBorders>
            <w:vAlign w:val="center"/>
          </w:tcPr>
          <w:p w14:paraId="4B36DEDD">
            <w:pPr>
              <w:pStyle w:val="22"/>
              <w:spacing w:before="154" w:line="220" w:lineRule="auto"/>
              <w:jc w:val="center"/>
              <w:rPr>
                <w:rFonts w:ascii="仿宋" w:hAnsi="仿宋" w:eastAsia="仿宋" w:cs="仿宋"/>
              </w:rPr>
            </w:pPr>
          </w:p>
        </w:tc>
        <w:tc>
          <w:tcPr>
            <w:tcW w:w="2121" w:type="dxa"/>
            <w:tcBorders>
              <w:left w:val="single" w:color="000000" w:sz="4" w:space="0"/>
              <w:right w:val="single" w:color="000000" w:sz="4" w:space="0"/>
            </w:tcBorders>
          </w:tcPr>
          <w:p w14:paraId="0B4C7F67">
            <w:pPr>
              <w:rPr>
                <w:rFonts w:ascii="仿宋" w:hAnsi="仿宋" w:eastAsia="仿宋" w:cs="仿宋"/>
              </w:rPr>
            </w:pPr>
          </w:p>
        </w:tc>
        <w:tc>
          <w:tcPr>
            <w:tcW w:w="2122" w:type="dxa"/>
            <w:tcBorders>
              <w:left w:val="single" w:color="000000" w:sz="4" w:space="0"/>
              <w:right w:val="single" w:color="000000" w:sz="4" w:space="0"/>
            </w:tcBorders>
          </w:tcPr>
          <w:p w14:paraId="377F17D3">
            <w:pPr>
              <w:rPr>
                <w:rFonts w:ascii="仿宋" w:hAnsi="仿宋" w:eastAsia="仿宋" w:cs="仿宋"/>
              </w:rPr>
            </w:pPr>
          </w:p>
        </w:tc>
        <w:tc>
          <w:tcPr>
            <w:tcW w:w="2272" w:type="dxa"/>
            <w:tcBorders>
              <w:left w:val="single" w:color="000000" w:sz="4" w:space="0"/>
            </w:tcBorders>
          </w:tcPr>
          <w:p w14:paraId="462896D8">
            <w:pPr>
              <w:rPr>
                <w:rFonts w:ascii="仿宋" w:hAnsi="仿宋" w:eastAsia="仿宋" w:cs="仿宋"/>
              </w:rPr>
            </w:pPr>
          </w:p>
        </w:tc>
      </w:tr>
      <w:tr w14:paraId="1E734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trPr>
        <w:tc>
          <w:tcPr>
            <w:tcW w:w="1956" w:type="dxa"/>
            <w:tcBorders>
              <w:right w:val="single" w:color="000000" w:sz="4" w:space="0"/>
            </w:tcBorders>
            <w:vAlign w:val="center"/>
          </w:tcPr>
          <w:p w14:paraId="5DEEB00A">
            <w:pPr>
              <w:pStyle w:val="22"/>
              <w:spacing w:before="118" w:line="220" w:lineRule="auto"/>
              <w:jc w:val="center"/>
              <w:rPr>
                <w:rFonts w:ascii="仿宋" w:hAnsi="仿宋" w:eastAsia="仿宋" w:cs="仿宋"/>
              </w:rPr>
            </w:pPr>
          </w:p>
        </w:tc>
        <w:tc>
          <w:tcPr>
            <w:tcW w:w="2121" w:type="dxa"/>
            <w:tcBorders>
              <w:left w:val="single" w:color="000000" w:sz="4" w:space="0"/>
              <w:right w:val="single" w:color="000000" w:sz="4" w:space="0"/>
            </w:tcBorders>
          </w:tcPr>
          <w:p w14:paraId="6510562A">
            <w:pPr>
              <w:rPr>
                <w:rFonts w:ascii="仿宋" w:hAnsi="仿宋" w:eastAsia="仿宋" w:cs="仿宋"/>
              </w:rPr>
            </w:pPr>
          </w:p>
        </w:tc>
        <w:tc>
          <w:tcPr>
            <w:tcW w:w="2122" w:type="dxa"/>
            <w:tcBorders>
              <w:left w:val="single" w:color="000000" w:sz="4" w:space="0"/>
              <w:right w:val="single" w:color="000000" w:sz="4" w:space="0"/>
            </w:tcBorders>
          </w:tcPr>
          <w:p w14:paraId="669787C0">
            <w:pPr>
              <w:rPr>
                <w:rFonts w:ascii="仿宋" w:hAnsi="仿宋" w:eastAsia="仿宋" w:cs="仿宋"/>
              </w:rPr>
            </w:pPr>
          </w:p>
        </w:tc>
        <w:tc>
          <w:tcPr>
            <w:tcW w:w="2272" w:type="dxa"/>
            <w:tcBorders>
              <w:left w:val="single" w:color="000000" w:sz="4" w:space="0"/>
            </w:tcBorders>
          </w:tcPr>
          <w:p w14:paraId="6E27FB84">
            <w:pPr>
              <w:rPr>
                <w:rFonts w:ascii="仿宋" w:hAnsi="仿宋" w:eastAsia="仿宋" w:cs="仿宋"/>
              </w:rPr>
            </w:pPr>
          </w:p>
        </w:tc>
      </w:tr>
      <w:tr w14:paraId="66D54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956" w:type="dxa"/>
            <w:tcBorders>
              <w:right w:val="single" w:color="000000" w:sz="4" w:space="0"/>
            </w:tcBorders>
            <w:vAlign w:val="center"/>
          </w:tcPr>
          <w:p w14:paraId="2B4588F9">
            <w:pPr>
              <w:pStyle w:val="22"/>
              <w:spacing w:before="99" w:line="222" w:lineRule="auto"/>
              <w:jc w:val="center"/>
              <w:rPr>
                <w:rFonts w:ascii="仿宋" w:hAnsi="仿宋" w:eastAsia="仿宋" w:cs="仿宋"/>
              </w:rPr>
            </w:pPr>
          </w:p>
        </w:tc>
        <w:tc>
          <w:tcPr>
            <w:tcW w:w="2121" w:type="dxa"/>
            <w:tcBorders>
              <w:left w:val="single" w:color="000000" w:sz="4" w:space="0"/>
              <w:right w:val="single" w:color="000000" w:sz="4" w:space="0"/>
            </w:tcBorders>
          </w:tcPr>
          <w:p w14:paraId="7967EA72">
            <w:pPr>
              <w:rPr>
                <w:rFonts w:ascii="仿宋" w:hAnsi="仿宋" w:eastAsia="仿宋" w:cs="仿宋"/>
              </w:rPr>
            </w:pPr>
          </w:p>
        </w:tc>
        <w:tc>
          <w:tcPr>
            <w:tcW w:w="2122" w:type="dxa"/>
            <w:tcBorders>
              <w:left w:val="single" w:color="000000" w:sz="4" w:space="0"/>
              <w:right w:val="single" w:color="000000" w:sz="4" w:space="0"/>
            </w:tcBorders>
          </w:tcPr>
          <w:p w14:paraId="16695421">
            <w:pPr>
              <w:rPr>
                <w:rFonts w:ascii="仿宋" w:hAnsi="仿宋" w:eastAsia="仿宋" w:cs="仿宋"/>
              </w:rPr>
            </w:pPr>
          </w:p>
        </w:tc>
        <w:tc>
          <w:tcPr>
            <w:tcW w:w="2272" w:type="dxa"/>
            <w:tcBorders>
              <w:left w:val="single" w:color="000000" w:sz="4" w:space="0"/>
            </w:tcBorders>
          </w:tcPr>
          <w:p w14:paraId="0487C062">
            <w:pPr>
              <w:rPr>
                <w:rFonts w:ascii="仿宋" w:hAnsi="仿宋" w:eastAsia="仿宋" w:cs="仿宋"/>
              </w:rPr>
            </w:pPr>
          </w:p>
        </w:tc>
      </w:tr>
      <w:tr w14:paraId="38402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1FB55121">
            <w:pPr>
              <w:pStyle w:val="22"/>
              <w:spacing w:before="78" w:line="220" w:lineRule="auto"/>
              <w:jc w:val="center"/>
              <w:rPr>
                <w:rFonts w:ascii="仿宋" w:hAnsi="仿宋" w:eastAsia="仿宋" w:cs="仿宋"/>
              </w:rPr>
            </w:pPr>
          </w:p>
        </w:tc>
        <w:tc>
          <w:tcPr>
            <w:tcW w:w="2121" w:type="dxa"/>
            <w:tcBorders>
              <w:left w:val="single" w:color="000000" w:sz="4" w:space="0"/>
              <w:right w:val="single" w:color="000000" w:sz="4" w:space="0"/>
            </w:tcBorders>
          </w:tcPr>
          <w:p w14:paraId="723DE7BF">
            <w:pPr>
              <w:rPr>
                <w:rFonts w:ascii="仿宋" w:hAnsi="仿宋" w:eastAsia="仿宋" w:cs="仿宋"/>
              </w:rPr>
            </w:pPr>
          </w:p>
        </w:tc>
        <w:tc>
          <w:tcPr>
            <w:tcW w:w="2122" w:type="dxa"/>
            <w:tcBorders>
              <w:left w:val="single" w:color="000000" w:sz="4" w:space="0"/>
              <w:right w:val="single" w:color="000000" w:sz="4" w:space="0"/>
            </w:tcBorders>
          </w:tcPr>
          <w:p w14:paraId="6966B293">
            <w:pPr>
              <w:rPr>
                <w:rFonts w:ascii="仿宋" w:hAnsi="仿宋" w:eastAsia="仿宋" w:cs="仿宋"/>
              </w:rPr>
            </w:pPr>
          </w:p>
        </w:tc>
        <w:tc>
          <w:tcPr>
            <w:tcW w:w="2272" w:type="dxa"/>
            <w:tcBorders>
              <w:left w:val="single" w:color="000000" w:sz="4" w:space="0"/>
            </w:tcBorders>
          </w:tcPr>
          <w:p w14:paraId="4EFB43F6">
            <w:pPr>
              <w:rPr>
                <w:rFonts w:ascii="仿宋" w:hAnsi="仿宋" w:eastAsia="仿宋" w:cs="仿宋"/>
              </w:rPr>
            </w:pPr>
          </w:p>
        </w:tc>
      </w:tr>
      <w:tr w14:paraId="03AD5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108E1BD1">
            <w:pPr>
              <w:pStyle w:val="22"/>
              <w:spacing w:before="78" w:line="220" w:lineRule="auto"/>
              <w:jc w:val="center"/>
              <w:rPr>
                <w:rFonts w:ascii="仿宋" w:hAnsi="仿宋" w:eastAsia="仿宋" w:cs="仿宋"/>
              </w:rPr>
            </w:pPr>
          </w:p>
        </w:tc>
        <w:tc>
          <w:tcPr>
            <w:tcW w:w="2121" w:type="dxa"/>
            <w:tcBorders>
              <w:left w:val="single" w:color="000000" w:sz="4" w:space="0"/>
              <w:right w:val="single" w:color="000000" w:sz="4" w:space="0"/>
            </w:tcBorders>
          </w:tcPr>
          <w:p w14:paraId="34F32366">
            <w:pPr>
              <w:rPr>
                <w:rFonts w:ascii="仿宋" w:hAnsi="仿宋" w:eastAsia="仿宋" w:cs="仿宋"/>
              </w:rPr>
            </w:pPr>
          </w:p>
        </w:tc>
        <w:tc>
          <w:tcPr>
            <w:tcW w:w="2122" w:type="dxa"/>
            <w:tcBorders>
              <w:left w:val="single" w:color="000000" w:sz="4" w:space="0"/>
              <w:right w:val="single" w:color="000000" w:sz="4" w:space="0"/>
            </w:tcBorders>
          </w:tcPr>
          <w:p w14:paraId="16A55A0B">
            <w:pPr>
              <w:rPr>
                <w:rFonts w:ascii="仿宋" w:hAnsi="仿宋" w:eastAsia="仿宋" w:cs="仿宋"/>
              </w:rPr>
            </w:pPr>
          </w:p>
        </w:tc>
        <w:tc>
          <w:tcPr>
            <w:tcW w:w="2272" w:type="dxa"/>
            <w:tcBorders>
              <w:left w:val="single" w:color="000000" w:sz="4" w:space="0"/>
            </w:tcBorders>
          </w:tcPr>
          <w:p w14:paraId="6E8E8C24">
            <w:pPr>
              <w:rPr>
                <w:rFonts w:ascii="仿宋" w:hAnsi="仿宋" w:eastAsia="仿宋" w:cs="仿宋"/>
              </w:rPr>
            </w:pPr>
          </w:p>
        </w:tc>
      </w:tr>
      <w:tr w14:paraId="34D33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63876737">
            <w:pPr>
              <w:pStyle w:val="22"/>
              <w:spacing w:before="78" w:line="220" w:lineRule="auto"/>
              <w:jc w:val="center"/>
              <w:rPr>
                <w:rFonts w:ascii="仿宋" w:hAnsi="仿宋" w:eastAsia="仿宋" w:cs="仿宋"/>
              </w:rPr>
            </w:pPr>
          </w:p>
        </w:tc>
        <w:tc>
          <w:tcPr>
            <w:tcW w:w="2121" w:type="dxa"/>
            <w:tcBorders>
              <w:left w:val="single" w:color="000000" w:sz="4" w:space="0"/>
              <w:right w:val="single" w:color="000000" w:sz="4" w:space="0"/>
            </w:tcBorders>
          </w:tcPr>
          <w:p w14:paraId="670A2074">
            <w:pPr>
              <w:rPr>
                <w:rFonts w:ascii="仿宋" w:hAnsi="仿宋" w:eastAsia="仿宋" w:cs="仿宋"/>
              </w:rPr>
            </w:pPr>
          </w:p>
        </w:tc>
        <w:tc>
          <w:tcPr>
            <w:tcW w:w="2122" w:type="dxa"/>
            <w:tcBorders>
              <w:left w:val="single" w:color="000000" w:sz="4" w:space="0"/>
              <w:right w:val="single" w:color="000000" w:sz="4" w:space="0"/>
            </w:tcBorders>
          </w:tcPr>
          <w:p w14:paraId="2B651B71">
            <w:pPr>
              <w:rPr>
                <w:rFonts w:ascii="仿宋" w:hAnsi="仿宋" w:eastAsia="仿宋" w:cs="仿宋"/>
              </w:rPr>
            </w:pPr>
          </w:p>
        </w:tc>
        <w:tc>
          <w:tcPr>
            <w:tcW w:w="2272" w:type="dxa"/>
            <w:tcBorders>
              <w:left w:val="single" w:color="000000" w:sz="4" w:space="0"/>
            </w:tcBorders>
          </w:tcPr>
          <w:p w14:paraId="3098BEFF">
            <w:pPr>
              <w:rPr>
                <w:rFonts w:ascii="仿宋" w:hAnsi="仿宋" w:eastAsia="仿宋" w:cs="仿宋"/>
              </w:rPr>
            </w:pPr>
          </w:p>
        </w:tc>
      </w:tr>
      <w:tr w14:paraId="4343E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9" w:hRule="atLeast"/>
        </w:trPr>
        <w:tc>
          <w:tcPr>
            <w:tcW w:w="1956" w:type="dxa"/>
            <w:tcBorders>
              <w:right w:val="single" w:color="000000" w:sz="4" w:space="0"/>
            </w:tcBorders>
            <w:vAlign w:val="center"/>
          </w:tcPr>
          <w:p w14:paraId="3D16E306">
            <w:pPr>
              <w:pStyle w:val="22"/>
              <w:spacing w:before="78" w:line="220" w:lineRule="auto"/>
              <w:jc w:val="center"/>
              <w:rPr>
                <w:rFonts w:ascii="仿宋" w:hAnsi="仿宋" w:eastAsia="仿宋" w:cs="仿宋"/>
              </w:rPr>
            </w:pPr>
            <w:r>
              <w:rPr>
                <w:rFonts w:hint="eastAsia" w:ascii="仿宋" w:hAnsi="仿宋" w:eastAsia="仿宋" w:cs="仿宋"/>
                <w:position w:val="-3"/>
              </w:rPr>
              <w:t>…</w:t>
            </w:r>
          </w:p>
        </w:tc>
        <w:tc>
          <w:tcPr>
            <w:tcW w:w="2121" w:type="dxa"/>
            <w:tcBorders>
              <w:left w:val="single" w:color="000000" w:sz="4" w:space="0"/>
              <w:right w:val="single" w:color="000000" w:sz="4" w:space="0"/>
            </w:tcBorders>
          </w:tcPr>
          <w:p w14:paraId="07FF9615">
            <w:pPr>
              <w:rPr>
                <w:rFonts w:ascii="仿宋" w:hAnsi="仿宋" w:eastAsia="仿宋" w:cs="仿宋"/>
              </w:rPr>
            </w:pPr>
          </w:p>
        </w:tc>
        <w:tc>
          <w:tcPr>
            <w:tcW w:w="2122" w:type="dxa"/>
            <w:tcBorders>
              <w:left w:val="single" w:color="000000" w:sz="4" w:space="0"/>
              <w:right w:val="single" w:color="000000" w:sz="4" w:space="0"/>
            </w:tcBorders>
          </w:tcPr>
          <w:p w14:paraId="44A1A1DC">
            <w:pPr>
              <w:rPr>
                <w:rFonts w:ascii="仿宋" w:hAnsi="仿宋" w:eastAsia="仿宋" w:cs="仿宋"/>
              </w:rPr>
            </w:pPr>
          </w:p>
        </w:tc>
        <w:tc>
          <w:tcPr>
            <w:tcW w:w="2272" w:type="dxa"/>
            <w:tcBorders>
              <w:left w:val="single" w:color="000000" w:sz="4" w:space="0"/>
            </w:tcBorders>
          </w:tcPr>
          <w:p w14:paraId="0204E413">
            <w:pPr>
              <w:rPr>
                <w:rFonts w:ascii="仿宋" w:hAnsi="仿宋" w:eastAsia="仿宋" w:cs="仿宋"/>
              </w:rPr>
            </w:pPr>
          </w:p>
        </w:tc>
      </w:tr>
    </w:tbl>
    <w:p w14:paraId="306C60FC">
      <w:pPr>
        <w:pStyle w:val="5"/>
        <w:spacing w:line="268" w:lineRule="auto"/>
        <w:rPr>
          <w:rFonts w:ascii="仿宋" w:hAnsi="仿宋" w:eastAsia="仿宋" w:cs="仿宋"/>
        </w:rPr>
      </w:pPr>
    </w:p>
    <w:p w14:paraId="18469282">
      <w:pPr>
        <w:pStyle w:val="5"/>
        <w:spacing w:line="268" w:lineRule="auto"/>
        <w:rPr>
          <w:rFonts w:ascii="仿宋" w:hAnsi="仿宋" w:eastAsia="仿宋" w:cs="仿宋"/>
        </w:rPr>
      </w:pPr>
    </w:p>
    <w:p w14:paraId="598E59B4">
      <w:pPr>
        <w:pStyle w:val="5"/>
        <w:spacing w:line="268" w:lineRule="auto"/>
        <w:rPr>
          <w:rFonts w:ascii="仿宋" w:hAnsi="仿宋" w:eastAsia="仿宋" w:cs="仿宋"/>
        </w:rPr>
      </w:pPr>
    </w:p>
    <w:p w14:paraId="40FD969F">
      <w:pPr>
        <w:pStyle w:val="5"/>
        <w:spacing w:line="269" w:lineRule="auto"/>
        <w:rPr>
          <w:rFonts w:ascii="仿宋" w:hAnsi="仿宋" w:eastAsia="仿宋" w:cs="仿宋"/>
        </w:rPr>
      </w:pPr>
    </w:p>
    <w:p w14:paraId="5C84C5D5">
      <w:pPr>
        <w:pStyle w:val="5"/>
        <w:spacing w:line="269" w:lineRule="auto"/>
        <w:rPr>
          <w:rFonts w:ascii="仿宋" w:hAnsi="仿宋" w:eastAsia="仿宋" w:cs="仿宋"/>
        </w:rPr>
      </w:pPr>
    </w:p>
    <w:p w14:paraId="538D4B84">
      <w:pPr>
        <w:pStyle w:val="5"/>
        <w:spacing w:line="269" w:lineRule="auto"/>
        <w:rPr>
          <w:rFonts w:ascii="仿宋" w:hAnsi="仿宋" w:eastAsia="仿宋" w:cs="仿宋"/>
        </w:rPr>
      </w:pPr>
    </w:p>
    <w:p w14:paraId="4AD16A7B">
      <w:pPr>
        <w:spacing w:line="360" w:lineRule="auto"/>
        <w:ind w:firstLine="2400" w:firstLineChars="1000"/>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23AED967">
      <w:pPr>
        <w:spacing w:before="1" w:line="219" w:lineRule="auto"/>
        <w:ind w:left="5588"/>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17393C6E">
      <w:pPr>
        <w:spacing w:line="219" w:lineRule="auto"/>
        <w:rPr>
          <w:rFonts w:ascii="仿宋" w:hAnsi="仿宋" w:eastAsia="仿宋" w:cs="仿宋"/>
          <w:sz w:val="24"/>
          <w:szCs w:val="24"/>
          <w:lang w:eastAsia="zh-CN"/>
        </w:rPr>
        <w:sectPr>
          <w:footerReference r:id="rId9" w:type="default"/>
          <w:pgSz w:w="11906" w:h="16839"/>
          <w:pgMar w:top="1440" w:right="1803" w:bottom="1440" w:left="1803" w:header="0" w:footer="992" w:gutter="0"/>
          <w:cols w:space="720" w:num="1"/>
        </w:sectPr>
      </w:pPr>
    </w:p>
    <w:p w14:paraId="6585B1EF">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附件6</w:t>
      </w:r>
    </w:p>
    <w:p w14:paraId="58DC14B2">
      <w:pPr>
        <w:spacing w:before="182" w:line="220" w:lineRule="auto"/>
        <w:ind w:left="2617"/>
        <w:rPr>
          <w:rFonts w:ascii="仿宋" w:hAnsi="仿宋" w:eastAsia="仿宋" w:cs="仿宋"/>
          <w:sz w:val="24"/>
          <w:szCs w:val="24"/>
          <w:lang w:eastAsia="zh-CN"/>
        </w:rPr>
      </w:pPr>
      <w:r>
        <w:rPr>
          <w:rFonts w:hint="eastAsia" w:ascii="仿宋" w:hAnsi="仿宋" w:eastAsia="仿宋" w:cs="仿宋"/>
          <w:b/>
          <w:bCs/>
          <w:sz w:val="24"/>
          <w:szCs w:val="24"/>
          <w:lang w:eastAsia="zh-CN"/>
        </w:rPr>
        <w:t>法定代表人身份证明</w:t>
      </w:r>
      <w:r>
        <w:rPr>
          <w:rFonts w:hint="eastAsia" w:ascii="仿宋" w:hAnsi="仿宋" w:eastAsia="仿宋" w:cs="仿宋"/>
          <w:sz w:val="24"/>
          <w:szCs w:val="24"/>
          <w:lang w:eastAsia="zh-CN"/>
        </w:rPr>
        <w:t>（格式）</w:t>
      </w:r>
    </w:p>
    <w:p w14:paraId="6C427F08">
      <w:pPr>
        <w:pStyle w:val="5"/>
        <w:spacing w:line="284" w:lineRule="auto"/>
        <w:rPr>
          <w:rFonts w:ascii="仿宋" w:hAnsi="仿宋" w:eastAsia="仿宋" w:cs="仿宋"/>
          <w:lang w:eastAsia="zh-CN"/>
        </w:rPr>
      </w:pPr>
    </w:p>
    <w:p w14:paraId="7F1FF4D9">
      <w:pPr>
        <w:pStyle w:val="5"/>
        <w:spacing w:line="285" w:lineRule="auto"/>
        <w:rPr>
          <w:rFonts w:ascii="仿宋" w:hAnsi="仿宋" w:eastAsia="仿宋" w:cs="仿宋"/>
          <w:lang w:eastAsia="zh-CN"/>
        </w:rPr>
      </w:pPr>
    </w:p>
    <w:p w14:paraId="301E6B70">
      <w:pPr>
        <w:spacing w:before="78" w:line="468" w:lineRule="exact"/>
        <w:ind w:left="446"/>
        <w:rPr>
          <w:rFonts w:ascii="仿宋" w:hAnsi="仿宋" w:eastAsia="仿宋" w:cs="仿宋"/>
          <w:sz w:val="24"/>
          <w:szCs w:val="24"/>
          <w:lang w:eastAsia="zh-CN"/>
        </w:rPr>
      </w:pPr>
      <w:r>
        <w:rPr>
          <w:rFonts w:hint="eastAsia" w:ascii="仿宋" w:hAnsi="仿宋" w:eastAsia="仿宋" w:cs="仿宋"/>
          <w:position w:val="17"/>
          <w:sz w:val="24"/>
          <w:szCs w:val="24"/>
          <w:lang w:eastAsia="zh-CN"/>
        </w:rPr>
        <w:t>投标人名称：</w:t>
      </w:r>
    </w:p>
    <w:p w14:paraId="23F13F30">
      <w:pPr>
        <w:spacing w:before="1" w:line="228" w:lineRule="auto"/>
        <w:ind w:left="443"/>
        <w:rPr>
          <w:rFonts w:ascii="仿宋" w:hAnsi="仿宋" w:eastAsia="仿宋" w:cs="仿宋"/>
          <w:sz w:val="24"/>
          <w:szCs w:val="24"/>
          <w:lang w:eastAsia="zh-CN"/>
        </w:rPr>
      </w:pPr>
      <w:r>
        <w:rPr>
          <w:rFonts w:hint="eastAsia" w:ascii="仿宋" w:hAnsi="仿宋" w:eastAsia="仿宋" w:cs="仿宋"/>
          <w:sz w:val="24"/>
          <w:szCs w:val="24"/>
          <w:lang w:eastAsia="zh-CN"/>
        </w:rPr>
        <w:t>地址：</w:t>
      </w:r>
    </w:p>
    <w:p w14:paraId="52F2C951">
      <w:pPr>
        <w:spacing w:before="170" w:line="360" w:lineRule="auto"/>
        <w:ind w:left="445"/>
        <w:rPr>
          <w:rFonts w:ascii="仿宋" w:hAnsi="仿宋" w:eastAsia="仿宋" w:cs="仿宋"/>
          <w:sz w:val="24"/>
          <w:szCs w:val="24"/>
          <w:lang w:eastAsia="zh-CN"/>
        </w:rPr>
      </w:pPr>
      <w:r>
        <w:rPr>
          <w:rFonts w:hint="eastAsia" w:ascii="仿宋" w:hAnsi="仿宋" w:eastAsia="仿宋" w:cs="仿宋"/>
          <w:sz w:val="24"/>
          <w:szCs w:val="24"/>
          <w:lang w:eastAsia="zh-CN"/>
        </w:rPr>
        <w:t xml:space="preserve">成立时间：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日</w:t>
      </w:r>
    </w:p>
    <w:p w14:paraId="03E29649">
      <w:pPr>
        <w:spacing w:line="220" w:lineRule="auto"/>
        <w:ind w:left="445"/>
        <w:rPr>
          <w:rFonts w:ascii="仿宋" w:hAnsi="仿宋" w:eastAsia="仿宋" w:cs="仿宋"/>
          <w:sz w:val="24"/>
          <w:szCs w:val="24"/>
          <w:lang w:eastAsia="zh-CN"/>
        </w:rPr>
      </w:pPr>
      <w:r>
        <w:rPr>
          <w:rFonts w:hint="eastAsia" w:ascii="仿宋" w:hAnsi="仿宋" w:eastAsia="仿宋" w:cs="仿宋"/>
          <w:sz w:val="24"/>
          <w:szCs w:val="24"/>
          <w:lang w:eastAsia="zh-CN"/>
        </w:rPr>
        <w:t>经营期限：</w:t>
      </w:r>
    </w:p>
    <w:p w14:paraId="6B261D46">
      <w:pPr>
        <w:spacing w:before="181" w:line="360" w:lineRule="auto"/>
        <w:ind w:left="443"/>
        <w:rPr>
          <w:rFonts w:ascii="仿宋" w:hAnsi="仿宋" w:eastAsia="仿宋" w:cs="仿宋"/>
          <w:sz w:val="24"/>
          <w:szCs w:val="24"/>
          <w:lang w:eastAsia="zh-CN"/>
        </w:rPr>
      </w:pPr>
      <w:r>
        <w:rPr>
          <w:rFonts w:hint="eastAsia" w:ascii="仿宋" w:hAnsi="仿宋" w:eastAsia="仿宋" w:cs="仿宋"/>
          <w:w w:val="91"/>
          <w:sz w:val="24"/>
          <w:szCs w:val="24"/>
          <w:lang w:eastAsia="zh-CN"/>
        </w:rPr>
        <w:t>姓名</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w w:val="91"/>
          <w:sz w:val="24"/>
          <w:szCs w:val="24"/>
          <w:lang w:eastAsia="zh-CN"/>
        </w:rPr>
        <w:t>性别</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w w:val="91"/>
          <w:sz w:val="24"/>
          <w:szCs w:val="24"/>
          <w:lang w:eastAsia="zh-CN"/>
        </w:rPr>
        <w:t>年龄</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w w:val="91"/>
          <w:sz w:val="24"/>
          <w:szCs w:val="24"/>
          <w:lang w:eastAsia="zh-CN"/>
        </w:rPr>
        <w:t>职务：</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w w:val="91"/>
          <w:sz w:val="24"/>
          <w:szCs w:val="24"/>
          <w:lang w:eastAsia="zh-CN"/>
        </w:rPr>
        <w:t>系</w:t>
      </w:r>
    </w:p>
    <w:p w14:paraId="4AB98C31">
      <w:pPr>
        <w:spacing w:before="1" w:line="219" w:lineRule="auto"/>
        <w:ind w:left="29"/>
        <w:rPr>
          <w:rFonts w:ascii="仿宋" w:hAnsi="仿宋" w:eastAsia="仿宋" w:cs="仿宋"/>
          <w:sz w:val="24"/>
          <w:szCs w:val="24"/>
          <w:lang w:eastAsia="zh-CN"/>
        </w:rPr>
      </w:pPr>
      <w:r>
        <w:rPr>
          <w:rFonts w:hint="eastAsia" w:ascii="仿宋" w:hAnsi="仿宋" w:eastAsia="仿宋" w:cs="仿宋"/>
          <w:sz w:val="24"/>
          <w:szCs w:val="24"/>
          <w:lang w:eastAsia="zh-CN"/>
        </w:rPr>
        <w:t>（投标人名称）的法定代表人。</w:t>
      </w:r>
    </w:p>
    <w:p w14:paraId="4114C343">
      <w:pPr>
        <w:pStyle w:val="5"/>
        <w:spacing w:line="284" w:lineRule="auto"/>
        <w:rPr>
          <w:rFonts w:ascii="仿宋" w:hAnsi="仿宋" w:eastAsia="仿宋" w:cs="仿宋"/>
          <w:lang w:eastAsia="zh-CN"/>
        </w:rPr>
      </w:pPr>
    </w:p>
    <w:p w14:paraId="3FC7D9B1">
      <w:pPr>
        <w:pStyle w:val="5"/>
        <w:spacing w:line="284" w:lineRule="auto"/>
        <w:rPr>
          <w:rFonts w:ascii="仿宋" w:hAnsi="仿宋" w:eastAsia="仿宋" w:cs="仿宋"/>
          <w:lang w:eastAsia="zh-CN"/>
        </w:rPr>
      </w:pPr>
    </w:p>
    <w:p w14:paraId="5B67025A">
      <w:pPr>
        <w:spacing w:before="78" w:line="220" w:lineRule="auto"/>
        <w:ind w:left="443"/>
        <w:rPr>
          <w:rFonts w:ascii="仿宋" w:hAnsi="仿宋" w:eastAsia="仿宋" w:cs="仿宋"/>
          <w:sz w:val="24"/>
          <w:szCs w:val="24"/>
        </w:rPr>
      </w:pPr>
      <w:r>
        <w:rPr>
          <w:rFonts w:hint="eastAsia" w:ascii="仿宋" w:hAnsi="仿宋" w:eastAsia="仿宋" w:cs="仿宋"/>
          <w:sz w:val="24"/>
          <w:szCs w:val="24"/>
        </w:rPr>
        <w:t>特此证明。</w:t>
      </w:r>
    </w:p>
    <w:p w14:paraId="7F81BBD1">
      <w:pPr>
        <w:spacing w:line="216" w:lineRule="exact"/>
        <w:rPr>
          <w:rFonts w:ascii="仿宋" w:hAnsi="仿宋" w:eastAsia="仿宋" w:cs="仿宋"/>
        </w:rPr>
      </w:pPr>
    </w:p>
    <w:tbl>
      <w:tblPr>
        <w:tblStyle w:val="21"/>
        <w:tblW w:w="5327" w:type="dxa"/>
        <w:tblInd w:w="15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27"/>
      </w:tblGrid>
      <w:tr w14:paraId="2D2720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5327" w:type="dxa"/>
          </w:tcPr>
          <w:p w14:paraId="38582B93">
            <w:pPr>
              <w:spacing w:line="249" w:lineRule="auto"/>
              <w:rPr>
                <w:rFonts w:ascii="仿宋" w:hAnsi="仿宋" w:eastAsia="仿宋" w:cs="仿宋"/>
                <w:lang w:eastAsia="zh-CN"/>
              </w:rPr>
            </w:pPr>
          </w:p>
          <w:p w14:paraId="555CE632">
            <w:pPr>
              <w:spacing w:line="249" w:lineRule="auto"/>
              <w:rPr>
                <w:rFonts w:ascii="仿宋" w:hAnsi="仿宋" w:eastAsia="仿宋" w:cs="仿宋"/>
                <w:lang w:eastAsia="zh-CN"/>
              </w:rPr>
            </w:pPr>
          </w:p>
          <w:p w14:paraId="24F6D315">
            <w:pPr>
              <w:spacing w:line="249" w:lineRule="auto"/>
              <w:rPr>
                <w:rFonts w:ascii="仿宋" w:hAnsi="仿宋" w:eastAsia="仿宋" w:cs="仿宋"/>
                <w:lang w:eastAsia="zh-CN"/>
              </w:rPr>
            </w:pPr>
          </w:p>
          <w:p w14:paraId="1EC6718D">
            <w:pPr>
              <w:spacing w:line="249" w:lineRule="auto"/>
              <w:rPr>
                <w:rFonts w:ascii="仿宋" w:hAnsi="仿宋" w:eastAsia="仿宋" w:cs="仿宋"/>
                <w:lang w:eastAsia="zh-CN"/>
              </w:rPr>
            </w:pPr>
          </w:p>
          <w:p w14:paraId="4CDC04FF">
            <w:pPr>
              <w:pStyle w:val="22"/>
              <w:spacing w:before="78" w:line="220" w:lineRule="auto"/>
              <w:ind w:left="749"/>
              <w:rPr>
                <w:rFonts w:ascii="仿宋" w:hAnsi="仿宋" w:eastAsia="仿宋" w:cs="仿宋"/>
                <w:lang w:eastAsia="zh-CN"/>
              </w:rPr>
            </w:pPr>
            <w:r>
              <w:rPr>
                <w:rFonts w:hint="eastAsia" w:ascii="仿宋" w:hAnsi="仿宋" w:eastAsia="仿宋" w:cs="仿宋"/>
                <w:lang w:eastAsia="zh-CN"/>
              </w:rPr>
              <w:t>此处请粘贴法定代表人身份证复印件</w:t>
            </w:r>
          </w:p>
        </w:tc>
      </w:tr>
    </w:tbl>
    <w:p w14:paraId="01720EC0">
      <w:pPr>
        <w:pStyle w:val="5"/>
        <w:spacing w:line="275" w:lineRule="auto"/>
        <w:rPr>
          <w:rFonts w:ascii="仿宋" w:hAnsi="仿宋" w:eastAsia="仿宋" w:cs="仿宋"/>
          <w:lang w:eastAsia="zh-CN"/>
        </w:rPr>
      </w:pPr>
    </w:p>
    <w:p w14:paraId="24A5E652">
      <w:pPr>
        <w:pStyle w:val="5"/>
        <w:spacing w:line="275" w:lineRule="auto"/>
        <w:rPr>
          <w:rFonts w:ascii="仿宋" w:hAnsi="仿宋" w:eastAsia="仿宋" w:cs="仿宋"/>
          <w:lang w:eastAsia="zh-CN"/>
        </w:rPr>
      </w:pPr>
    </w:p>
    <w:p w14:paraId="2B6205A6">
      <w:pPr>
        <w:spacing w:before="78" w:line="419" w:lineRule="auto"/>
        <w:ind w:left="2966"/>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2A8038B1">
      <w:pPr>
        <w:spacing w:line="219" w:lineRule="auto"/>
        <w:ind w:left="5366"/>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3B244DF2">
      <w:pPr>
        <w:pStyle w:val="5"/>
        <w:spacing w:line="258" w:lineRule="auto"/>
        <w:rPr>
          <w:rFonts w:ascii="仿宋" w:hAnsi="仿宋" w:eastAsia="仿宋" w:cs="仿宋"/>
          <w:lang w:eastAsia="zh-CN"/>
        </w:rPr>
      </w:pPr>
    </w:p>
    <w:p w14:paraId="5582FCC0">
      <w:pPr>
        <w:pStyle w:val="5"/>
        <w:spacing w:line="258" w:lineRule="auto"/>
        <w:rPr>
          <w:rFonts w:ascii="仿宋" w:hAnsi="仿宋" w:eastAsia="仿宋" w:cs="仿宋"/>
          <w:lang w:eastAsia="zh-CN"/>
        </w:rPr>
      </w:pPr>
    </w:p>
    <w:p w14:paraId="1E1C414D">
      <w:pPr>
        <w:pStyle w:val="5"/>
        <w:spacing w:line="258" w:lineRule="auto"/>
        <w:rPr>
          <w:rFonts w:ascii="仿宋" w:hAnsi="仿宋" w:eastAsia="仿宋" w:cs="仿宋"/>
          <w:lang w:eastAsia="zh-CN"/>
        </w:rPr>
      </w:pPr>
    </w:p>
    <w:p w14:paraId="75E52920">
      <w:pPr>
        <w:pStyle w:val="5"/>
        <w:spacing w:line="258" w:lineRule="auto"/>
        <w:rPr>
          <w:rFonts w:ascii="仿宋" w:hAnsi="仿宋" w:eastAsia="仿宋" w:cs="仿宋"/>
          <w:lang w:eastAsia="zh-CN"/>
        </w:rPr>
      </w:pPr>
    </w:p>
    <w:p w14:paraId="19D07382">
      <w:pPr>
        <w:pStyle w:val="5"/>
        <w:spacing w:line="258" w:lineRule="auto"/>
        <w:rPr>
          <w:rFonts w:ascii="仿宋" w:hAnsi="仿宋" w:eastAsia="仿宋" w:cs="仿宋"/>
          <w:lang w:eastAsia="zh-CN"/>
        </w:rPr>
      </w:pPr>
    </w:p>
    <w:p w14:paraId="516A4044">
      <w:pPr>
        <w:pStyle w:val="5"/>
        <w:spacing w:line="258" w:lineRule="auto"/>
        <w:rPr>
          <w:rFonts w:ascii="仿宋" w:hAnsi="仿宋" w:eastAsia="仿宋" w:cs="仿宋"/>
          <w:lang w:eastAsia="zh-CN"/>
        </w:rPr>
      </w:pPr>
    </w:p>
    <w:p w14:paraId="19DBFB6C">
      <w:pPr>
        <w:pStyle w:val="5"/>
        <w:spacing w:line="258" w:lineRule="auto"/>
        <w:rPr>
          <w:rFonts w:ascii="仿宋" w:hAnsi="仿宋" w:eastAsia="仿宋" w:cs="仿宋"/>
          <w:lang w:eastAsia="zh-CN"/>
        </w:rPr>
      </w:pPr>
    </w:p>
    <w:p w14:paraId="556D2D49">
      <w:pPr>
        <w:pStyle w:val="5"/>
        <w:spacing w:line="258" w:lineRule="auto"/>
        <w:rPr>
          <w:rFonts w:ascii="仿宋" w:hAnsi="仿宋" w:eastAsia="仿宋" w:cs="仿宋"/>
          <w:lang w:eastAsia="zh-CN"/>
        </w:rPr>
      </w:pPr>
    </w:p>
    <w:p w14:paraId="5018F439">
      <w:pPr>
        <w:pStyle w:val="5"/>
        <w:spacing w:line="259" w:lineRule="auto"/>
        <w:rPr>
          <w:rFonts w:ascii="仿宋" w:hAnsi="仿宋" w:eastAsia="仿宋" w:cs="仿宋"/>
          <w:lang w:eastAsia="zh-CN"/>
        </w:rPr>
      </w:pPr>
    </w:p>
    <w:p w14:paraId="1A6510B8">
      <w:pPr>
        <w:pStyle w:val="5"/>
        <w:spacing w:line="259" w:lineRule="auto"/>
        <w:rPr>
          <w:rFonts w:ascii="仿宋" w:hAnsi="仿宋" w:eastAsia="仿宋" w:cs="仿宋"/>
          <w:lang w:eastAsia="zh-CN"/>
        </w:rPr>
      </w:pPr>
    </w:p>
    <w:p w14:paraId="7B958E7D">
      <w:pPr>
        <w:pStyle w:val="5"/>
        <w:spacing w:line="259" w:lineRule="auto"/>
        <w:rPr>
          <w:rFonts w:ascii="仿宋" w:hAnsi="仿宋" w:eastAsia="仿宋" w:cs="仿宋"/>
          <w:lang w:eastAsia="zh-CN"/>
        </w:rPr>
      </w:pPr>
    </w:p>
    <w:p w14:paraId="3C6C071A">
      <w:pPr>
        <w:pStyle w:val="5"/>
        <w:spacing w:line="259" w:lineRule="auto"/>
        <w:rPr>
          <w:rFonts w:ascii="仿宋" w:hAnsi="仿宋" w:eastAsia="仿宋" w:cs="仿宋"/>
          <w:lang w:eastAsia="zh-CN"/>
        </w:rPr>
      </w:pPr>
    </w:p>
    <w:p w14:paraId="63BD3FAA">
      <w:pPr>
        <w:pStyle w:val="5"/>
        <w:spacing w:line="259" w:lineRule="auto"/>
        <w:rPr>
          <w:rFonts w:ascii="仿宋" w:hAnsi="仿宋" w:eastAsia="仿宋" w:cs="仿宋"/>
          <w:lang w:eastAsia="zh-CN"/>
        </w:rPr>
      </w:pPr>
    </w:p>
    <w:p w14:paraId="7E7FB04D">
      <w:pPr>
        <w:spacing w:before="78" w:line="219" w:lineRule="auto"/>
        <w:ind w:left="462"/>
        <w:rPr>
          <w:rFonts w:ascii="仿宋" w:hAnsi="仿宋" w:eastAsia="仿宋" w:cs="仿宋"/>
          <w:sz w:val="24"/>
          <w:szCs w:val="24"/>
          <w:lang w:eastAsia="zh-CN"/>
        </w:rPr>
      </w:pPr>
    </w:p>
    <w:p w14:paraId="4B097D68">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附件7</w:t>
      </w:r>
    </w:p>
    <w:p w14:paraId="73C784A6">
      <w:pPr>
        <w:spacing w:line="360" w:lineRule="auto"/>
        <w:jc w:val="center"/>
        <w:rPr>
          <w:rFonts w:ascii="仿宋" w:hAnsi="仿宋" w:eastAsia="仿宋" w:cs="仿宋"/>
          <w:sz w:val="24"/>
          <w:szCs w:val="24"/>
          <w:lang w:eastAsia="zh-CN"/>
        </w:rPr>
      </w:pPr>
      <w:r>
        <w:rPr>
          <w:rFonts w:hint="eastAsia" w:ascii="仿宋" w:hAnsi="仿宋" w:eastAsia="仿宋" w:cs="仿宋"/>
          <w:b/>
          <w:bCs/>
          <w:sz w:val="24"/>
          <w:szCs w:val="24"/>
          <w:lang w:eastAsia="zh-CN"/>
        </w:rPr>
        <w:t>法定代表人授权书</w:t>
      </w:r>
      <w:r>
        <w:rPr>
          <w:rFonts w:hint="eastAsia" w:ascii="仿宋" w:hAnsi="仿宋" w:eastAsia="仿宋" w:cs="仿宋"/>
          <w:sz w:val="24"/>
          <w:szCs w:val="24"/>
          <w:lang w:eastAsia="zh-CN"/>
        </w:rPr>
        <w:t>（格式）</w:t>
      </w:r>
    </w:p>
    <w:p w14:paraId="63F17165">
      <w:pPr>
        <w:pStyle w:val="5"/>
        <w:spacing w:line="246" w:lineRule="auto"/>
        <w:rPr>
          <w:rFonts w:ascii="仿宋" w:hAnsi="仿宋" w:eastAsia="仿宋" w:cs="仿宋"/>
          <w:lang w:eastAsia="zh-CN"/>
        </w:rPr>
      </w:pPr>
    </w:p>
    <w:p w14:paraId="1C37F729">
      <w:pPr>
        <w:pStyle w:val="5"/>
        <w:spacing w:line="246" w:lineRule="auto"/>
        <w:rPr>
          <w:rFonts w:ascii="仿宋" w:hAnsi="仿宋" w:eastAsia="仿宋" w:cs="仿宋"/>
          <w:lang w:eastAsia="zh-CN"/>
        </w:rPr>
      </w:pPr>
    </w:p>
    <w:p w14:paraId="29F8BD15">
      <w:pPr>
        <w:spacing w:before="78" w:line="360" w:lineRule="auto"/>
        <w:ind w:left="23"/>
        <w:rPr>
          <w:rFonts w:ascii="仿宋" w:hAnsi="仿宋" w:eastAsia="仿宋" w:cs="仿宋"/>
          <w:sz w:val="24"/>
          <w:szCs w:val="24"/>
          <w:lang w:eastAsia="zh-CN"/>
        </w:rPr>
      </w:pPr>
      <w:r>
        <w:rPr>
          <w:rFonts w:hint="eastAsia" w:ascii="仿宋" w:hAnsi="仿宋" w:eastAsia="仿宋" w:cs="仿宋"/>
          <w:w w:val="98"/>
          <w:sz w:val="24"/>
          <w:szCs w:val="24"/>
          <w:lang w:eastAsia="zh-CN"/>
        </w:rPr>
        <w:t>致</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w w:val="98"/>
          <w:sz w:val="24"/>
          <w:szCs w:val="24"/>
          <w:lang w:eastAsia="zh-CN"/>
        </w:rPr>
        <w:t>招标人名称）</w:t>
      </w:r>
    </w:p>
    <w:p w14:paraId="605155B8">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我</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投标人名称）的法定代表人，现委托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（姓名）为我方代理人。代理人根据本授权，以我方的名义参加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项目（项目编号：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)的投标活动，并代表我方全权办理针对上述项目的投标、开标、评标、签约等具体事务和签署相关文件。</w:t>
      </w:r>
    </w:p>
    <w:p w14:paraId="143F513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我方对代理人的签名负全部责任。在撤销授权的书面通知以前，本授权书一直有效。代理人在授权书有效期内签署的所有文件不因授权的撤销而失效。如果本次采购活动现场变更采购方式，本授权书有效。</w:t>
      </w:r>
    </w:p>
    <w:p w14:paraId="4619EE11">
      <w:pPr>
        <w:spacing w:before="79" w:line="467" w:lineRule="exact"/>
        <w:ind w:left="442"/>
        <w:rPr>
          <w:rFonts w:ascii="仿宋" w:hAnsi="仿宋" w:eastAsia="仿宋" w:cs="仿宋"/>
          <w:sz w:val="24"/>
          <w:szCs w:val="24"/>
          <w:lang w:eastAsia="zh-CN"/>
        </w:rPr>
      </w:pPr>
      <w:r>
        <w:rPr>
          <w:rFonts w:hint="eastAsia" w:ascii="仿宋" w:hAnsi="仿宋" w:eastAsia="仿宋" w:cs="仿宋"/>
          <w:position w:val="17"/>
          <w:sz w:val="24"/>
          <w:szCs w:val="24"/>
          <w:lang w:eastAsia="zh-CN"/>
        </w:rPr>
        <w:t>代理人无转委托权。</w:t>
      </w:r>
    </w:p>
    <w:p w14:paraId="2DB06CD5">
      <w:pPr>
        <w:spacing w:line="220" w:lineRule="auto"/>
        <w:ind w:left="442"/>
        <w:rPr>
          <w:rFonts w:ascii="仿宋" w:hAnsi="仿宋" w:eastAsia="仿宋" w:cs="仿宋"/>
          <w:sz w:val="24"/>
          <w:szCs w:val="24"/>
          <w:lang w:eastAsia="zh-CN"/>
        </w:rPr>
      </w:pPr>
      <w:r>
        <w:rPr>
          <w:rFonts w:hint="eastAsia" w:ascii="仿宋" w:hAnsi="仿宋" w:eastAsia="仿宋" w:cs="仿宋"/>
          <w:sz w:val="24"/>
          <w:szCs w:val="24"/>
          <w:lang w:eastAsia="zh-CN"/>
        </w:rPr>
        <w:t>委托期限：</w:t>
      </w:r>
    </w:p>
    <w:p w14:paraId="7EF13320">
      <w:pPr>
        <w:pStyle w:val="5"/>
        <w:spacing w:line="282" w:lineRule="auto"/>
        <w:rPr>
          <w:rFonts w:ascii="仿宋" w:hAnsi="仿宋" w:eastAsia="仿宋" w:cs="仿宋"/>
          <w:lang w:eastAsia="zh-CN"/>
        </w:rPr>
      </w:pPr>
    </w:p>
    <w:p w14:paraId="1DBD840F">
      <w:pPr>
        <w:pStyle w:val="5"/>
        <w:spacing w:line="283" w:lineRule="auto"/>
        <w:rPr>
          <w:rFonts w:ascii="仿宋" w:hAnsi="仿宋" w:eastAsia="仿宋" w:cs="仿宋"/>
          <w:lang w:eastAsia="zh-CN"/>
        </w:rPr>
      </w:pPr>
    </w:p>
    <w:p w14:paraId="0CBF09E5">
      <w:pPr>
        <w:spacing w:before="78" w:line="220" w:lineRule="auto"/>
        <w:ind w:left="442"/>
        <w:rPr>
          <w:rFonts w:ascii="仿宋" w:hAnsi="仿宋" w:eastAsia="仿宋" w:cs="仿宋"/>
          <w:sz w:val="24"/>
          <w:szCs w:val="24"/>
          <w:lang w:eastAsia="zh-CN"/>
        </w:rPr>
      </w:pPr>
      <w:r>
        <w:rPr>
          <w:rFonts w:hint="eastAsia" w:ascii="仿宋" w:hAnsi="仿宋" w:eastAsia="仿宋" w:cs="仿宋"/>
          <w:sz w:val="24"/>
          <w:szCs w:val="24"/>
          <w:lang w:eastAsia="zh-CN"/>
        </w:rPr>
        <w:t>委托代理人签名：</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法定代表人签名： </w:t>
      </w:r>
      <w:r>
        <w:rPr>
          <w:rFonts w:hint="eastAsia" w:ascii="仿宋" w:hAnsi="仿宋" w:eastAsia="仿宋" w:cs="仿宋"/>
          <w:sz w:val="24"/>
          <w:szCs w:val="24"/>
          <w:u w:val="single"/>
          <w:lang w:eastAsia="zh-CN"/>
        </w:rPr>
        <w:t xml:space="preserve">            </w:t>
      </w:r>
    </w:p>
    <w:p w14:paraId="1BCA6DF5">
      <w:pPr>
        <w:spacing w:before="181" w:line="220" w:lineRule="auto"/>
        <w:ind w:left="444"/>
        <w:rPr>
          <w:rFonts w:ascii="仿宋" w:hAnsi="仿宋" w:eastAsia="仿宋" w:cs="仿宋"/>
          <w:sz w:val="24"/>
          <w:szCs w:val="24"/>
          <w:lang w:eastAsia="zh-CN"/>
        </w:rPr>
      </w:pPr>
      <w:r>
        <w:rPr>
          <w:rFonts w:hint="eastAsia" w:ascii="仿宋" w:hAnsi="仿宋" w:eastAsia="仿宋" w:cs="仿宋"/>
          <w:sz w:val="24"/>
          <w:szCs w:val="24"/>
          <w:lang w:eastAsia="zh-CN"/>
        </w:rPr>
        <w:t xml:space="preserve">职务：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职务： </w:t>
      </w:r>
      <w:r>
        <w:rPr>
          <w:rFonts w:hint="eastAsia" w:ascii="仿宋" w:hAnsi="仿宋" w:eastAsia="仿宋" w:cs="仿宋"/>
          <w:sz w:val="24"/>
          <w:szCs w:val="24"/>
          <w:u w:val="single"/>
          <w:lang w:eastAsia="zh-CN"/>
        </w:rPr>
        <w:t xml:space="preserve">            </w:t>
      </w:r>
    </w:p>
    <w:p w14:paraId="66389419">
      <w:pPr>
        <w:spacing w:before="180" w:line="220" w:lineRule="auto"/>
        <w:ind w:left="442"/>
        <w:rPr>
          <w:rFonts w:ascii="仿宋" w:hAnsi="仿宋" w:eastAsia="仿宋" w:cs="仿宋"/>
          <w:sz w:val="24"/>
          <w:szCs w:val="24"/>
          <w:lang w:eastAsia="zh-CN"/>
        </w:rPr>
      </w:pPr>
      <w:r>
        <w:rPr>
          <w:rFonts w:hint="eastAsia" w:ascii="仿宋" w:hAnsi="仿宋" w:eastAsia="仿宋" w:cs="仿宋"/>
          <w:sz w:val="24"/>
          <w:szCs w:val="24"/>
          <w:lang w:eastAsia="zh-CN"/>
        </w:rPr>
        <w:t xml:space="preserve">委托代理人身份证号码： </w:t>
      </w:r>
      <w:r>
        <w:rPr>
          <w:rFonts w:hint="eastAsia" w:ascii="仿宋" w:hAnsi="仿宋" w:eastAsia="仿宋" w:cs="仿宋"/>
          <w:sz w:val="24"/>
          <w:szCs w:val="24"/>
          <w:u w:val="single"/>
          <w:lang w:eastAsia="zh-CN"/>
        </w:rPr>
        <w:t xml:space="preserve">                    </w:t>
      </w:r>
    </w:p>
    <w:p w14:paraId="6701C720">
      <w:pPr>
        <w:spacing w:before="71"/>
        <w:rPr>
          <w:rFonts w:ascii="仿宋" w:hAnsi="仿宋" w:eastAsia="仿宋" w:cs="仿宋"/>
          <w:lang w:eastAsia="zh-CN"/>
        </w:rPr>
      </w:pPr>
    </w:p>
    <w:p w14:paraId="56F53F85">
      <w:pPr>
        <w:spacing w:before="70"/>
        <w:rPr>
          <w:rFonts w:ascii="仿宋" w:hAnsi="仿宋" w:eastAsia="仿宋" w:cs="仿宋"/>
          <w:lang w:eastAsia="zh-CN"/>
        </w:rPr>
      </w:pPr>
    </w:p>
    <w:p w14:paraId="5239A4C8">
      <w:pPr>
        <w:spacing w:before="70"/>
        <w:rPr>
          <w:rFonts w:ascii="仿宋" w:hAnsi="仿宋" w:eastAsia="仿宋" w:cs="仿宋"/>
          <w:lang w:eastAsia="zh-CN"/>
        </w:rPr>
      </w:pPr>
    </w:p>
    <w:tbl>
      <w:tblPr>
        <w:tblStyle w:val="21"/>
        <w:tblW w:w="5507" w:type="dxa"/>
        <w:tblInd w:w="14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7"/>
      </w:tblGrid>
      <w:tr w14:paraId="032F63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42" w:hRule="atLeast"/>
        </w:trPr>
        <w:tc>
          <w:tcPr>
            <w:tcW w:w="5507" w:type="dxa"/>
          </w:tcPr>
          <w:p w14:paraId="162924DF">
            <w:pPr>
              <w:spacing w:line="287" w:lineRule="auto"/>
              <w:rPr>
                <w:rFonts w:ascii="仿宋" w:hAnsi="仿宋" w:eastAsia="仿宋" w:cs="仿宋"/>
                <w:lang w:eastAsia="zh-CN"/>
              </w:rPr>
            </w:pPr>
          </w:p>
          <w:p w14:paraId="7687C644">
            <w:pPr>
              <w:spacing w:line="287" w:lineRule="auto"/>
              <w:rPr>
                <w:rFonts w:ascii="仿宋" w:hAnsi="仿宋" w:eastAsia="仿宋" w:cs="仿宋"/>
                <w:lang w:eastAsia="zh-CN"/>
              </w:rPr>
            </w:pPr>
          </w:p>
          <w:p w14:paraId="5FF5A4ED">
            <w:pPr>
              <w:spacing w:line="288" w:lineRule="auto"/>
              <w:rPr>
                <w:rFonts w:ascii="仿宋" w:hAnsi="仿宋" w:eastAsia="仿宋" w:cs="仿宋"/>
                <w:lang w:eastAsia="zh-CN"/>
              </w:rPr>
            </w:pPr>
          </w:p>
          <w:p w14:paraId="53F6533A">
            <w:pPr>
              <w:spacing w:line="288" w:lineRule="auto"/>
              <w:rPr>
                <w:rFonts w:ascii="仿宋" w:hAnsi="仿宋" w:eastAsia="仿宋" w:cs="仿宋"/>
                <w:lang w:eastAsia="zh-CN"/>
              </w:rPr>
            </w:pPr>
          </w:p>
          <w:p w14:paraId="20B42AFC">
            <w:pPr>
              <w:pStyle w:val="22"/>
              <w:spacing w:before="78" w:line="220" w:lineRule="auto"/>
              <w:ind w:left="839"/>
              <w:rPr>
                <w:rFonts w:ascii="仿宋" w:hAnsi="仿宋" w:eastAsia="仿宋" w:cs="仿宋"/>
                <w:lang w:eastAsia="zh-CN"/>
              </w:rPr>
            </w:pPr>
            <w:r>
              <w:rPr>
                <w:rFonts w:hint="eastAsia" w:ascii="仿宋" w:hAnsi="仿宋" w:eastAsia="仿宋" w:cs="仿宋"/>
                <w:lang w:eastAsia="zh-CN"/>
              </w:rPr>
              <w:t>此处请粘贴委托代理人身份证复印件</w:t>
            </w:r>
          </w:p>
        </w:tc>
      </w:tr>
    </w:tbl>
    <w:p w14:paraId="1EDE0DE0">
      <w:pPr>
        <w:pStyle w:val="5"/>
        <w:spacing w:line="263" w:lineRule="auto"/>
        <w:rPr>
          <w:rFonts w:ascii="仿宋" w:hAnsi="仿宋" w:eastAsia="仿宋" w:cs="仿宋"/>
          <w:lang w:eastAsia="zh-CN"/>
        </w:rPr>
      </w:pPr>
    </w:p>
    <w:p w14:paraId="456E288C">
      <w:pPr>
        <w:pStyle w:val="5"/>
        <w:spacing w:line="264" w:lineRule="auto"/>
        <w:rPr>
          <w:rFonts w:ascii="仿宋" w:hAnsi="仿宋" w:eastAsia="仿宋" w:cs="仿宋"/>
          <w:lang w:eastAsia="zh-CN"/>
        </w:rPr>
      </w:pPr>
    </w:p>
    <w:p w14:paraId="55462373">
      <w:pPr>
        <w:pStyle w:val="5"/>
        <w:spacing w:line="264" w:lineRule="auto"/>
        <w:rPr>
          <w:rFonts w:ascii="仿宋" w:hAnsi="仿宋" w:eastAsia="仿宋" w:cs="仿宋"/>
          <w:lang w:eastAsia="zh-CN"/>
        </w:rPr>
      </w:pPr>
    </w:p>
    <w:p w14:paraId="6028151F">
      <w:pPr>
        <w:spacing w:before="79" w:line="360" w:lineRule="auto"/>
        <w:ind w:left="3701"/>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4B3A7285">
      <w:pPr>
        <w:spacing w:before="1" w:line="219" w:lineRule="auto"/>
        <w:ind w:left="5484"/>
        <w:rPr>
          <w:rFonts w:ascii="仿宋" w:hAnsi="仿宋" w:eastAsia="仿宋" w:cs="仿宋"/>
          <w:sz w:val="24"/>
          <w:szCs w:val="24"/>
          <w:lang w:eastAsia="zh-CN"/>
        </w:rPr>
      </w:pPr>
      <w:r>
        <w:rPr>
          <w:rFonts w:hint="eastAsia" w:ascii="仿宋" w:hAnsi="仿宋" w:eastAsia="仿宋" w:cs="仿宋"/>
          <w:sz w:val="24"/>
          <w:szCs w:val="24"/>
          <w:lang w:eastAsia="zh-CN"/>
        </w:rPr>
        <w:t>年    月    日</w:t>
      </w:r>
    </w:p>
    <w:p w14:paraId="1C489235">
      <w:pPr>
        <w:spacing w:before="260" w:line="219" w:lineRule="auto"/>
        <w:ind w:left="462"/>
        <w:rPr>
          <w:rFonts w:ascii="仿宋" w:hAnsi="仿宋" w:eastAsia="仿宋" w:cs="仿宋"/>
          <w:sz w:val="24"/>
          <w:szCs w:val="24"/>
          <w:lang w:eastAsia="zh-CN"/>
        </w:rPr>
      </w:pPr>
    </w:p>
    <w:p w14:paraId="45EEA775">
      <w:pPr>
        <w:spacing w:before="260"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附件8</w:t>
      </w:r>
    </w:p>
    <w:p w14:paraId="4E2B6B97">
      <w:pPr>
        <w:pStyle w:val="5"/>
        <w:spacing w:line="258" w:lineRule="auto"/>
        <w:rPr>
          <w:rFonts w:ascii="仿宋" w:hAnsi="仿宋" w:eastAsia="仿宋" w:cs="仿宋"/>
          <w:b/>
          <w:bCs/>
          <w:lang w:eastAsia="zh-CN"/>
        </w:rPr>
      </w:pPr>
    </w:p>
    <w:p w14:paraId="49B4A753">
      <w:pPr>
        <w:spacing w:before="78" w:line="220" w:lineRule="auto"/>
        <w:ind w:left="3696"/>
        <w:rPr>
          <w:rFonts w:ascii="仿宋" w:hAnsi="仿宋" w:eastAsia="仿宋" w:cs="仿宋"/>
          <w:b/>
          <w:bCs/>
          <w:sz w:val="24"/>
          <w:szCs w:val="24"/>
          <w:lang w:eastAsia="zh-CN"/>
        </w:rPr>
      </w:pPr>
      <w:r>
        <w:rPr>
          <w:rFonts w:hint="eastAsia" w:ascii="仿宋" w:hAnsi="仿宋" w:eastAsia="仿宋" w:cs="仿宋"/>
          <w:b/>
          <w:bCs/>
          <w:sz w:val="24"/>
          <w:szCs w:val="24"/>
          <w:lang w:eastAsia="zh-CN"/>
        </w:rPr>
        <w:t>证明文件</w:t>
      </w:r>
    </w:p>
    <w:p w14:paraId="1BAE0E4D">
      <w:pPr>
        <w:pStyle w:val="5"/>
        <w:spacing w:line="335" w:lineRule="auto"/>
        <w:rPr>
          <w:rFonts w:ascii="仿宋" w:hAnsi="仿宋" w:eastAsia="仿宋" w:cs="仿宋"/>
          <w:lang w:eastAsia="zh-CN"/>
        </w:rPr>
      </w:pPr>
    </w:p>
    <w:p w14:paraId="5DE76763">
      <w:pPr>
        <w:spacing w:line="48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8.1             驻马店市政府采购供应商信用承诺函</w:t>
      </w:r>
    </w:p>
    <w:p w14:paraId="484F4312">
      <w:pPr>
        <w:spacing w:line="360" w:lineRule="auto"/>
        <w:rPr>
          <w:rFonts w:ascii="仿宋" w:hAnsi="仿宋" w:eastAsia="仿宋" w:cs="仿宋"/>
          <w:color w:val="auto"/>
          <w:sz w:val="24"/>
          <w:lang w:eastAsia="zh-CN"/>
        </w:rPr>
      </w:pPr>
      <w:r>
        <w:rPr>
          <w:rFonts w:hint="eastAsia" w:ascii="仿宋" w:hAnsi="仿宋" w:eastAsia="仿宋" w:cs="仿宋"/>
          <w:color w:val="auto"/>
          <w:sz w:val="24"/>
          <w:lang w:eastAsia="zh-CN"/>
        </w:rPr>
        <w:t>致（招标人或招标代理机构）：</w:t>
      </w:r>
    </w:p>
    <w:p w14:paraId="5C8AC9C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单位名称（自然人姓名）：       </w:t>
      </w:r>
    </w:p>
    <w:p w14:paraId="16B22778">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统一社会信用代码（身份证号码）：    </w:t>
      </w:r>
    </w:p>
    <w:p w14:paraId="60B2FDE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法定代表人（负责人）：        </w:t>
      </w:r>
    </w:p>
    <w:p w14:paraId="62C3354B">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联系地址和电话：   </w:t>
      </w:r>
    </w:p>
    <w:p w14:paraId="65C3383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1A0458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（一）具有独立承担民事责任的能力；</w:t>
      </w:r>
    </w:p>
    <w:p w14:paraId="2E860ABD">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（二）具有良好的商业信誉和健全的财务会计制度；</w:t>
      </w:r>
    </w:p>
    <w:p w14:paraId="7860883C">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（三）具有履行合同所必需的设备和专业技术能力；</w:t>
      </w:r>
    </w:p>
    <w:p w14:paraId="177C6062">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（四）有依法缴纳税收和社会保障资金的良好记录；</w:t>
      </w:r>
    </w:p>
    <w:p w14:paraId="3F008AE0">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（五）参加政府采购活动前三年内，在经营活动中没有重大违法记录；</w:t>
      </w:r>
    </w:p>
    <w:p w14:paraId="0359C5C7">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（六）未被列入严重失信主体名单、失信被执行人、税收违法黑名单、政府采购严重违法失信行为记录名单，未曾作出虚假承诺；</w:t>
      </w:r>
    </w:p>
    <w:p w14:paraId="59B9E565">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（七）符合法律、行政法规规定的其他条件。</w:t>
      </w:r>
    </w:p>
    <w:p w14:paraId="3E0FBDAF">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sz w:val="24"/>
          <w:lang w:eastAsia="zh-CN"/>
        </w:rPr>
        <w:t>我单位（本人）保证上述承诺事项的真实性，如有弄虚作假或其他违法违规行为，愿意承担一切法律责任，并承担因此所造成的一切损失。</w:t>
      </w:r>
    </w:p>
    <w:p w14:paraId="43B7F7CF">
      <w:pPr>
        <w:spacing w:line="360" w:lineRule="auto"/>
        <w:ind w:firstLine="3360" w:firstLineChars="1400"/>
        <w:rPr>
          <w:rFonts w:ascii="仿宋" w:hAnsi="仿宋" w:eastAsia="仿宋" w:cs="仿宋"/>
          <w:color w:val="auto"/>
          <w:sz w:val="24"/>
          <w:lang w:eastAsia="zh-CN"/>
        </w:rPr>
      </w:pPr>
      <w:r>
        <w:rPr>
          <w:rFonts w:hint="eastAsia" w:ascii="仿宋" w:hAnsi="仿宋" w:eastAsia="仿宋" w:cs="仿宋"/>
          <w:color w:val="auto"/>
          <w:sz w:val="24"/>
          <w:lang w:eastAsia="zh-CN"/>
        </w:rPr>
        <w:t>供应商名称（盖章）：</w:t>
      </w:r>
    </w:p>
    <w:p w14:paraId="064E4AD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法定代表人、负责人、自然人或授权代表(签字)：</w:t>
      </w:r>
    </w:p>
    <w:p w14:paraId="7DF6B754">
      <w:pPr>
        <w:spacing w:line="360" w:lineRule="auto"/>
        <w:ind w:firstLine="3120" w:firstLineChars="1300"/>
        <w:rPr>
          <w:rFonts w:ascii="仿宋" w:hAnsi="仿宋" w:eastAsia="仿宋" w:cs="仿宋"/>
          <w:color w:val="auto"/>
          <w:sz w:val="24"/>
          <w:lang w:eastAsia="zh-CN"/>
        </w:rPr>
      </w:pPr>
      <w:r>
        <w:rPr>
          <w:rFonts w:hint="eastAsia" w:ascii="仿宋" w:hAnsi="仿宋" w:eastAsia="仿宋" w:cs="仿宋"/>
          <w:color w:val="auto"/>
          <w:sz w:val="24"/>
          <w:lang w:eastAsia="zh-CN"/>
        </w:rPr>
        <w:t>日期：        年    月   日</w:t>
      </w:r>
    </w:p>
    <w:p w14:paraId="7A700A57">
      <w:pPr>
        <w:spacing w:line="360" w:lineRule="auto"/>
        <w:rPr>
          <w:rFonts w:ascii="仿宋" w:hAnsi="仿宋" w:eastAsia="仿宋" w:cs="仿宋"/>
          <w:b/>
          <w:bCs/>
          <w:color w:val="auto"/>
          <w:sz w:val="24"/>
          <w:lang w:eastAsia="zh-CN"/>
        </w:rPr>
      </w:pPr>
      <w:r>
        <w:rPr>
          <w:rFonts w:hint="eastAsia" w:ascii="仿宋" w:hAnsi="仿宋" w:eastAsia="仿宋" w:cs="仿宋"/>
          <w:b/>
          <w:bCs/>
          <w:color w:val="auto"/>
          <w:sz w:val="24"/>
          <w:lang w:eastAsia="zh-CN"/>
        </w:rPr>
        <w:t>注：1.投标人须在投标(响应性)文件中按此模板提供承诺函，未提供视为未实质性响应招标文件要求，按无效投标(响应)处理。</w:t>
      </w:r>
    </w:p>
    <w:p w14:paraId="6CA78203">
      <w:pPr>
        <w:spacing w:line="360" w:lineRule="auto"/>
        <w:ind w:firstLine="482" w:firstLineChars="200"/>
        <w:rPr>
          <w:rFonts w:ascii="仿宋" w:hAnsi="仿宋" w:eastAsia="仿宋" w:cs="仿宋"/>
          <w:b/>
          <w:bCs/>
          <w:color w:val="auto"/>
          <w:sz w:val="28"/>
          <w:szCs w:val="28"/>
          <w:lang w:eastAsia="zh-CN"/>
        </w:rPr>
      </w:pPr>
      <w:r>
        <w:rPr>
          <w:rFonts w:hint="eastAsia" w:ascii="仿宋" w:hAnsi="仿宋" w:eastAsia="仿宋" w:cs="仿宋"/>
          <w:b/>
          <w:bCs/>
          <w:color w:val="auto"/>
          <w:sz w:val="24"/>
          <w:lang w:eastAsia="zh-CN"/>
        </w:rPr>
        <w:t>2.投标人的法定代表人或者授权代表的签字或盖章应真实、有效，如由授权代表签字或盖章的，应提供“法定代表人授权书”。</w:t>
      </w:r>
    </w:p>
    <w:p w14:paraId="5CB7D910">
      <w:pPr>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8.2  中小企业声明函（格式）</w:t>
      </w:r>
    </w:p>
    <w:p w14:paraId="4D0E0A61">
      <w:pPr>
        <w:spacing w:line="360" w:lineRule="auto"/>
        <w:jc w:val="center"/>
        <w:outlineLvl w:val="1"/>
        <w:rPr>
          <w:rFonts w:ascii="仿宋" w:hAnsi="仿宋" w:eastAsia="仿宋" w:cs="仿宋"/>
          <w:lang w:eastAsia="zh-CN"/>
        </w:rPr>
      </w:pPr>
      <w:bookmarkStart w:id="3" w:name="_Toc525210051"/>
      <w:bookmarkStart w:id="4" w:name="_Toc523494085"/>
      <w:r>
        <w:rPr>
          <w:rFonts w:hint="eastAsia" w:ascii="仿宋" w:hAnsi="仿宋" w:eastAsia="仿宋" w:cs="仿宋"/>
          <w:b/>
          <w:bCs/>
          <w:sz w:val="28"/>
          <w:szCs w:val="28"/>
          <w:lang w:eastAsia="zh-CN"/>
        </w:rPr>
        <w:t>中小企业声明函</w:t>
      </w:r>
      <w:bookmarkEnd w:id="3"/>
      <w:bookmarkEnd w:id="4"/>
      <w:r>
        <w:rPr>
          <w:rFonts w:hint="eastAsia" w:ascii="仿宋" w:hAnsi="仿宋" w:eastAsia="仿宋" w:cs="仿宋"/>
          <w:b/>
          <w:bCs/>
          <w:sz w:val="28"/>
          <w:szCs w:val="28"/>
          <w:lang w:eastAsia="zh-CN"/>
        </w:rPr>
        <w:t>（服务类）</w:t>
      </w:r>
    </w:p>
    <w:p w14:paraId="24C2539A">
      <w:pPr>
        <w:widowControl w:val="0"/>
        <w:kinsoku/>
        <w:adjustRightInd/>
        <w:snapToGrid/>
        <w:spacing w:line="500" w:lineRule="exact"/>
        <w:ind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本公司郑重声明，根据《政府采购促进中小企业发展管理办法》（财库﹝2020﹞46 号）的规定，本公司参加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zh-CN" w:eastAsia="zh-CN"/>
        </w:rPr>
        <w:t>单位名称）的</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zh-CN" w:eastAsia="zh-CN"/>
        </w:rPr>
        <w:t>项目名称）采</w:t>
      </w:r>
      <w:r>
        <w:rPr>
          <w:rFonts w:hint="eastAsia" w:ascii="仿宋" w:hAnsi="仿宋" w:eastAsia="仿宋" w:cs="仿宋"/>
          <w:sz w:val="24"/>
          <w:szCs w:val="24"/>
          <w:lang w:eastAsia="zh-CN"/>
        </w:rPr>
        <w:t>购活动，</w:t>
      </w:r>
      <w:r>
        <w:rPr>
          <w:rFonts w:hint="eastAsia" w:ascii="仿宋" w:hAnsi="仿宋" w:eastAsia="仿宋" w:cs="仿宋"/>
          <w:b/>
          <w:bCs/>
          <w:sz w:val="24"/>
          <w:szCs w:val="24"/>
          <w:lang w:eastAsia="zh-CN"/>
        </w:rPr>
        <w:t>服务全部由符合政策要求的中小企业承接</w:t>
      </w:r>
      <w:r>
        <w:rPr>
          <w:rFonts w:hint="eastAsia" w:ascii="仿宋" w:hAnsi="仿宋" w:eastAsia="仿宋" w:cs="仿宋"/>
          <w:sz w:val="24"/>
          <w:szCs w:val="24"/>
          <w:lang w:eastAsia="zh-CN"/>
        </w:rPr>
        <w:t>。相关企业（含联合体中的中小企业、签订分包意向协议的中小企业）的具体情况如下：</w:t>
      </w:r>
    </w:p>
    <w:p w14:paraId="2801B49F">
      <w:pPr>
        <w:widowControl w:val="0"/>
        <w:numPr>
          <w:ilvl w:val="0"/>
          <w:numId w:val="1"/>
        </w:numPr>
        <w:kinsoku/>
        <w:adjustRightInd/>
        <w:snapToGrid/>
        <w:spacing w:line="500" w:lineRule="exact"/>
        <w:ind w:firstLine="480" w:firstLineChars="200"/>
        <w:textAlignment w:val="auto"/>
        <w:rPr>
          <w:rFonts w:ascii="仿宋" w:hAnsi="仿宋" w:eastAsia="仿宋" w:cs="仿宋"/>
          <w:sz w:val="24"/>
          <w:szCs w:val="24"/>
          <w:lang w:val="zh-CN" w:eastAsia="zh-CN"/>
        </w:rPr>
      </w:pP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（标的名称），属于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（采购文件中明确的所属行业）；承建（承接）企业为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lang w:eastAsia="zh-CN"/>
        </w:rPr>
        <w:t>从业人员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人，营业收入为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万元，资产总额为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万元，属于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zh-CN" w:eastAsia="zh-CN"/>
        </w:rPr>
        <w:t>中型企业、小型企业、微型企业）；</w:t>
      </w:r>
    </w:p>
    <w:p w14:paraId="58871F67">
      <w:pPr>
        <w:widowControl w:val="0"/>
        <w:numPr>
          <w:ilvl w:val="0"/>
          <w:numId w:val="1"/>
        </w:numPr>
        <w:kinsoku/>
        <w:adjustRightInd/>
        <w:snapToGrid/>
        <w:spacing w:line="500" w:lineRule="exact"/>
        <w:ind w:firstLine="480" w:firstLineChars="200"/>
        <w:textAlignment w:val="auto"/>
        <w:rPr>
          <w:rFonts w:ascii="仿宋" w:hAnsi="仿宋" w:eastAsia="仿宋" w:cs="仿宋"/>
          <w:sz w:val="24"/>
          <w:szCs w:val="24"/>
          <w:lang w:val="zh-CN" w:eastAsia="zh-CN"/>
        </w:rPr>
      </w:pP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（标的名称），属于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（采购文件中明确的所属行业）；承建（承接）企业为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lang w:eastAsia="zh-CN"/>
        </w:rPr>
        <w:t>从业人员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人，营业收入为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万元，资产总额为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万元，属于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zh-CN" w:eastAsia="zh-CN"/>
        </w:rPr>
        <w:t>中型企业、小型企业、微型企业）；</w:t>
      </w:r>
    </w:p>
    <w:p w14:paraId="156EA3F2">
      <w:pPr>
        <w:widowControl w:val="0"/>
        <w:kinsoku/>
        <w:adjustRightInd/>
        <w:snapToGrid/>
        <w:spacing w:line="500" w:lineRule="exact"/>
        <w:textAlignment w:val="auto"/>
        <w:rPr>
          <w:rFonts w:ascii="仿宋" w:hAnsi="仿宋" w:eastAsia="仿宋" w:cs="仿宋"/>
          <w:sz w:val="24"/>
          <w:szCs w:val="24"/>
          <w:lang w:eastAsia="zh-CN"/>
        </w:rPr>
      </w:pPr>
      <w:r>
        <w:rPr>
          <w:rFonts w:hint="eastAsia" w:ascii="仿宋" w:hAnsi="仿宋" w:eastAsia="仿宋" w:cs="仿宋"/>
          <w:sz w:val="24"/>
          <w:szCs w:val="24"/>
          <w:lang w:eastAsia="zh-CN"/>
        </w:rPr>
        <w:t>……</w:t>
      </w:r>
    </w:p>
    <w:p w14:paraId="637137F3">
      <w:pPr>
        <w:pStyle w:val="5"/>
        <w:widowControl w:val="0"/>
        <w:kinsoku/>
        <w:adjustRightInd/>
        <w:snapToGrid/>
        <w:spacing w:line="500" w:lineRule="exact"/>
        <w:ind w:firstLine="240" w:firstLineChars="100"/>
        <w:jc w:val="both"/>
        <w:textAlignment w:val="auto"/>
        <w:rPr>
          <w:rFonts w:ascii="仿宋" w:hAnsi="仿宋" w:eastAsia="仿宋" w:cs="仿宋"/>
          <w:sz w:val="24"/>
          <w:szCs w:val="24"/>
          <w:lang w:eastAsia="zh-CN"/>
        </w:rPr>
      </w:pPr>
      <w:r>
        <w:rPr>
          <w:rFonts w:hint="eastAsia" w:ascii="仿宋" w:hAnsi="仿宋" w:eastAsia="仿宋" w:cs="仿宋"/>
          <w:sz w:val="24"/>
          <w:szCs w:val="24"/>
          <w:lang w:eastAsia="zh-CN"/>
        </w:rPr>
        <w:t>以上企业，不属于大企业的分支机构，不存在控股股东为大企业的情形，也不存在与大企业的负责人为同一人的情形。</w:t>
      </w:r>
    </w:p>
    <w:p w14:paraId="66AE7B0E">
      <w:pPr>
        <w:pStyle w:val="5"/>
        <w:widowControl w:val="0"/>
        <w:kinsoku/>
        <w:adjustRightInd/>
        <w:snapToGrid/>
        <w:spacing w:line="500" w:lineRule="exact"/>
        <w:ind w:firstLine="240" w:firstLineChars="100"/>
        <w:textAlignment w:val="auto"/>
        <w:rPr>
          <w:rFonts w:ascii="仿宋" w:hAnsi="仿宋" w:eastAsia="仿宋" w:cs="仿宋"/>
          <w:sz w:val="24"/>
          <w:szCs w:val="24"/>
          <w:lang w:eastAsia="zh-CN"/>
        </w:rPr>
      </w:pPr>
      <w:r>
        <w:rPr>
          <w:rFonts w:hint="eastAsia" w:ascii="仿宋" w:hAnsi="仿宋" w:eastAsia="仿宋" w:cs="仿宋"/>
          <w:sz w:val="24"/>
          <w:szCs w:val="24"/>
          <w:lang w:eastAsia="zh-CN"/>
        </w:rPr>
        <w:t>本企业对上述声明内容的真实性负责。如有虚假，将依法承担相应责任。</w:t>
      </w:r>
    </w:p>
    <w:p w14:paraId="1F54A533">
      <w:pPr>
        <w:widowControl w:val="0"/>
        <w:kinsoku/>
        <w:adjustRightInd/>
        <w:snapToGrid/>
        <w:spacing w:line="500" w:lineRule="exact"/>
        <w:ind w:firstLine="3120" w:firstLineChars="1300"/>
        <w:textAlignment w:val="auto"/>
        <w:rPr>
          <w:rFonts w:ascii="仿宋" w:hAnsi="仿宋" w:eastAsia="仿宋" w:cs="仿宋"/>
          <w:sz w:val="24"/>
          <w:szCs w:val="24"/>
          <w:lang w:eastAsia="zh-CN"/>
        </w:rPr>
      </w:pPr>
      <w:r>
        <w:rPr>
          <w:rFonts w:hint="eastAsia" w:ascii="仿宋" w:hAnsi="仿宋" w:eastAsia="仿宋" w:cs="仿宋"/>
          <w:sz w:val="24"/>
          <w:szCs w:val="24"/>
          <w:lang w:eastAsia="zh-CN"/>
        </w:rPr>
        <w:t>企业名称（</w:t>
      </w:r>
      <w:r>
        <w:rPr>
          <w:rFonts w:hint="eastAsia" w:ascii="仿宋" w:hAnsi="仿宋" w:eastAsia="仿宋" w:cs="仿宋"/>
          <w:sz w:val="24"/>
          <w:lang w:eastAsia="zh-CN"/>
        </w:rPr>
        <w:t>电子签章</w:t>
      </w:r>
      <w:r>
        <w:rPr>
          <w:rFonts w:hint="eastAsia" w:ascii="仿宋" w:hAnsi="仿宋" w:eastAsia="仿宋" w:cs="仿宋"/>
          <w:sz w:val="24"/>
          <w:szCs w:val="24"/>
          <w:lang w:eastAsia="zh-CN"/>
        </w:rPr>
        <w:t>）：</w:t>
      </w:r>
    </w:p>
    <w:p w14:paraId="5FECB709">
      <w:pPr>
        <w:widowControl w:val="0"/>
        <w:kinsoku/>
        <w:adjustRightInd/>
        <w:snapToGrid/>
        <w:spacing w:line="500" w:lineRule="exact"/>
        <w:ind w:firstLine="3120" w:firstLineChars="1300"/>
        <w:textAlignment w:val="auto"/>
        <w:rPr>
          <w:rFonts w:ascii="仿宋" w:hAnsi="仿宋" w:eastAsia="仿宋" w:cs="仿宋"/>
          <w:sz w:val="24"/>
          <w:szCs w:val="24"/>
          <w:lang w:eastAsia="zh-CN"/>
        </w:rPr>
      </w:pPr>
      <w:r>
        <w:rPr>
          <w:rFonts w:hint="eastAsia" w:ascii="仿宋" w:hAnsi="仿宋" w:eastAsia="仿宋" w:cs="仿宋"/>
          <w:sz w:val="24"/>
          <w:szCs w:val="24"/>
          <w:lang w:eastAsia="zh-CN"/>
        </w:rPr>
        <w:t>日     期：</w:t>
      </w:r>
    </w:p>
    <w:p w14:paraId="4C1CDAF3">
      <w:pPr>
        <w:wordWrap w:val="0"/>
        <w:spacing w:line="360" w:lineRule="auto"/>
        <w:ind w:right="735"/>
        <w:jc w:val="right"/>
        <w:rPr>
          <w:rFonts w:ascii="仿宋" w:hAnsi="仿宋" w:eastAsia="仿宋" w:cs="仿宋"/>
          <w:u w:val="single"/>
          <w:lang w:eastAsia="zh-CN"/>
        </w:rPr>
      </w:pPr>
    </w:p>
    <w:p w14:paraId="47780B65">
      <w:pPr>
        <w:spacing w:line="360" w:lineRule="auto"/>
        <w:jc w:val="right"/>
        <w:rPr>
          <w:rFonts w:ascii="仿宋" w:hAnsi="仿宋" w:eastAsia="仿宋" w:cs="仿宋"/>
          <w:u w:val="single"/>
          <w:lang w:eastAsia="zh-CN"/>
        </w:rPr>
      </w:pPr>
    </w:p>
    <w:p w14:paraId="286E65CE">
      <w:pPr>
        <w:pStyle w:val="10"/>
        <w:rPr>
          <w:rFonts w:ascii="仿宋" w:hAnsi="仿宋" w:eastAsia="仿宋" w:cs="仿宋"/>
          <w:sz w:val="24"/>
          <w:szCs w:val="24"/>
          <w:lang w:eastAsia="zh-CN"/>
        </w:rPr>
      </w:pPr>
      <w:r>
        <w:rPr>
          <w:rFonts w:hint="eastAsia" w:ascii="仿宋" w:hAnsi="仿宋" w:eastAsia="仿宋" w:cs="仿宋"/>
          <w:sz w:val="24"/>
          <w:szCs w:val="24"/>
          <w:lang w:eastAsia="zh-CN"/>
        </w:rPr>
        <w:t>从业人员、营业收入、资产总额填报上一年度数据，无上一年度数据的新成立企业可不填报。</w:t>
      </w:r>
    </w:p>
    <w:p w14:paraId="7D5DD55C">
      <w:pPr>
        <w:wordWrap w:val="0"/>
        <w:spacing w:line="360" w:lineRule="auto"/>
        <w:rPr>
          <w:rFonts w:ascii="仿宋" w:hAnsi="仿宋" w:eastAsia="仿宋" w:cs="仿宋"/>
          <w:color w:val="auto"/>
          <w:sz w:val="24"/>
          <w:lang w:eastAsia="zh-CN"/>
        </w:rPr>
      </w:pPr>
    </w:p>
    <w:p w14:paraId="14CDFB13">
      <w:pPr>
        <w:shd w:val="clear" w:color="auto" w:fill="FFFFFF"/>
        <w:spacing w:line="360" w:lineRule="auto"/>
        <w:rPr>
          <w:rFonts w:ascii="仿宋" w:hAnsi="仿宋" w:eastAsia="仿宋" w:cs="仿宋"/>
          <w:b/>
          <w:color w:val="auto"/>
          <w:sz w:val="24"/>
          <w:lang w:eastAsia="zh-CN"/>
        </w:rPr>
      </w:pPr>
    </w:p>
    <w:p w14:paraId="5AACFF5A">
      <w:pPr>
        <w:shd w:val="clear" w:color="auto" w:fill="FFFFFF"/>
        <w:spacing w:line="360" w:lineRule="auto"/>
        <w:ind w:firstLine="482" w:firstLineChars="200"/>
        <w:rPr>
          <w:rFonts w:ascii="仿宋" w:hAnsi="仿宋" w:eastAsia="仿宋" w:cs="仿宋"/>
          <w:b/>
          <w:color w:val="auto"/>
          <w:sz w:val="24"/>
          <w:lang w:eastAsia="zh-CN"/>
        </w:rPr>
      </w:pPr>
    </w:p>
    <w:p w14:paraId="70E814A8">
      <w:pPr>
        <w:shd w:val="clear" w:color="auto" w:fill="FFFFFF"/>
        <w:spacing w:line="360" w:lineRule="auto"/>
        <w:rPr>
          <w:rFonts w:ascii="仿宋" w:hAnsi="仿宋" w:eastAsia="仿宋" w:cs="仿宋"/>
          <w:b/>
          <w:color w:val="auto"/>
          <w:sz w:val="24"/>
          <w:lang w:eastAsia="zh-CN"/>
        </w:rPr>
      </w:pPr>
    </w:p>
    <w:p w14:paraId="2D4B9736">
      <w:pPr>
        <w:shd w:val="clear" w:color="auto" w:fill="FFFFFF"/>
        <w:spacing w:line="360" w:lineRule="auto"/>
        <w:rPr>
          <w:rFonts w:ascii="仿宋" w:hAnsi="仿宋" w:eastAsia="仿宋" w:cs="仿宋"/>
          <w:b/>
          <w:color w:val="auto"/>
          <w:sz w:val="24"/>
          <w:lang w:eastAsia="zh-CN"/>
        </w:rPr>
      </w:pPr>
    </w:p>
    <w:p w14:paraId="038CCCAE">
      <w:pPr>
        <w:shd w:val="clear" w:color="auto" w:fill="FFFFFF"/>
        <w:spacing w:line="360" w:lineRule="auto"/>
        <w:rPr>
          <w:rFonts w:ascii="仿宋" w:hAnsi="仿宋" w:eastAsia="仿宋" w:cs="仿宋"/>
          <w:b/>
          <w:color w:val="auto"/>
          <w:sz w:val="24"/>
          <w:lang w:eastAsia="zh-CN"/>
        </w:rPr>
      </w:pPr>
    </w:p>
    <w:p w14:paraId="5CDF662F">
      <w:pPr>
        <w:shd w:val="clear" w:color="auto" w:fill="FFFFFF"/>
        <w:spacing w:line="360" w:lineRule="auto"/>
        <w:rPr>
          <w:rFonts w:ascii="仿宋" w:hAnsi="仿宋" w:eastAsia="仿宋" w:cs="仿宋"/>
          <w:b/>
          <w:color w:val="auto"/>
          <w:sz w:val="24"/>
          <w:lang w:eastAsia="zh-CN"/>
        </w:rPr>
      </w:pPr>
    </w:p>
    <w:p w14:paraId="76644D52">
      <w:pPr>
        <w:shd w:val="clear" w:color="auto" w:fill="FFFFFF"/>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8.3  残疾人福利性单位声明函（格式）</w:t>
      </w:r>
    </w:p>
    <w:p w14:paraId="2A2FC39B">
      <w:pPr>
        <w:spacing w:line="360" w:lineRule="auto"/>
        <w:jc w:val="center"/>
        <w:rPr>
          <w:rFonts w:ascii="仿宋" w:hAnsi="仿宋" w:eastAsia="仿宋" w:cs="仿宋"/>
          <w:color w:val="auto"/>
          <w:sz w:val="24"/>
          <w:lang w:eastAsia="zh-CN"/>
        </w:rPr>
      </w:pPr>
      <w:r>
        <w:rPr>
          <w:rFonts w:hint="eastAsia" w:ascii="仿宋" w:hAnsi="仿宋" w:eastAsia="仿宋" w:cs="仿宋"/>
          <w:b/>
          <w:color w:val="auto"/>
          <w:sz w:val="24"/>
          <w:lang w:eastAsia="zh-CN"/>
        </w:rPr>
        <w:t>残疾人福利性单位声明函</w:t>
      </w:r>
    </w:p>
    <w:p w14:paraId="17F1FE6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A580A3">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本单位对上述声明的真实性负责。如有虚假，将依法承担相应责任。</w:t>
      </w:r>
    </w:p>
    <w:p w14:paraId="5028271F">
      <w:pPr>
        <w:wordWrap w:val="0"/>
        <w:spacing w:line="360" w:lineRule="auto"/>
        <w:ind w:firstLine="2280" w:firstLineChars="950"/>
        <w:rPr>
          <w:rFonts w:ascii="仿宋" w:hAnsi="仿宋" w:eastAsia="仿宋" w:cs="仿宋"/>
          <w:color w:val="auto"/>
          <w:sz w:val="24"/>
          <w:lang w:eastAsia="zh-CN"/>
        </w:rPr>
      </w:pPr>
    </w:p>
    <w:p w14:paraId="275D8D17">
      <w:pPr>
        <w:wordWrap w:val="0"/>
        <w:spacing w:line="360" w:lineRule="auto"/>
        <w:ind w:firstLine="2280" w:firstLineChars="950"/>
        <w:rPr>
          <w:rFonts w:ascii="仿宋" w:hAnsi="仿宋" w:eastAsia="仿宋" w:cs="仿宋"/>
          <w:color w:val="auto"/>
          <w:sz w:val="24"/>
          <w:lang w:eastAsia="zh-CN"/>
        </w:rPr>
      </w:pPr>
      <w:r>
        <w:rPr>
          <w:rFonts w:hint="eastAsia" w:ascii="仿宋" w:hAnsi="仿宋" w:eastAsia="仿宋" w:cs="仿宋"/>
          <w:sz w:val="24"/>
          <w:szCs w:val="24"/>
          <w:lang w:eastAsia="zh-CN"/>
        </w:rPr>
        <w:t>投标人</w:t>
      </w:r>
      <w:r>
        <w:rPr>
          <w:rFonts w:hint="eastAsia" w:ascii="仿宋" w:hAnsi="仿宋" w:eastAsia="仿宋" w:cs="仿宋"/>
          <w:color w:val="auto"/>
          <w:sz w:val="24"/>
          <w:lang w:eastAsia="zh-CN"/>
        </w:rPr>
        <w:t>：</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（全称并加盖公章）  </w:t>
      </w:r>
    </w:p>
    <w:p w14:paraId="4D7D51EF">
      <w:pPr>
        <w:wordWrap w:val="0"/>
        <w:spacing w:line="360" w:lineRule="auto"/>
        <w:ind w:firstLine="4920" w:firstLineChars="2050"/>
        <w:rPr>
          <w:rFonts w:ascii="仿宋" w:hAnsi="仿宋" w:eastAsia="仿宋" w:cs="仿宋"/>
          <w:b/>
          <w:color w:val="auto"/>
          <w:sz w:val="24"/>
          <w:lang w:eastAsia="zh-CN"/>
        </w:rPr>
      </w:pPr>
      <w:r>
        <w:rPr>
          <w:rFonts w:hint="eastAsia" w:ascii="仿宋" w:hAnsi="仿宋" w:eastAsia="仿宋" w:cs="仿宋"/>
          <w:color w:val="auto"/>
          <w:sz w:val="24"/>
          <w:lang w:eastAsia="zh-CN"/>
        </w:rPr>
        <w:t>年   月    日</w:t>
      </w:r>
    </w:p>
    <w:p w14:paraId="42E45419">
      <w:pPr>
        <w:shd w:val="clear" w:color="auto" w:fill="FFFFFF"/>
        <w:spacing w:line="360" w:lineRule="auto"/>
        <w:rPr>
          <w:rFonts w:ascii="仿宋" w:hAnsi="仿宋" w:eastAsia="仿宋" w:cs="仿宋"/>
          <w:b/>
          <w:bCs/>
          <w:color w:val="auto"/>
          <w:sz w:val="24"/>
          <w:lang w:eastAsia="zh-CN"/>
        </w:rPr>
      </w:pPr>
    </w:p>
    <w:p w14:paraId="08B0063E">
      <w:pPr>
        <w:spacing w:line="360" w:lineRule="auto"/>
        <w:rPr>
          <w:rFonts w:ascii="仿宋" w:hAnsi="仿宋" w:eastAsia="仿宋" w:cs="仿宋"/>
          <w:b/>
          <w:color w:val="auto"/>
          <w:sz w:val="24"/>
          <w:lang w:eastAsia="zh-CN"/>
        </w:rPr>
      </w:pPr>
    </w:p>
    <w:p w14:paraId="21D65B63">
      <w:pPr>
        <w:spacing w:line="360" w:lineRule="auto"/>
        <w:rPr>
          <w:rFonts w:ascii="仿宋" w:hAnsi="仿宋" w:eastAsia="仿宋" w:cs="仿宋"/>
          <w:b/>
          <w:color w:val="auto"/>
          <w:sz w:val="24"/>
          <w:lang w:eastAsia="zh-CN"/>
        </w:rPr>
      </w:pPr>
    </w:p>
    <w:p w14:paraId="04DF85B6">
      <w:pPr>
        <w:spacing w:line="360" w:lineRule="auto"/>
        <w:rPr>
          <w:rFonts w:ascii="仿宋" w:hAnsi="仿宋" w:eastAsia="仿宋" w:cs="仿宋"/>
          <w:b/>
          <w:color w:val="auto"/>
          <w:sz w:val="24"/>
          <w:lang w:eastAsia="zh-CN"/>
        </w:rPr>
      </w:pPr>
    </w:p>
    <w:p w14:paraId="35BC2192">
      <w:pPr>
        <w:spacing w:line="360" w:lineRule="auto"/>
        <w:rPr>
          <w:rFonts w:ascii="仿宋" w:hAnsi="仿宋" w:eastAsia="仿宋" w:cs="仿宋"/>
          <w:b/>
          <w:color w:val="auto"/>
          <w:sz w:val="24"/>
          <w:lang w:eastAsia="zh-CN"/>
        </w:rPr>
      </w:pPr>
    </w:p>
    <w:p w14:paraId="29A4B56E">
      <w:pPr>
        <w:spacing w:line="360" w:lineRule="auto"/>
        <w:rPr>
          <w:rFonts w:ascii="仿宋" w:hAnsi="仿宋" w:eastAsia="仿宋" w:cs="仿宋"/>
          <w:b/>
          <w:color w:val="auto"/>
          <w:sz w:val="24"/>
          <w:lang w:eastAsia="zh-CN"/>
        </w:rPr>
      </w:pPr>
    </w:p>
    <w:p w14:paraId="11867491">
      <w:pPr>
        <w:spacing w:line="360" w:lineRule="auto"/>
        <w:rPr>
          <w:rFonts w:ascii="仿宋" w:hAnsi="仿宋" w:eastAsia="仿宋" w:cs="仿宋"/>
          <w:b/>
          <w:color w:val="auto"/>
          <w:sz w:val="24"/>
          <w:lang w:eastAsia="zh-CN"/>
        </w:rPr>
      </w:pPr>
    </w:p>
    <w:p w14:paraId="5A858892">
      <w:pPr>
        <w:spacing w:line="360" w:lineRule="auto"/>
        <w:rPr>
          <w:rFonts w:ascii="仿宋" w:hAnsi="仿宋" w:eastAsia="仿宋" w:cs="仿宋"/>
          <w:b/>
          <w:color w:val="auto"/>
          <w:sz w:val="24"/>
          <w:lang w:eastAsia="zh-CN"/>
        </w:rPr>
      </w:pPr>
    </w:p>
    <w:p w14:paraId="15B91910">
      <w:pPr>
        <w:spacing w:line="360" w:lineRule="auto"/>
        <w:rPr>
          <w:rFonts w:ascii="仿宋" w:hAnsi="仿宋" w:eastAsia="仿宋" w:cs="仿宋"/>
          <w:b/>
          <w:color w:val="auto"/>
          <w:sz w:val="24"/>
          <w:lang w:eastAsia="zh-CN"/>
        </w:rPr>
      </w:pPr>
    </w:p>
    <w:p w14:paraId="20CAA333">
      <w:pPr>
        <w:spacing w:line="360" w:lineRule="auto"/>
        <w:rPr>
          <w:rFonts w:ascii="仿宋" w:hAnsi="仿宋" w:eastAsia="仿宋" w:cs="仿宋"/>
          <w:b/>
          <w:color w:val="auto"/>
          <w:sz w:val="24"/>
          <w:lang w:eastAsia="zh-CN"/>
        </w:rPr>
      </w:pPr>
    </w:p>
    <w:p w14:paraId="1B0C98C8">
      <w:pPr>
        <w:spacing w:line="360" w:lineRule="auto"/>
        <w:rPr>
          <w:rFonts w:ascii="仿宋" w:hAnsi="仿宋" w:eastAsia="仿宋" w:cs="仿宋"/>
          <w:b/>
          <w:color w:val="auto"/>
          <w:sz w:val="24"/>
          <w:lang w:eastAsia="zh-CN"/>
        </w:rPr>
      </w:pPr>
    </w:p>
    <w:p w14:paraId="5837215A">
      <w:pPr>
        <w:spacing w:line="360" w:lineRule="auto"/>
        <w:rPr>
          <w:rFonts w:ascii="仿宋" w:hAnsi="仿宋" w:eastAsia="仿宋" w:cs="仿宋"/>
          <w:b/>
          <w:color w:val="auto"/>
          <w:sz w:val="24"/>
          <w:lang w:eastAsia="zh-CN"/>
        </w:rPr>
      </w:pPr>
    </w:p>
    <w:p w14:paraId="672FA85C">
      <w:pPr>
        <w:spacing w:line="360" w:lineRule="auto"/>
        <w:rPr>
          <w:rFonts w:ascii="仿宋" w:hAnsi="仿宋" w:eastAsia="仿宋" w:cs="仿宋"/>
          <w:b/>
          <w:color w:val="auto"/>
          <w:sz w:val="24"/>
          <w:lang w:eastAsia="zh-CN"/>
        </w:rPr>
      </w:pPr>
    </w:p>
    <w:p w14:paraId="20AA86B7">
      <w:pPr>
        <w:spacing w:line="360" w:lineRule="auto"/>
        <w:rPr>
          <w:rFonts w:ascii="仿宋" w:hAnsi="仿宋" w:eastAsia="仿宋" w:cs="仿宋"/>
          <w:b/>
          <w:color w:val="auto"/>
          <w:sz w:val="24"/>
          <w:lang w:eastAsia="zh-CN"/>
        </w:rPr>
      </w:pPr>
    </w:p>
    <w:p w14:paraId="23E9D04D">
      <w:pPr>
        <w:spacing w:line="360" w:lineRule="auto"/>
        <w:rPr>
          <w:rFonts w:ascii="仿宋" w:hAnsi="仿宋" w:eastAsia="仿宋" w:cs="仿宋"/>
          <w:b/>
          <w:color w:val="auto"/>
          <w:sz w:val="24"/>
          <w:lang w:eastAsia="zh-CN"/>
        </w:rPr>
      </w:pPr>
    </w:p>
    <w:p w14:paraId="1253EC9F">
      <w:pPr>
        <w:spacing w:line="360" w:lineRule="auto"/>
        <w:rPr>
          <w:rFonts w:ascii="仿宋" w:hAnsi="仿宋" w:eastAsia="仿宋" w:cs="仿宋"/>
          <w:b/>
          <w:color w:val="auto"/>
          <w:sz w:val="24"/>
          <w:lang w:eastAsia="zh-CN"/>
        </w:rPr>
      </w:pPr>
    </w:p>
    <w:p w14:paraId="7654E441">
      <w:pPr>
        <w:shd w:val="clear" w:color="auto" w:fill="FFFFFF"/>
        <w:spacing w:line="360" w:lineRule="auto"/>
        <w:rPr>
          <w:rFonts w:ascii="仿宋" w:hAnsi="仿宋" w:eastAsia="仿宋" w:cs="仿宋"/>
          <w:b/>
          <w:color w:val="auto"/>
          <w:sz w:val="24"/>
          <w:lang w:eastAsia="zh-CN"/>
        </w:rPr>
      </w:pPr>
    </w:p>
    <w:p w14:paraId="214C987D">
      <w:pPr>
        <w:shd w:val="clear" w:color="auto" w:fill="FFFFFF"/>
        <w:spacing w:line="360" w:lineRule="auto"/>
        <w:rPr>
          <w:rFonts w:ascii="仿宋" w:hAnsi="仿宋" w:eastAsia="仿宋" w:cs="仿宋"/>
          <w:b/>
          <w:color w:val="auto"/>
          <w:sz w:val="24"/>
          <w:lang w:eastAsia="zh-CN"/>
        </w:rPr>
      </w:pPr>
    </w:p>
    <w:p w14:paraId="5E6F04A9">
      <w:pPr>
        <w:shd w:val="clear" w:color="auto" w:fill="FFFFFF"/>
        <w:spacing w:line="360" w:lineRule="auto"/>
        <w:rPr>
          <w:rFonts w:ascii="仿宋" w:hAnsi="仿宋" w:eastAsia="仿宋" w:cs="仿宋"/>
          <w:b/>
          <w:color w:val="auto"/>
          <w:sz w:val="24"/>
          <w:lang w:eastAsia="zh-CN"/>
        </w:rPr>
      </w:pPr>
    </w:p>
    <w:p w14:paraId="763CBEED">
      <w:pPr>
        <w:shd w:val="clear" w:color="auto" w:fill="FFFFFF"/>
        <w:spacing w:line="360" w:lineRule="auto"/>
        <w:rPr>
          <w:rFonts w:ascii="仿宋" w:hAnsi="仿宋" w:eastAsia="仿宋" w:cs="仿宋"/>
          <w:b/>
          <w:color w:val="auto"/>
          <w:sz w:val="24"/>
          <w:lang w:eastAsia="zh-CN"/>
        </w:rPr>
      </w:pPr>
      <w:r>
        <w:rPr>
          <w:rFonts w:hint="eastAsia" w:ascii="仿宋" w:hAnsi="仿宋" w:eastAsia="仿宋" w:cs="仿宋"/>
          <w:b/>
          <w:color w:val="auto"/>
          <w:sz w:val="24"/>
          <w:lang w:eastAsia="zh-CN"/>
        </w:rPr>
        <w:t>8.4</w:t>
      </w:r>
      <w:bookmarkStart w:id="5" w:name="_Toc32644"/>
      <w:bookmarkStart w:id="6" w:name="_Toc21416"/>
      <w:bookmarkStart w:id="7" w:name="_Toc16523"/>
      <w:bookmarkStart w:id="8" w:name="_Toc27929"/>
      <w:bookmarkStart w:id="9" w:name="_Toc736"/>
      <w:bookmarkStart w:id="10" w:name="_Toc100065846"/>
      <w:r>
        <w:rPr>
          <w:rFonts w:hint="eastAsia" w:ascii="仿宋" w:hAnsi="仿宋" w:eastAsia="仿宋" w:cs="仿宋"/>
          <w:b/>
          <w:color w:val="auto"/>
          <w:sz w:val="24"/>
          <w:lang w:eastAsia="zh-CN"/>
        </w:rPr>
        <w:t xml:space="preserve">  监狱企业的证明文件</w:t>
      </w:r>
      <w:bookmarkEnd w:id="5"/>
      <w:bookmarkEnd w:id="6"/>
      <w:bookmarkEnd w:id="7"/>
      <w:bookmarkEnd w:id="8"/>
      <w:bookmarkEnd w:id="9"/>
      <w:bookmarkEnd w:id="10"/>
      <w:r>
        <w:rPr>
          <w:rFonts w:hint="eastAsia" w:ascii="仿宋" w:hAnsi="仿宋" w:eastAsia="仿宋" w:cs="仿宋"/>
          <w:b/>
          <w:color w:val="auto"/>
          <w:sz w:val="24"/>
          <w:lang w:eastAsia="zh-CN"/>
        </w:rPr>
        <w:t>（格式）</w:t>
      </w:r>
    </w:p>
    <w:p w14:paraId="2F5A2C02">
      <w:pPr>
        <w:spacing w:line="360" w:lineRule="auto"/>
        <w:jc w:val="center"/>
        <w:rPr>
          <w:rFonts w:ascii="仿宋" w:hAnsi="仿宋" w:eastAsia="仿宋" w:cs="仿宋"/>
          <w:b/>
          <w:color w:val="auto"/>
          <w:sz w:val="32"/>
          <w:szCs w:val="32"/>
          <w:lang w:eastAsia="zh-CN"/>
        </w:rPr>
      </w:pPr>
    </w:p>
    <w:p w14:paraId="197FA559">
      <w:pPr>
        <w:spacing w:line="360" w:lineRule="auto"/>
        <w:jc w:val="center"/>
        <w:rPr>
          <w:rFonts w:ascii="仿宋" w:hAnsi="仿宋" w:eastAsia="仿宋" w:cs="仿宋"/>
          <w:color w:val="auto"/>
          <w:sz w:val="32"/>
          <w:szCs w:val="32"/>
          <w:lang w:eastAsia="zh-CN"/>
        </w:rPr>
      </w:pPr>
      <w:r>
        <w:rPr>
          <w:rFonts w:hint="eastAsia" w:ascii="仿宋" w:hAnsi="仿宋" w:eastAsia="仿宋" w:cs="仿宋"/>
          <w:b/>
          <w:color w:val="auto"/>
          <w:sz w:val="32"/>
          <w:szCs w:val="32"/>
          <w:lang w:eastAsia="zh-CN"/>
        </w:rPr>
        <w:t>监狱企业的证明文件</w:t>
      </w:r>
    </w:p>
    <w:p w14:paraId="76254625">
      <w:pPr>
        <w:spacing w:line="360" w:lineRule="auto"/>
        <w:ind w:firstLine="420" w:firstLineChars="200"/>
        <w:rPr>
          <w:rFonts w:ascii="仿宋" w:hAnsi="仿宋" w:eastAsia="仿宋" w:cs="仿宋"/>
          <w:color w:val="auto"/>
          <w:lang w:eastAsia="zh-CN"/>
        </w:rPr>
      </w:pPr>
    </w:p>
    <w:p w14:paraId="5D19FA1E">
      <w:pPr>
        <w:spacing w:line="360" w:lineRule="auto"/>
        <w:ind w:firstLine="480" w:firstLineChars="200"/>
        <w:rPr>
          <w:rFonts w:ascii="仿宋" w:hAnsi="仿宋" w:eastAsia="仿宋" w:cs="仿宋"/>
          <w:color w:val="auto"/>
          <w:sz w:val="24"/>
          <w:lang w:eastAsia="zh-CN"/>
        </w:rPr>
      </w:pPr>
      <w:r>
        <w:rPr>
          <w:rFonts w:hint="eastAsia" w:ascii="仿宋" w:hAnsi="仿宋" w:eastAsia="仿宋" w:cs="仿宋"/>
          <w:color w:val="auto"/>
          <w:sz w:val="24"/>
          <w:lang w:eastAsia="zh-CN"/>
        </w:rPr>
        <w:t>说明：监狱企业参加政府采购活动时，应当提供省级以上监狱管理局、戒毒管理局（含新疆生产建设兵团）出具的属于监狱企业的证明文件。</w:t>
      </w:r>
    </w:p>
    <w:p w14:paraId="5F6FC409">
      <w:pPr>
        <w:spacing w:line="360" w:lineRule="auto"/>
        <w:ind w:firstLine="480" w:firstLineChars="200"/>
        <w:rPr>
          <w:rFonts w:ascii="仿宋" w:hAnsi="仿宋" w:eastAsia="仿宋" w:cs="仿宋"/>
          <w:color w:val="auto"/>
          <w:sz w:val="24"/>
          <w:lang w:eastAsia="zh-CN"/>
        </w:rPr>
      </w:pPr>
    </w:p>
    <w:p w14:paraId="2B9B25F2">
      <w:pPr>
        <w:spacing w:line="360" w:lineRule="auto"/>
        <w:ind w:right="-82" w:rightChars="-39"/>
        <w:rPr>
          <w:rFonts w:ascii="仿宋" w:hAnsi="仿宋" w:eastAsia="仿宋" w:cs="仿宋"/>
          <w:color w:val="auto"/>
          <w:lang w:eastAsia="zh-CN"/>
        </w:rPr>
      </w:pPr>
    </w:p>
    <w:p w14:paraId="7B8097A9">
      <w:pPr>
        <w:wordWrap w:val="0"/>
        <w:spacing w:line="360" w:lineRule="auto"/>
        <w:rPr>
          <w:rFonts w:ascii="仿宋" w:hAnsi="仿宋" w:eastAsia="仿宋" w:cs="仿宋"/>
          <w:color w:val="auto"/>
          <w:lang w:eastAsia="zh-CN"/>
        </w:rPr>
      </w:pPr>
    </w:p>
    <w:p w14:paraId="29F413A0">
      <w:pPr>
        <w:wordWrap w:val="0"/>
        <w:spacing w:line="360" w:lineRule="auto"/>
        <w:ind w:firstLine="1200" w:firstLineChars="500"/>
        <w:rPr>
          <w:rFonts w:ascii="仿宋" w:hAnsi="仿宋" w:eastAsia="仿宋" w:cs="仿宋"/>
          <w:color w:val="auto"/>
          <w:sz w:val="24"/>
          <w:lang w:eastAsia="zh-CN"/>
        </w:rPr>
      </w:pPr>
      <w:r>
        <w:rPr>
          <w:rFonts w:hint="eastAsia" w:ascii="仿宋" w:hAnsi="仿宋" w:eastAsia="仿宋" w:cs="仿宋"/>
          <w:sz w:val="24"/>
          <w:szCs w:val="24"/>
          <w:lang w:eastAsia="zh-CN"/>
        </w:rPr>
        <w:t>投标人</w:t>
      </w:r>
      <w:r>
        <w:rPr>
          <w:rFonts w:hint="eastAsia" w:ascii="仿宋" w:hAnsi="仿宋" w:eastAsia="仿宋" w:cs="仿宋"/>
          <w:color w:val="auto"/>
          <w:sz w:val="24"/>
          <w:lang w:eastAsia="zh-CN"/>
        </w:rPr>
        <w:t>：</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（全称并加盖公章）  </w:t>
      </w:r>
    </w:p>
    <w:p w14:paraId="0C9F6BCE">
      <w:pPr>
        <w:wordWrap w:val="0"/>
        <w:spacing w:line="360" w:lineRule="auto"/>
        <w:ind w:firstLine="2400" w:firstLineChars="1000"/>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年     月     日</w:t>
      </w:r>
    </w:p>
    <w:p w14:paraId="2DD7C3DE">
      <w:pPr>
        <w:wordWrap w:val="0"/>
        <w:spacing w:line="360" w:lineRule="auto"/>
        <w:rPr>
          <w:rFonts w:ascii="仿宋" w:hAnsi="仿宋" w:eastAsia="仿宋" w:cs="仿宋"/>
          <w:b/>
          <w:color w:val="auto"/>
          <w:sz w:val="32"/>
          <w:szCs w:val="32"/>
          <w:lang w:eastAsia="zh-CN"/>
        </w:rPr>
      </w:pPr>
    </w:p>
    <w:p w14:paraId="42268BCC">
      <w:pPr>
        <w:wordWrap w:val="0"/>
        <w:spacing w:line="360" w:lineRule="auto"/>
        <w:rPr>
          <w:rFonts w:ascii="仿宋" w:hAnsi="仿宋" w:eastAsia="仿宋" w:cs="仿宋"/>
          <w:b/>
          <w:color w:val="auto"/>
          <w:sz w:val="32"/>
          <w:szCs w:val="32"/>
          <w:lang w:eastAsia="zh-CN"/>
        </w:rPr>
      </w:pPr>
    </w:p>
    <w:p w14:paraId="036D3DD2">
      <w:pPr>
        <w:wordWrap w:val="0"/>
        <w:spacing w:line="360" w:lineRule="auto"/>
        <w:rPr>
          <w:rFonts w:ascii="仿宋" w:hAnsi="仿宋" w:eastAsia="仿宋" w:cs="仿宋"/>
          <w:b/>
          <w:color w:val="auto"/>
          <w:sz w:val="32"/>
          <w:szCs w:val="32"/>
          <w:lang w:eastAsia="zh-CN"/>
        </w:rPr>
      </w:pPr>
    </w:p>
    <w:p w14:paraId="48482B37">
      <w:pPr>
        <w:wordWrap w:val="0"/>
        <w:spacing w:line="360" w:lineRule="auto"/>
        <w:rPr>
          <w:rFonts w:ascii="仿宋" w:hAnsi="仿宋" w:eastAsia="仿宋" w:cs="仿宋"/>
          <w:b/>
          <w:color w:val="auto"/>
          <w:sz w:val="32"/>
          <w:szCs w:val="32"/>
          <w:lang w:eastAsia="zh-CN"/>
        </w:rPr>
      </w:pPr>
    </w:p>
    <w:p w14:paraId="49C57856">
      <w:pPr>
        <w:wordWrap w:val="0"/>
        <w:spacing w:line="360" w:lineRule="auto"/>
        <w:rPr>
          <w:rFonts w:ascii="仿宋" w:hAnsi="仿宋" w:eastAsia="仿宋" w:cs="仿宋"/>
          <w:b/>
          <w:color w:val="auto"/>
          <w:sz w:val="32"/>
          <w:szCs w:val="32"/>
          <w:lang w:eastAsia="zh-CN"/>
        </w:rPr>
      </w:pPr>
    </w:p>
    <w:p w14:paraId="1F51110D">
      <w:pPr>
        <w:wordWrap w:val="0"/>
        <w:spacing w:line="360" w:lineRule="auto"/>
        <w:rPr>
          <w:rFonts w:ascii="仿宋" w:hAnsi="仿宋" w:eastAsia="仿宋" w:cs="仿宋"/>
          <w:b/>
          <w:color w:val="auto"/>
          <w:sz w:val="32"/>
          <w:szCs w:val="32"/>
          <w:lang w:eastAsia="zh-CN"/>
        </w:rPr>
      </w:pPr>
    </w:p>
    <w:p w14:paraId="55DD8161">
      <w:pPr>
        <w:wordWrap w:val="0"/>
        <w:spacing w:line="360" w:lineRule="auto"/>
        <w:rPr>
          <w:rFonts w:ascii="仿宋" w:hAnsi="仿宋" w:eastAsia="仿宋" w:cs="仿宋"/>
          <w:b/>
          <w:color w:val="auto"/>
          <w:sz w:val="32"/>
          <w:szCs w:val="32"/>
          <w:lang w:eastAsia="zh-CN"/>
        </w:rPr>
      </w:pPr>
    </w:p>
    <w:p w14:paraId="4A51C560">
      <w:pPr>
        <w:wordWrap w:val="0"/>
        <w:spacing w:line="360" w:lineRule="auto"/>
        <w:rPr>
          <w:rFonts w:ascii="仿宋" w:hAnsi="仿宋" w:eastAsia="仿宋" w:cs="仿宋"/>
          <w:b/>
          <w:color w:val="auto"/>
          <w:sz w:val="32"/>
          <w:szCs w:val="32"/>
          <w:lang w:eastAsia="zh-CN"/>
        </w:rPr>
      </w:pPr>
    </w:p>
    <w:p w14:paraId="20012077">
      <w:pPr>
        <w:wordWrap w:val="0"/>
        <w:spacing w:line="360" w:lineRule="auto"/>
        <w:rPr>
          <w:rFonts w:ascii="仿宋" w:hAnsi="仿宋" w:eastAsia="仿宋" w:cs="仿宋"/>
          <w:b/>
          <w:color w:val="auto"/>
          <w:sz w:val="32"/>
          <w:szCs w:val="32"/>
          <w:lang w:eastAsia="zh-CN"/>
        </w:rPr>
      </w:pPr>
    </w:p>
    <w:p w14:paraId="130A748B">
      <w:pPr>
        <w:wordWrap w:val="0"/>
        <w:spacing w:line="360" w:lineRule="auto"/>
        <w:rPr>
          <w:rFonts w:ascii="仿宋" w:hAnsi="仿宋" w:eastAsia="仿宋" w:cs="仿宋"/>
          <w:b/>
          <w:color w:val="auto"/>
          <w:sz w:val="32"/>
          <w:szCs w:val="32"/>
          <w:lang w:eastAsia="zh-CN"/>
        </w:rPr>
      </w:pPr>
    </w:p>
    <w:p w14:paraId="38ED5DAD">
      <w:pPr>
        <w:wordWrap w:val="0"/>
        <w:spacing w:line="360" w:lineRule="auto"/>
        <w:rPr>
          <w:rFonts w:ascii="仿宋" w:hAnsi="仿宋" w:eastAsia="仿宋" w:cs="仿宋"/>
          <w:b/>
          <w:color w:val="auto"/>
          <w:sz w:val="32"/>
          <w:szCs w:val="32"/>
          <w:lang w:eastAsia="zh-CN"/>
        </w:rPr>
      </w:pPr>
    </w:p>
    <w:p w14:paraId="6FEB2333">
      <w:pPr>
        <w:wordWrap w:val="0"/>
        <w:spacing w:line="360" w:lineRule="auto"/>
        <w:rPr>
          <w:rFonts w:ascii="仿宋" w:hAnsi="仿宋" w:eastAsia="仿宋" w:cs="仿宋"/>
          <w:b/>
          <w:color w:val="auto"/>
          <w:sz w:val="32"/>
          <w:szCs w:val="32"/>
          <w:lang w:eastAsia="zh-CN"/>
        </w:rPr>
      </w:pPr>
    </w:p>
    <w:p w14:paraId="7D3FEECA">
      <w:pPr>
        <w:wordWrap w:val="0"/>
        <w:spacing w:line="360" w:lineRule="auto"/>
        <w:rPr>
          <w:rFonts w:ascii="仿宋" w:hAnsi="仿宋" w:eastAsia="仿宋" w:cs="仿宋"/>
          <w:b/>
          <w:color w:val="auto"/>
          <w:sz w:val="24"/>
          <w:lang w:eastAsia="zh-CN"/>
        </w:rPr>
      </w:pPr>
    </w:p>
    <w:p w14:paraId="4B076012">
      <w:pPr>
        <w:widowControl/>
        <w:shd w:val="clear" w:color="auto" w:fill="FFFFFF"/>
        <w:spacing w:line="360" w:lineRule="auto"/>
        <w:jc w:val="left"/>
        <w:rPr>
          <w:rFonts w:hint="eastAsia" w:ascii="仿宋" w:hAnsi="仿宋" w:eastAsia="仿宋" w:cs="仿宋"/>
          <w:b/>
          <w:color w:val="auto"/>
          <w:spacing w:val="0"/>
          <w:kern w:val="0"/>
          <w:sz w:val="24"/>
          <w:highlight w:val="none"/>
        </w:rPr>
      </w:pPr>
      <w:r>
        <w:rPr>
          <w:rFonts w:hint="eastAsia" w:ascii="仿宋" w:hAnsi="仿宋" w:eastAsia="仿宋" w:cs="仿宋"/>
          <w:b/>
          <w:color w:val="auto"/>
          <w:sz w:val="24"/>
          <w:lang w:eastAsia="zh-CN"/>
        </w:rPr>
        <w:t>8.5</w:t>
      </w:r>
      <w:r>
        <w:rPr>
          <w:rFonts w:hint="eastAsia" w:ascii="仿宋" w:hAnsi="仿宋" w:eastAsia="仿宋" w:cs="仿宋"/>
          <w:b/>
          <w:color w:val="auto"/>
          <w:spacing w:val="0"/>
          <w:kern w:val="0"/>
          <w:sz w:val="24"/>
          <w:highlight w:val="none"/>
        </w:rPr>
        <w:t>其他需要提供的证明材料</w:t>
      </w:r>
    </w:p>
    <w:p w14:paraId="3DACD59E">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.5.1可予评分优惠的资质证书或文件复印件（如要求需提供）</w:t>
      </w:r>
    </w:p>
    <w:p w14:paraId="17134135">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.5.2其它证明其具有良好商业信誉的材料（如要求需提供）</w:t>
      </w:r>
    </w:p>
    <w:p w14:paraId="3DDE6AF8">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.5.3荣誉证书或文件复印件（如要求需提供）</w:t>
      </w:r>
    </w:p>
    <w:p w14:paraId="4BA46F75">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.5.4质量管理和环境认证体系等方面的资质证书或文件复印件（如要求需提供）</w:t>
      </w:r>
    </w:p>
    <w:p w14:paraId="77E17269">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.5.5</w:t>
      </w:r>
      <w:r>
        <w:rPr>
          <w:rFonts w:hint="eastAsia" w:ascii="仿宋" w:hAnsi="仿宋" w:eastAsia="仿宋" w:cs="仿宋"/>
          <w:spacing w:val="0"/>
          <w:kern w:val="0"/>
          <w:sz w:val="24"/>
          <w:lang w:val="en-US" w:eastAsia="zh-CN"/>
        </w:rPr>
        <w:t>投标人</w:t>
      </w:r>
      <w:r>
        <w:rPr>
          <w:rFonts w:hint="eastAsia" w:ascii="仿宋" w:hAnsi="仿宋" w:eastAsia="仿宋" w:cs="仿宋"/>
          <w:spacing w:val="0"/>
          <w:kern w:val="0"/>
          <w:sz w:val="24"/>
        </w:rPr>
        <w:t>情况介绍（生产规模、经营业绩、履行合同所必需的设备和专业技术能力等，格式自拟）</w:t>
      </w:r>
    </w:p>
    <w:p w14:paraId="47307DDE">
      <w:pPr>
        <w:widowControl/>
        <w:shd w:val="clear" w:color="auto" w:fill="FFFFFF"/>
        <w:spacing w:line="360" w:lineRule="auto"/>
        <w:ind w:firstLine="480" w:firstLineChars="200"/>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.5.6成功案例和业绩证明文件（如要求需提供）</w:t>
      </w:r>
    </w:p>
    <w:p w14:paraId="0B3B18BC">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.5.7技术服务、技术培训、售后服务的内容、措施及承诺（根据项目要求提供，格式自拟）</w:t>
      </w:r>
    </w:p>
    <w:p w14:paraId="7FF5191C">
      <w:pPr>
        <w:widowControl/>
        <w:shd w:val="clear" w:color="auto" w:fill="FFFFFF"/>
        <w:spacing w:line="360" w:lineRule="auto"/>
        <w:ind w:firstLine="480" w:firstLineChars="200"/>
        <w:jc w:val="left"/>
        <w:rPr>
          <w:rFonts w:ascii="仿宋" w:hAnsi="仿宋" w:eastAsia="仿宋" w:cs="仿宋"/>
          <w:spacing w:val="0"/>
          <w:kern w:val="0"/>
          <w:sz w:val="24"/>
        </w:rPr>
      </w:pPr>
      <w:r>
        <w:rPr>
          <w:rFonts w:hint="eastAsia" w:ascii="仿宋" w:hAnsi="仿宋" w:eastAsia="仿宋" w:cs="仿宋"/>
          <w:spacing w:val="0"/>
          <w:kern w:val="0"/>
          <w:sz w:val="24"/>
          <w:lang w:val="en-US" w:eastAsia="zh-CN"/>
        </w:rPr>
        <w:t>8</w:t>
      </w:r>
      <w:r>
        <w:rPr>
          <w:rFonts w:hint="eastAsia" w:ascii="仿宋" w:hAnsi="仿宋" w:eastAsia="仿宋" w:cs="仿宋"/>
          <w:spacing w:val="0"/>
          <w:kern w:val="0"/>
          <w:sz w:val="24"/>
        </w:rPr>
        <w:t>.5.8人力资源安排(根据项目要求提供，格式自拟)</w:t>
      </w:r>
    </w:p>
    <w:p w14:paraId="3DE2E0AE">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14:paraId="6277166D">
      <w:pPr>
        <w:spacing w:before="78" w:line="219" w:lineRule="auto"/>
        <w:rPr>
          <w:rFonts w:ascii="仿宋" w:hAnsi="仿宋" w:eastAsia="仿宋" w:cs="仿宋"/>
          <w:b/>
          <w:bCs/>
          <w:sz w:val="24"/>
          <w:szCs w:val="24"/>
          <w:lang w:eastAsia="zh-CN"/>
        </w:rPr>
      </w:pPr>
      <w:r>
        <w:rPr>
          <w:rFonts w:hint="eastAsia" w:ascii="仿宋" w:hAnsi="仿宋" w:eastAsia="仿宋" w:cs="仿宋"/>
          <w:b/>
          <w:bCs/>
          <w:sz w:val="24"/>
          <w:szCs w:val="24"/>
          <w:lang w:eastAsia="zh-CN"/>
        </w:rPr>
        <w:t xml:space="preserve">附件9          </w:t>
      </w:r>
    </w:p>
    <w:p w14:paraId="04E4A33F">
      <w:pPr>
        <w:spacing w:before="78" w:line="219" w:lineRule="auto"/>
        <w:ind w:left="462"/>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投标人自觉抵制政府采购领域商业贿赂行为承诺书（格式）</w:t>
      </w:r>
    </w:p>
    <w:p w14:paraId="3587826E">
      <w:pPr>
        <w:pStyle w:val="5"/>
        <w:spacing w:line="285" w:lineRule="auto"/>
        <w:rPr>
          <w:rFonts w:ascii="仿宋" w:hAnsi="仿宋" w:eastAsia="仿宋" w:cs="仿宋"/>
          <w:lang w:eastAsia="zh-CN"/>
        </w:rPr>
      </w:pPr>
    </w:p>
    <w:p w14:paraId="3E861B4A">
      <w:pPr>
        <w:spacing w:before="79" w:line="360" w:lineRule="auto"/>
        <w:ind w:left="23"/>
        <w:rPr>
          <w:rFonts w:ascii="仿宋" w:hAnsi="仿宋" w:eastAsia="仿宋" w:cs="仿宋"/>
          <w:sz w:val="24"/>
          <w:szCs w:val="24"/>
          <w:lang w:eastAsia="zh-CN"/>
        </w:rPr>
      </w:pPr>
      <w:r>
        <w:rPr>
          <w:rFonts w:hint="eastAsia" w:ascii="仿宋" w:hAnsi="仿宋" w:eastAsia="仿宋" w:cs="仿宋"/>
          <w:w w:val="98"/>
          <w:sz w:val="24"/>
          <w:szCs w:val="24"/>
          <w:lang w:eastAsia="zh-CN"/>
        </w:rPr>
        <w:t>致</w:t>
      </w: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w w:val="98"/>
          <w:sz w:val="24"/>
          <w:szCs w:val="24"/>
          <w:lang w:eastAsia="zh-CN"/>
        </w:rPr>
        <w:t>招标人名称）</w:t>
      </w:r>
    </w:p>
    <w:p w14:paraId="1C02F5D4">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进一步规范政府采购行为，营造公平竞争的政府采购市场环境，维护政府采购制度良好声誉，在参与贵单位组织的招标活动中，我方庄重承诺：</w:t>
      </w:r>
    </w:p>
    <w:p w14:paraId="3046608D">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一、依法参与招标活动，遵纪守法，诚信经营，公平竞争。</w:t>
      </w:r>
    </w:p>
    <w:p w14:paraId="4F294292">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二、不向招标人、代理机构和评审专家提供任何形式的商业贿赂，对索取或接受商业贿赂的单位和个人，及时向财政部门和纪检监察机关举报。</w:t>
      </w:r>
    </w:p>
    <w:p w14:paraId="6EB8369F">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三、不以提供虚假资质文件等形式参与招标活动，不以虚假材料谋取中标。</w:t>
      </w:r>
    </w:p>
    <w:p w14:paraId="1DCE4BE5">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四、不采取不正当手段诋毁、排挤其它投标人，与其它参与招标活动的投标人保持良性的竞争关系。</w:t>
      </w:r>
    </w:p>
    <w:p w14:paraId="0564B109">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五、不与招标人、代理机构和评审专家恶意串通，自觉维护政府采购公平竞争的市场秩序。</w:t>
      </w:r>
    </w:p>
    <w:p w14:paraId="58C0E46B">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六、不与其它投标人串通采取围标、陪标等商业欺诈手段谋取中标，积极维护国家利益、社会公共利益和招标人的合法权益。</w:t>
      </w:r>
    </w:p>
    <w:p w14:paraId="7AA0A231">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七、严格履行政府采购合同约定义务，不在政府采购合同执行过程中采取 降低质量或标准、减少数量、拖延交付时间等方式损害招标人的利益，并自觉承担违约责任。</w:t>
      </w:r>
    </w:p>
    <w:p w14:paraId="52A600DE">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八、自觉接受并积极配合相关监督部门实施的监督检查，如实反映情况，及时提供有关证明材料。</w:t>
      </w:r>
    </w:p>
    <w:p w14:paraId="5DFE94BE">
      <w:pPr>
        <w:spacing w:line="360" w:lineRule="auto"/>
        <w:ind w:firstLine="480" w:firstLineChars="200"/>
        <w:rPr>
          <w:rFonts w:ascii="仿宋" w:hAnsi="仿宋" w:eastAsia="仿宋" w:cs="仿宋"/>
          <w:sz w:val="24"/>
          <w:szCs w:val="24"/>
          <w:lang w:eastAsia="zh-CN"/>
        </w:rPr>
      </w:pPr>
    </w:p>
    <w:p w14:paraId="060C5F34">
      <w:pPr>
        <w:pStyle w:val="5"/>
        <w:spacing w:line="285" w:lineRule="auto"/>
        <w:rPr>
          <w:rFonts w:ascii="仿宋" w:hAnsi="仿宋" w:eastAsia="仿宋" w:cs="仿宋"/>
          <w:lang w:eastAsia="zh-CN"/>
        </w:rPr>
      </w:pPr>
    </w:p>
    <w:p w14:paraId="1F600234">
      <w:pPr>
        <w:spacing w:before="79" w:line="220" w:lineRule="auto"/>
        <w:ind w:left="1601"/>
        <w:rPr>
          <w:rFonts w:ascii="仿宋" w:hAnsi="仿宋" w:eastAsia="仿宋" w:cs="仿宋"/>
          <w:sz w:val="24"/>
          <w:szCs w:val="24"/>
          <w:lang w:eastAsia="zh-CN"/>
        </w:rPr>
      </w:pPr>
      <w:r>
        <w:rPr>
          <w:rFonts w:hint="eastAsia" w:ascii="仿宋" w:hAnsi="仿宋" w:eastAsia="仿宋" w:cs="仿宋"/>
          <w:sz w:val="24"/>
          <w:szCs w:val="24"/>
          <w:lang w:eastAsia="zh-CN"/>
        </w:rPr>
        <w:t>投标人代表签字（法定代表人或委托代理人）：</w:t>
      </w:r>
    </w:p>
    <w:p w14:paraId="2E29181F">
      <w:pPr>
        <w:spacing w:before="182" w:line="219" w:lineRule="auto"/>
        <w:ind w:firstLine="1680" w:firstLineChars="700"/>
        <w:rPr>
          <w:rFonts w:ascii="仿宋" w:hAnsi="仿宋" w:eastAsia="仿宋" w:cs="仿宋"/>
          <w:sz w:val="24"/>
          <w:szCs w:val="24"/>
          <w:lang w:eastAsia="zh-CN"/>
        </w:rPr>
      </w:pPr>
      <w:r>
        <w:rPr>
          <w:rFonts w:hint="eastAsia" w:ascii="仿宋" w:hAnsi="仿宋" w:eastAsia="仿宋" w:cs="仿宋"/>
          <w:sz w:val="24"/>
          <w:szCs w:val="24"/>
          <w:lang w:eastAsia="zh-CN"/>
        </w:rPr>
        <w:t xml:space="preserve">投标人：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（全称并加盖公章）</w:t>
      </w:r>
    </w:p>
    <w:p w14:paraId="77B7F20E">
      <w:pPr>
        <w:pStyle w:val="5"/>
        <w:spacing w:line="284" w:lineRule="auto"/>
        <w:rPr>
          <w:rFonts w:ascii="仿宋" w:hAnsi="仿宋" w:eastAsia="仿宋" w:cs="仿宋"/>
          <w:lang w:eastAsia="zh-CN"/>
        </w:rPr>
      </w:pPr>
    </w:p>
    <w:p w14:paraId="5D1D4D3D">
      <w:pPr>
        <w:pStyle w:val="5"/>
        <w:spacing w:line="285" w:lineRule="auto"/>
        <w:rPr>
          <w:rFonts w:ascii="仿宋" w:hAnsi="仿宋" w:eastAsia="仿宋" w:cs="仿宋"/>
          <w:lang w:eastAsia="zh-CN"/>
        </w:rPr>
      </w:pPr>
    </w:p>
    <w:p w14:paraId="50AA93DE">
      <w:pPr>
        <w:spacing w:before="79" w:line="220" w:lineRule="auto"/>
        <w:ind w:left="4329"/>
        <w:rPr>
          <w:rFonts w:ascii="仿宋" w:hAnsi="仿宋" w:eastAsia="仿宋" w:cs="仿宋"/>
          <w:sz w:val="24"/>
          <w:szCs w:val="24"/>
        </w:rPr>
      </w:pPr>
      <w:r>
        <w:rPr>
          <w:rFonts w:hint="eastAsia" w:ascii="仿宋" w:hAnsi="仿宋" w:eastAsia="仿宋" w:cs="仿宋"/>
          <w:sz w:val="24"/>
          <w:szCs w:val="24"/>
        </w:rPr>
        <w:t>年    月    日</w:t>
      </w:r>
    </w:p>
    <w:p w14:paraId="2A87880D">
      <w:pPr>
        <w:rPr>
          <w:rFonts w:ascii="仿宋" w:hAnsi="仿宋" w:eastAsia="仿宋" w:cs="仿宋"/>
        </w:rPr>
      </w:pPr>
    </w:p>
    <w:sectPr>
      <w:footerReference r:id="rId10" w:type="default"/>
      <w:pgSz w:w="11906" w:h="16839"/>
      <w:pgMar w:top="1440" w:right="1803" w:bottom="1440" w:left="1803"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A768">
    <w:pPr>
      <w:spacing w:line="174" w:lineRule="auto"/>
      <w:ind w:left="273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608B">
    <w:pPr>
      <w:spacing w:line="174" w:lineRule="auto"/>
      <w:ind w:left="2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F77EF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CF77EF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BE9E">
    <w:pPr>
      <w:spacing w:line="174" w:lineRule="auto"/>
      <w:ind w:left="2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F84D3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2F84D3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51CE">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F3F72">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86F3F72">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E04">
    <w:pPr>
      <w:pStyle w:val="5"/>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87FC26">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7FC26">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642F">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2CE53">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44C2CE53">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4EA0">
    <w:pPr>
      <w:spacing w:line="174" w:lineRule="auto"/>
      <w:ind w:left="28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31F42">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03E31F42">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B1E5">
    <w:pPr>
      <w:spacing w:line="174" w:lineRule="auto"/>
      <w:ind w:left="2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7DE753">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77DE753">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jA0Y2I0YTkyMzExMTk5ZTM2ZTliNGRjYzlmMWYifQ=="/>
  </w:docVars>
  <w:rsids>
    <w:rsidRoot w:val="05A27D11"/>
    <w:rsid w:val="00000C17"/>
    <w:rsid w:val="00060C6A"/>
    <w:rsid w:val="0011641C"/>
    <w:rsid w:val="00134FE3"/>
    <w:rsid w:val="001F7F7E"/>
    <w:rsid w:val="00225625"/>
    <w:rsid w:val="003C6F73"/>
    <w:rsid w:val="00480141"/>
    <w:rsid w:val="005C41C1"/>
    <w:rsid w:val="005D58F6"/>
    <w:rsid w:val="006360BD"/>
    <w:rsid w:val="007B02B5"/>
    <w:rsid w:val="008D22CF"/>
    <w:rsid w:val="00A11171"/>
    <w:rsid w:val="00A81D22"/>
    <w:rsid w:val="00AC4663"/>
    <w:rsid w:val="00B8588F"/>
    <w:rsid w:val="00BC577C"/>
    <w:rsid w:val="00C3582C"/>
    <w:rsid w:val="00DF62A2"/>
    <w:rsid w:val="00EA16D7"/>
    <w:rsid w:val="00F10DB0"/>
    <w:rsid w:val="00FE19BB"/>
    <w:rsid w:val="01540EEA"/>
    <w:rsid w:val="01FB23CB"/>
    <w:rsid w:val="02954528"/>
    <w:rsid w:val="03240F50"/>
    <w:rsid w:val="03353615"/>
    <w:rsid w:val="0388408C"/>
    <w:rsid w:val="04134741"/>
    <w:rsid w:val="045F303F"/>
    <w:rsid w:val="04A5284C"/>
    <w:rsid w:val="058F1702"/>
    <w:rsid w:val="05A27D11"/>
    <w:rsid w:val="05FF39E1"/>
    <w:rsid w:val="06764670"/>
    <w:rsid w:val="06A37C3B"/>
    <w:rsid w:val="07BB0974"/>
    <w:rsid w:val="07FE2B6F"/>
    <w:rsid w:val="08002443"/>
    <w:rsid w:val="08121A88"/>
    <w:rsid w:val="089141B9"/>
    <w:rsid w:val="08E21AE4"/>
    <w:rsid w:val="0A9450C5"/>
    <w:rsid w:val="0B4B349A"/>
    <w:rsid w:val="0B70466A"/>
    <w:rsid w:val="0BB17C29"/>
    <w:rsid w:val="0E2A021A"/>
    <w:rsid w:val="0F043AD1"/>
    <w:rsid w:val="0F4672D5"/>
    <w:rsid w:val="0F8E47D8"/>
    <w:rsid w:val="0FE443F8"/>
    <w:rsid w:val="1112223B"/>
    <w:rsid w:val="11AD6755"/>
    <w:rsid w:val="11EC4876"/>
    <w:rsid w:val="12543AB7"/>
    <w:rsid w:val="12E017EF"/>
    <w:rsid w:val="13675A6C"/>
    <w:rsid w:val="13CE5AEB"/>
    <w:rsid w:val="14641FAC"/>
    <w:rsid w:val="147A61A9"/>
    <w:rsid w:val="14A9708B"/>
    <w:rsid w:val="14AD74AF"/>
    <w:rsid w:val="14F5074A"/>
    <w:rsid w:val="15063063"/>
    <w:rsid w:val="15AE4C2C"/>
    <w:rsid w:val="15FD4466"/>
    <w:rsid w:val="166C4A3D"/>
    <w:rsid w:val="16DC051F"/>
    <w:rsid w:val="17501DD7"/>
    <w:rsid w:val="1819698A"/>
    <w:rsid w:val="18890233"/>
    <w:rsid w:val="19491260"/>
    <w:rsid w:val="194D74B2"/>
    <w:rsid w:val="1A1D3137"/>
    <w:rsid w:val="1AF4020D"/>
    <w:rsid w:val="1BB9263E"/>
    <w:rsid w:val="1C7B6D3D"/>
    <w:rsid w:val="1C9F6277"/>
    <w:rsid w:val="1D94745E"/>
    <w:rsid w:val="1DBC69B5"/>
    <w:rsid w:val="1FE95045"/>
    <w:rsid w:val="2020147D"/>
    <w:rsid w:val="203D202F"/>
    <w:rsid w:val="20501866"/>
    <w:rsid w:val="206D3F96"/>
    <w:rsid w:val="20CC2DA6"/>
    <w:rsid w:val="20CD65C4"/>
    <w:rsid w:val="20FA3A7C"/>
    <w:rsid w:val="224C47AB"/>
    <w:rsid w:val="22BD2FB3"/>
    <w:rsid w:val="23BE26E2"/>
    <w:rsid w:val="242D23BA"/>
    <w:rsid w:val="242D55B1"/>
    <w:rsid w:val="247D74E1"/>
    <w:rsid w:val="266975B4"/>
    <w:rsid w:val="268362C1"/>
    <w:rsid w:val="28ED036A"/>
    <w:rsid w:val="29507887"/>
    <w:rsid w:val="2A7C7D42"/>
    <w:rsid w:val="2A9211C9"/>
    <w:rsid w:val="2AB90504"/>
    <w:rsid w:val="2ABC6246"/>
    <w:rsid w:val="2C8D0925"/>
    <w:rsid w:val="2D173C07"/>
    <w:rsid w:val="2D355E3C"/>
    <w:rsid w:val="2D5C25D9"/>
    <w:rsid w:val="2D5E1ABB"/>
    <w:rsid w:val="2E073326"/>
    <w:rsid w:val="2E8B6EB7"/>
    <w:rsid w:val="2EA76F1A"/>
    <w:rsid w:val="2EB21E3A"/>
    <w:rsid w:val="2EDA4EED"/>
    <w:rsid w:val="2EFD006A"/>
    <w:rsid w:val="2F04388C"/>
    <w:rsid w:val="2F394E6F"/>
    <w:rsid w:val="2F6824F8"/>
    <w:rsid w:val="2FB829D9"/>
    <w:rsid w:val="30105601"/>
    <w:rsid w:val="302A4D45"/>
    <w:rsid w:val="30470AAA"/>
    <w:rsid w:val="30F5600E"/>
    <w:rsid w:val="30F97856"/>
    <w:rsid w:val="311F6613"/>
    <w:rsid w:val="31E63BA8"/>
    <w:rsid w:val="32B015EE"/>
    <w:rsid w:val="33292B6A"/>
    <w:rsid w:val="346E05B1"/>
    <w:rsid w:val="35B00755"/>
    <w:rsid w:val="35B80AE3"/>
    <w:rsid w:val="362B285B"/>
    <w:rsid w:val="36C11399"/>
    <w:rsid w:val="37704640"/>
    <w:rsid w:val="37C3235D"/>
    <w:rsid w:val="38082ACA"/>
    <w:rsid w:val="384A0021"/>
    <w:rsid w:val="385E6107"/>
    <w:rsid w:val="38F33F69"/>
    <w:rsid w:val="39297751"/>
    <w:rsid w:val="39D215E2"/>
    <w:rsid w:val="3B4402BD"/>
    <w:rsid w:val="3BEC06CA"/>
    <w:rsid w:val="3E3F71F6"/>
    <w:rsid w:val="3E43630B"/>
    <w:rsid w:val="3F7E1BE7"/>
    <w:rsid w:val="3FB67787"/>
    <w:rsid w:val="40500E5D"/>
    <w:rsid w:val="409E25BE"/>
    <w:rsid w:val="40D23C76"/>
    <w:rsid w:val="414952A6"/>
    <w:rsid w:val="429A4C67"/>
    <w:rsid w:val="42D96EB9"/>
    <w:rsid w:val="433E0167"/>
    <w:rsid w:val="4521341D"/>
    <w:rsid w:val="46131409"/>
    <w:rsid w:val="46E01A33"/>
    <w:rsid w:val="472904A1"/>
    <w:rsid w:val="48653621"/>
    <w:rsid w:val="488717E9"/>
    <w:rsid w:val="48FA020D"/>
    <w:rsid w:val="49ED1287"/>
    <w:rsid w:val="4A120F7A"/>
    <w:rsid w:val="4A542F03"/>
    <w:rsid w:val="4A817153"/>
    <w:rsid w:val="4AC23537"/>
    <w:rsid w:val="4BAA2500"/>
    <w:rsid w:val="4C3E12EA"/>
    <w:rsid w:val="4C6F6A75"/>
    <w:rsid w:val="4D387556"/>
    <w:rsid w:val="4D5C2AC4"/>
    <w:rsid w:val="4D5F5702"/>
    <w:rsid w:val="4EC56BC8"/>
    <w:rsid w:val="50D03CA1"/>
    <w:rsid w:val="511D7C86"/>
    <w:rsid w:val="51C27D36"/>
    <w:rsid w:val="52ED0DE3"/>
    <w:rsid w:val="530F6E0C"/>
    <w:rsid w:val="535C4B97"/>
    <w:rsid w:val="537806AC"/>
    <w:rsid w:val="53D0401B"/>
    <w:rsid w:val="54502D16"/>
    <w:rsid w:val="55EE10FA"/>
    <w:rsid w:val="568C2EEF"/>
    <w:rsid w:val="56C81EB2"/>
    <w:rsid w:val="57AB0270"/>
    <w:rsid w:val="57EF62EE"/>
    <w:rsid w:val="58D8399B"/>
    <w:rsid w:val="599E05A7"/>
    <w:rsid w:val="59EF3319"/>
    <w:rsid w:val="59FF38D6"/>
    <w:rsid w:val="5A385E9F"/>
    <w:rsid w:val="5A5F48DF"/>
    <w:rsid w:val="5B3F6672"/>
    <w:rsid w:val="5BE2525D"/>
    <w:rsid w:val="5D523570"/>
    <w:rsid w:val="5DE60EEA"/>
    <w:rsid w:val="5E387E9D"/>
    <w:rsid w:val="5FE376BE"/>
    <w:rsid w:val="604364E6"/>
    <w:rsid w:val="62F45876"/>
    <w:rsid w:val="631B2E02"/>
    <w:rsid w:val="63310878"/>
    <w:rsid w:val="639B01D1"/>
    <w:rsid w:val="64E14DAF"/>
    <w:rsid w:val="66696111"/>
    <w:rsid w:val="6756653B"/>
    <w:rsid w:val="69796AD5"/>
    <w:rsid w:val="698C05B6"/>
    <w:rsid w:val="69AA705F"/>
    <w:rsid w:val="6A015E85"/>
    <w:rsid w:val="6A445335"/>
    <w:rsid w:val="6A5437CA"/>
    <w:rsid w:val="6ABE6E95"/>
    <w:rsid w:val="6B713F07"/>
    <w:rsid w:val="6C6A77E5"/>
    <w:rsid w:val="6D056FFD"/>
    <w:rsid w:val="6D3671B7"/>
    <w:rsid w:val="6DBD3434"/>
    <w:rsid w:val="6E7B0FE9"/>
    <w:rsid w:val="6F1B4C00"/>
    <w:rsid w:val="70E94540"/>
    <w:rsid w:val="710579B9"/>
    <w:rsid w:val="7216101A"/>
    <w:rsid w:val="72410E53"/>
    <w:rsid w:val="73440153"/>
    <w:rsid w:val="73E800AB"/>
    <w:rsid w:val="73F70C70"/>
    <w:rsid w:val="7414598F"/>
    <w:rsid w:val="749630AF"/>
    <w:rsid w:val="75742F72"/>
    <w:rsid w:val="75D43303"/>
    <w:rsid w:val="76AA4771"/>
    <w:rsid w:val="7762504C"/>
    <w:rsid w:val="77A2369A"/>
    <w:rsid w:val="79825532"/>
    <w:rsid w:val="79C6259B"/>
    <w:rsid w:val="79ED6E4F"/>
    <w:rsid w:val="7AB46BDC"/>
    <w:rsid w:val="7AB879F8"/>
    <w:rsid w:val="7B407452"/>
    <w:rsid w:val="7C3C40BE"/>
    <w:rsid w:val="7C723BD3"/>
    <w:rsid w:val="7CE502B1"/>
    <w:rsid w:val="7D9434DD"/>
    <w:rsid w:val="7DDD77C6"/>
    <w:rsid w:val="7ED623B4"/>
    <w:rsid w:val="7EE14AF5"/>
    <w:rsid w:val="7F032C71"/>
    <w:rsid w:val="7F60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6"/>
    <w:basedOn w:val="1"/>
    <w:next w:val="1"/>
    <w:qFormat/>
    <w:uiPriority w:val="0"/>
    <w:pPr>
      <w:ind w:left="1803" w:hanging="481"/>
      <w:outlineLvl w:val="5"/>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style>
  <w:style w:type="paragraph" w:styleId="5">
    <w:name w:val="Body Text"/>
    <w:basedOn w:val="1"/>
    <w:next w:val="6"/>
    <w:semiHidden/>
    <w:qFormat/>
    <w:uiPriority w:val="0"/>
  </w:style>
  <w:style w:type="paragraph" w:customStyle="1" w:styleId="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bottom w:val="single" w:color="auto" w:sz="6" w:space="1"/>
      </w:pBdr>
      <w:jc w:val="center"/>
    </w:pPr>
    <w:rPr>
      <w:sz w:val="18"/>
      <w:szCs w:val="18"/>
    </w:rPr>
  </w:style>
  <w:style w:type="paragraph" w:styleId="10">
    <w:name w:val="footnote text"/>
    <w:basedOn w:val="1"/>
    <w:qFormat/>
    <w:uiPriority w:val="0"/>
    <w:rPr>
      <w:sz w:val="18"/>
      <w:szCs w:val="18"/>
    </w:rPr>
  </w:style>
  <w:style w:type="paragraph" w:styleId="11">
    <w:name w:val="Body Text 2"/>
    <w:basedOn w:val="1"/>
    <w:next w:val="5"/>
    <w:qFormat/>
    <w:uiPriority w:val="0"/>
    <w:pPr>
      <w:spacing w:line="500" w:lineRule="exact"/>
      <w:jc w:val="center"/>
    </w:pPr>
    <w:rPr>
      <w:rFonts w:hAnsi="宋体" w:eastAsia="方正小标宋_GBK"/>
      <w:spacing w:val="-20"/>
      <w:sz w:val="44"/>
    </w:rPr>
  </w:style>
  <w:style w:type="paragraph" w:styleId="1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3">
    <w:name w:val="Normal (Web)"/>
    <w:basedOn w:val="1"/>
    <w:qFormat/>
    <w:uiPriority w:val="99"/>
    <w:pPr>
      <w:spacing w:before="100" w:beforeAutospacing="1" w:after="100" w:afterAutospacing="1"/>
    </w:pPr>
    <w:rPr>
      <w:rFonts w:ascii="宋体" w:hAnsi="宋体" w:cs="宋体"/>
      <w:sz w:val="24"/>
    </w:rPr>
  </w:style>
  <w:style w:type="paragraph" w:styleId="14">
    <w:name w:val="Body Text First Indent"/>
    <w:basedOn w:val="5"/>
    <w:next w:val="1"/>
    <w:qFormat/>
    <w:uiPriority w:val="0"/>
    <w:pPr>
      <w:ind w:firstLine="420" w:firstLineChars="100"/>
    </w:pPr>
  </w:style>
  <w:style w:type="paragraph" w:styleId="15">
    <w:name w:val="Body Text First Indent 2"/>
    <w:basedOn w:val="7"/>
    <w:next w:val="1"/>
    <w:unhideWhenUsed/>
    <w:qFormat/>
    <w:uiPriority w:val="99"/>
    <w:pPr>
      <w:ind w:firstLine="420" w:firstLineChars="200"/>
    </w:pPr>
  </w:style>
  <w:style w:type="table" w:styleId="17">
    <w:name w:val="Table Grid"/>
    <w:basedOn w:val="16"/>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无间隔1"/>
    <w:basedOn w:val="1"/>
    <w:qFormat/>
    <w:uiPriority w:val="0"/>
    <w:pPr>
      <w:spacing w:line="400" w:lineRule="exact"/>
    </w:pPr>
    <w:rPr>
      <w:rFonts w:ascii="Calibri" w:hAnsi="Calibri"/>
    </w:rPr>
  </w:style>
  <w:style w:type="paragraph" w:customStyle="1" w:styleId="20">
    <w:name w:val="正文格式"/>
    <w:basedOn w:val="1"/>
    <w:qFormat/>
    <w:uiPriority w:val="99"/>
    <w:pPr>
      <w:spacing w:line="400" w:lineRule="atLeast"/>
      <w:ind w:firstLine="482"/>
    </w:pPr>
    <w:rPr>
      <w:sz w:val="24"/>
      <w:szCs w:val="2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sz w:val="24"/>
      <w:szCs w:val="24"/>
    </w:rPr>
  </w:style>
  <w:style w:type="paragraph" w:styleId="23">
    <w:name w:val="No Spacing"/>
    <w:basedOn w:val="1"/>
    <w:qFormat/>
    <w:uiPriority w:val="1"/>
    <w:pPr>
      <w:ind w:firstLine="200"/>
    </w:pPr>
    <w:rPr>
      <w:rFonts w:ascii="宋体" w:hAnsi="宋体" w:cs="Times New Roman"/>
    </w:rPr>
  </w:style>
  <w:style w:type="paragraph" w:styleId="24">
    <w:name w:val="List Paragraph"/>
    <w:basedOn w:val="1"/>
    <w:qFormat/>
    <w:uiPriority w:val="0"/>
    <w:pPr>
      <w:ind w:left="1322" w:firstLine="480"/>
    </w:pPr>
    <w:rPr>
      <w:rFonts w:ascii="宋体" w:hAnsi="宋体" w:eastAsia="宋体" w:cs="宋体"/>
      <w:lang w:val="zh-CN" w:eastAsia="zh-CN" w:bidi="zh-CN"/>
    </w:rPr>
  </w:style>
  <w:style w:type="paragraph" w:customStyle="1" w:styleId="25">
    <w:name w:val="Table Paragraph"/>
    <w:basedOn w:val="1"/>
    <w:qFormat/>
    <w:uiPriority w:val="0"/>
    <w:pPr>
      <w:spacing w:before="57"/>
      <w:jc w:val="center"/>
    </w:pPr>
    <w:rPr>
      <w:rFonts w:ascii="Times New Roman" w:hAnsi="Times New Roman" w:eastAsia="Times New Roman" w:cs="Times New Roman"/>
      <w:lang w:val="zh-CN" w:eastAsia="zh-CN" w:bidi="zh-CN"/>
    </w:rPr>
  </w:style>
  <w:style w:type="character" w:customStyle="1" w:styleId="26">
    <w:name w:val="15"/>
    <w:basedOn w:val="18"/>
    <w:qFormat/>
    <w:uiPriority w:val="0"/>
    <w:rPr>
      <w:rFonts w:hint="default" w:ascii="Tahoma" w:hAnsi="Tahoma" w:eastAsia="宋体" w:cs="Tahoma"/>
      <w:spacing w:val="6"/>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2859</Words>
  <Characters>3176</Characters>
  <Lines>47</Lines>
  <Paragraphs>77</Paragraphs>
  <TotalTime>44</TotalTime>
  <ScaleCrop>false</ScaleCrop>
  <LinksUpToDate>false</LinksUpToDate>
  <CharactersWithSpaces>3257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2025-08-07T12:28:00Z</dcterms:created>
  <dc:creator>花朝拾贰</dc:creator>
  <cp:lastModifiedBy>NTKO</cp:lastModifiedBy>
  <cp:lastPrinted>2025-08-13T02:25:00Z</cp:lastPrinted>
  <dcterms:modified xsi:type="dcterms:W3CDTF">2025-08-14T02:49:40Z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A0D83605DE38423BAF5127B2B773A281_13</vt:lpwstr>
  </property>
  <property fmtid="{D5CDD505-2E9C-101B-9397-08002B2CF9AE}" pid="4" name="KSOTemplateDocerSaveRecord">
    <vt:lpwstr>eyJoZGlkIjoiYzUxMmNlZTQxZTUxMWFlM2U0NDcxZjg3ZDVmZTZiNTEiLCJ1c2VySWQiOiI2ODgxMTU2MjQifQ==</vt:lpwstr>
  </property>
</Properties>
</file>