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360" w:lineRule="auto"/>
        <w:ind w:left="0" w:leftChars="0"/>
        <w:jc w:val="center"/>
        <w:rPr>
          <w:rFonts w:hint="eastAsia" w:ascii="宋体" w:hAnsi="宋体" w:eastAsia="宋体" w:cs="宋体"/>
          <w:b/>
          <w:sz w:val="52"/>
          <w:szCs w:val="52"/>
          <w:highlight w:val="none"/>
          <w:lang w:eastAsia="zh-CN"/>
        </w:rPr>
      </w:pPr>
    </w:p>
    <w:p>
      <w:pPr>
        <w:pStyle w:val="18"/>
        <w:spacing w:line="360" w:lineRule="auto"/>
        <w:ind w:left="0" w:leftChars="0"/>
        <w:jc w:val="center"/>
        <w:rPr>
          <w:rFonts w:hint="eastAsia" w:ascii="宋体" w:hAnsi="宋体" w:eastAsia="宋体" w:cs="宋体"/>
          <w:b/>
          <w:sz w:val="48"/>
          <w:szCs w:val="48"/>
          <w:highlight w:val="none"/>
          <w:lang w:val="en-US" w:eastAsia="zh-CN"/>
        </w:rPr>
      </w:pPr>
      <w:r>
        <w:rPr>
          <w:rFonts w:hint="eastAsia" w:ascii="宋体" w:hAnsi="宋体" w:eastAsia="宋体" w:cs="宋体"/>
          <w:b/>
          <w:sz w:val="44"/>
          <w:szCs w:val="44"/>
          <w:highlight w:val="none"/>
          <w:lang w:eastAsia="zh-CN"/>
        </w:rPr>
        <w:t>河南省锅炉压力容器检验技术科学研究院2023年第三批检验检测设备采购项目</w:t>
      </w:r>
      <w:r>
        <w:rPr>
          <w:rFonts w:hint="eastAsia" w:ascii="宋体" w:hAnsi="宋体" w:eastAsia="宋体" w:cs="宋体"/>
          <w:b/>
          <w:sz w:val="52"/>
          <w:szCs w:val="52"/>
          <w:highlight w:val="none"/>
          <w:lang w:val="en-US" w:eastAsia="zh-CN"/>
        </w:rPr>
        <w:t xml:space="preserve"> </w:t>
      </w:r>
    </w:p>
    <w:p>
      <w:pPr>
        <w:rPr>
          <w:rFonts w:hint="eastAsia" w:ascii="宋体" w:hAnsi="宋体" w:eastAsia="宋体" w:cs="宋体"/>
          <w:highlight w:val="none"/>
        </w:rPr>
      </w:pPr>
    </w:p>
    <w:p>
      <w:pPr>
        <w:widowControl/>
        <w:adjustRightInd w:val="0"/>
        <w:snapToGrid w:val="0"/>
        <w:spacing w:after="200"/>
        <w:jc w:val="center"/>
        <w:rPr>
          <w:rFonts w:hint="eastAsia" w:ascii="宋体" w:hAnsi="宋体" w:eastAsia="宋体" w:cs="宋体"/>
          <w:b/>
          <w:sz w:val="100"/>
          <w:szCs w:val="100"/>
          <w:highlight w:val="none"/>
        </w:rPr>
      </w:pPr>
    </w:p>
    <w:p>
      <w:pPr>
        <w:widowControl/>
        <w:adjustRightInd w:val="0"/>
        <w:snapToGrid w:val="0"/>
        <w:spacing w:after="200"/>
        <w:jc w:val="center"/>
        <w:rPr>
          <w:rFonts w:hint="eastAsia" w:ascii="宋体" w:hAnsi="宋体" w:eastAsia="宋体" w:cs="宋体"/>
          <w:b/>
          <w:sz w:val="100"/>
          <w:szCs w:val="100"/>
          <w:highlight w:val="none"/>
        </w:rPr>
      </w:pPr>
      <w:r>
        <w:rPr>
          <w:rFonts w:hint="eastAsia" w:ascii="宋体" w:hAnsi="宋体" w:eastAsia="宋体" w:cs="宋体"/>
          <w:b/>
          <w:sz w:val="100"/>
          <w:szCs w:val="100"/>
          <w:highlight w:val="none"/>
        </w:rPr>
        <w:t>招 标 文 件</w:t>
      </w:r>
    </w:p>
    <w:p>
      <w:pPr>
        <w:spacing w:line="500" w:lineRule="exact"/>
        <w:jc w:val="center"/>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val="en-US" w:eastAsia="zh-CN"/>
        </w:rPr>
        <w:t>采购编号：豫财招标采购-2023-1294</w:t>
      </w:r>
    </w:p>
    <w:p>
      <w:pPr>
        <w:pStyle w:val="78"/>
        <w:rPr>
          <w:rFonts w:hint="eastAsia" w:ascii="宋体" w:hAnsi="宋体" w:eastAsia="宋体" w:cs="宋体"/>
          <w:highlight w:val="none"/>
        </w:rPr>
      </w:pPr>
    </w:p>
    <w:p>
      <w:pPr>
        <w:widowControl/>
        <w:adjustRightInd w:val="0"/>
        <w:snapToGrid w:val="0"/>
        <w:spacing w:line="360" w:lineRule="auto"/>
        <w:jc w:val="center"/>
        <w:rPr>
          <w:rFonts w:hint="eastAsia" w:ascii="宋体" w:hAnsi="宋体" w:eastAsia="宋体" w:cs="宋体"/>
          <w:b/>
          <w:bCs/>
          <w:spacing w:val="11"/>
          <w:kern w:val="0"/>
          <w:sz w:val="30"/>
          <w:szCs w:val="30"/>
          <w:highlight w:val="none"/>
        </w:rPr>
      </w:pPr>
      <w:r>
        <w:rPr>
          <w:rFonts w:hint="eastAsia" w:ascii="宋体" w:hAnsi="宋体" w:eastAsia="宋体" w:cs="宋体"/>
          <w:color w:val="auto"/>
          <w:sz w:val="44"/>
          <w:szCs w:val="44"/>
          <w:highlight w:val="none"/>
        </w:rPr>
        <w:drawing>
          <wp:inline distT="0" distB="0" distL="114300" distR="114300">
            <wp:extent cx="2305050" cy="1755140"/>
            <wp:effectExtent l="0" t="0" r="0" b="16510"/>
            <wp:docPr id="3" name="图片 2" descr="360eb0b1f12b8118a58b61ad15c9d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60eb0b1f12b8118a58b61ad15c9d82"/>
                    <pic:cNvPicPr>
                      <a:picLocks noChangeAspect="1"/>
                    </pic:cNvPicPr>
                  </pic:nvPicPr>
                  <pic:blipFill>
                    <a:blip r:embed="rId9"/>
                    <a:stretch>
                      <a:fillRect/>
                    </a:stretch>
                  </pic:blipFill>
                  <pic:spPr>
                    <a:xfrm>
                      <a:off x="0" y="0"/>
                      <a:ext cx="2305050" cy="1755140"/>
                    </a:xfrm>
                    <a:prstGeom prst="rect">
                      <a:avLst/>
                    </a:prstGeom>
                    <a:noFill/>
                    <a:ln>
                      <a:noFill/>
                    </a:ln>
                  </pic:spPr>
                </pic:pic>
              </a:graphicData>
            </a:graphic>
          </wp:inline>
        </w:drawing>
      </w:r>
    </w:p>
    <w:p>
      <w:pPr>
        <w:widowControl/>
        <w:adjustRightInd w:val="0"/>
        <w:snapToGrid w:val="0"/>
        <w:spacing w:line="360" w:lineRule="auto"/>
        <w:jc w:val="center"/>
        <w:rPr>
          <w:rFonts w:hint="eastAsia" w:ascii="宋体" w:hAnsi="宋体" w:eastAsia="宋体" w:cs="宋体"/>
          <w:b/>
          <w:bCs/>
          <w:spacing w:val="11"/>
          <w:kern w:val="0"/>
          <w:sz w:val="32"/>
          <w:szCs w:val="32"/>
          <w:highlight w:val="none"/>
        </w:rPr>
      </w:pPr>
    </w:p>
    <w:p>
      <w:pPr>
        <w:widowControl/>
        <w:adjustRightInd w:val="0"/>
        <w:snapToGrid w:val="0"/>
        <w:spacing w:line="360" w:lineRule="auto"/>
        <w:jc w:val="center"/>
        <w:rPr>
          <w:rFonts w:hint="eastAsia" w:ascii="宋体" w:hAnsi="宋体" w:eastAsia="宋体" w:cs="宋体"/>
          <w:b/>
          <w:bCs/>
          <w:spacing w:val="11"/>
          <w:kern w:val="0"/>
          <w:sz w:val="32"/>
          <w:szCs w:val="32"/>
          <w:highlight w:val="none"/>
        </w:rPr>
      </w:pPr>
    </w:p>
    <w:p>
      <w:pPr>
        <w:pStyle w:val="51"/>
        <w:rPr>
          <w:rFonts w:hint="eastAsia" w:ascii="宋体" w:hAnsi="宋体" w:eastAsia="宋体" w:cs="宋体"/>
          <w:highlight w:val="none"/>
        </w:rPr>
      </w:pPr>
    </w:p>
    <w:p>
      <w:pPr>
        <w:widowControl/>
        <w:adjustRightInd w:val="0"/>
        <w:snapToGrid w:val="0"/>
        <w:spacing w:line="360" w:lineRule="auto"/>
        <w:ind w:firstLine="688" w:firstLineChars="200"/>
        <w:jc w:val="both"/>
        <w:rPr>
          <w:rFonts w:hint="eastAsia" w:ascii="宋体" w:hAnsi="宋体" w:eastAsia="宋体" w:cs="宋体"/>
          <w:b/>
          <w:bCs/>
          <w:spacing w:val="17"/>
          <w:kern w:val="0"/>
          <w:sz w:val="32"/>
          <w:szCs w:val="32"/>
          <w:highlight w:val="none"/>
          <w:lang w:eastAsia="zh-CN"/>
        </w:rPr>
      </w:pPr>
      <w:r>
        <w:rPr>
          <w:rFonts w:hint="eastAsia" w:ascii="宋体" w:hAnsi="宋体" w:eastAsia="宋体" w:cs="宋体"/>
          <w:b/>
          <w:bCs/>
          <w:spacing w:val="11"/>
          <w:kern w:val="0"/>
          <w:sz w:val="32"/>
          <w:szCs w:val="32"/>
          <w:highlight w:val="none"/>
        </w:rPr>
        <w:t>采购人：</w:t>
      </w:r>
      <w:r>
        <w:rPr>
          <w:rFonts w:hint="eastAsia" w:ascii="宋体" w:hAnsi="宋体" w:eastAsia="宋体" w:cs="宋体"/>
          <w:b/>
          <w:bCs/>
          <w:spacing w:val="11"/>
          <w:kern w:val="0"/>
          <w:sz w:val="32"/>
          <w:szCs w:val="32"/>
          <w:highlight w:val="none"/>
          <w:lang w:eastAsia="zh-CN"/>
        </w:rPr>
        <w:t>河南省锅炉压力容器检验技术科学研究院</w:t>
      </w:r>
    </w:p>
    <w:p>
      <w:pPr>
        <w:widowControl/>
        <w:adjustRightInd w:val="0"/>
        <w:snapToGrid w:val="0"/>
        <w:spacing w:line="360" w:lineRule="auto"/>
        <w:ind w:firstLine="644" w:firstLineChars="200"/>
        <w:jc w:val="both"/>
        <w:rPr>
          <w:rFonts w:hint="eastAsia" w:ascii="宋体" w:hAnsi="宋体" w:eastAsia="宋体" w:cs="宋体"/>
          <w:b/>
          <w:bCs/>
          <w:spacing w:val="17"/>
          <w:kern w:val="0"/>
          <w:sz w:val="32"/>
          <w:szCs w:val="32"/>
          <w:highlight w:val="none"/>
          <w:lang w:eastAsia="zh-CN"/>
        </w:rPr>
      </w:pPr>
      <w:r>
        <w:rPr>
          <w:rFonts w:hint="eastAsia" w:ascii="宋体" w:hAnsi="宋体" w:eastAsia="宋体" w:cs="宋体"/>
          <w:b/>
          <w:bCs/>
          <w:kern w:val="0"/>
          <w:sz w:val="32"/>
          <w:szCs w:val="32"/>
          <w:highlight w:val="none"/>
          <w:lang w:eastAsia="zh-CN"/>
        </w:rPr>
        <w:t>采购代理机构</w:t>
      </w:r>
      <w:r>
        <w:rPr>
          <w:rFonts w:hint="eastAsia" w:ascii="宋体" w:hAnsi="宋体" w:eastAsia="宋体" w:cs="宋体"/>
          <w:b/>
          <w:bCs/>
          <w:kern w:val="0"/>
          <w:sz w:val="32"/>
          <w:szCs w:val="32"/>
          <w:highlight w:val="none"/>
        </w:rPr>
        <w:t>：</w:t>
      </w:r>
      <w:r>
        <w:rPr>
          <w:rFonts w:hint="eastAsia" w:ascii="宋体" w:hAnsi="宋体" w:eastAsia="宋体" w:cs="宋体"/>
          <w:b/>
          <w:bCs/>
          <w:spacing w:val="17"/>
          <w:kern w:val="0"/>
          <w:sz w:val="32"/>
          <w:szCs w:val="32"/>
          <w:highlight w:val="none"/>
          <w:lang w:eastAsia="zh-CN"/>
        </w:rPr>
        <w:t>中鼎景宏工程管理有限公司</w:t>
      </w:r>
    </w:p>
    <w:p>
      <w:pPr>
        <w:widowControl/>
        <w:adjustRightInd w:val="0"/>
        <w:snapToGrid w:val="0"/>
        <w:spacing w:line="360" w:lineRule="auto"/>
        <w:jc w:val="center"/>
        <w:rPr>
          <w:rFonts w:hint="eastAsia" w:ascii="宋体" w:hAnsi="宋体" w:eastAsia="宋体" w:cs="宋体"/>
          <w:b/>
          <w:sz w:val="44"/>
          <w:szCs w:val="44"/>
          <w:highlight w:val="none"/>
        </w:rPr>
      </w:pPr>
      <w:r>
        <w:rPr>
          <w:rFonts w:hint="eastAsia" w:ascii="宋体" w:hAnsi="宋体" w:eastAsia="宋体" w:cs="宋体"/>
          <w:b/>
          <w:bCs/>
          <w:spacing w:val="62"/>
          <w:kern w:val="0"/>
          <w:sz w:val="32"/>
          <w:szCs w:val="32"/>
          <w:highlight w:val="none"/>
        </w:rPr>
        <w:t>二〇二</w:t>
      </w:r>
      <w:r>
        <w:rPr>
          <w:rFonts w:hint="eastAsia" w:ascii="宋体" w:hAnsi="宋体" w:eastAsia="宋体" w:cs="宋体"/>
          <w:b/>
          <w:bCs/>
          <w:spacing w:val="62"/>
          <w:kern w:val="0"/>
          <w:sz w:val="32"/>
          <w:szCs w:val="32"/>
          <w:highlight w:val="none"/>
          <w:lang w:val="en-US" w:eastAsia="zh-CN"/>
        </w:rPr>
        <w:t>三</w:t>
      </w:r>
      <w:r>
        <w:rPr>
          <w:rFonts w:hint="eastAsia" w:ascii="宋体" w:hAnsi="宋体" w:eastAsia="宋体" w:cs="宋体"/>
          <w:b/>
          <w:bCs/>
          <w:spacing w:val="62"/>
          <w:kern w:val="0"/>
          <w:sz w:val="32"/>
          <w:szCs w:val="32"/>
          <w:highlight w:val="none"/>
        </w:rPr>
        <w:t>年</w:t>
      </w:r>
      <w:r>
        <w:rPr>
          <w:rFonts w:hint="eastAsia" w:ascii="宋体" w:hAnsi="宋体" w:eastAsia="宋体" w:cs="宋体"/>
          <w:b/>
          <w:bCs/>
          <w:spacing w:val="62"/>
          <w:kern w:val="0"/>
          <w:sz w:val="32"/>
          <w:szCs w:val="32"/>
          <w:highlight w:val="none"/>
          <w:lang w:val="en-US" w:eastAsia="zh-CN"/>
        </w:rPr>
        <w:t>十</w:t>
      </w:r>
      <w:r>
        <w:rPr>
          <w:rFonts w:hint="eastAsia" w:ascii="宋体" w:hAnsi="宋体" w:cs="宋体"/>
          <w:b/>
          <w:bCs/>
          <w:spacing w:val="62"/>
          <w:kern w:val="0"/>
          <w:sz w:val="32"/>
          <w:szCs w:val="32"/>
          <w:highlight w:val="none"/>
          <w:lang w:val="en-US" w:eastAsia="zh-CN"/>
        </w:rPr>
        <w:t>二</w:t>
      </w:r>
      <w:r>
        <w:rPr>
          <w:rFonts w:hint="eastAsia" w:ascii="宋体" w:hAnsi="宋体" w:eastAsia="宋体" w:cs="宋体"/>
          <w:b/>
          <w:bCs/>
          <w:spacing w:val="62"/>
          <w:kern w:val="0"/>
          <w:sz w:val="32"/>
          <w:szCs w:val="32"/>
          <w:highlight w:val="none"/>
        </w:rPr>
        <w:t>月</w:t>
      </w:r>
    </w:p>
    <w:p>
      <w:pPr>
        <w:spacing w:line="480" w:lineRule="exact"/>
        <w:rPr>
          <w:rFonts w:hint="eastAsia" w:ascii="宋体" w:hAnsi="宋体" w:eastAsia="宋体" w:cs="宋体"/>
          <w:b/>
          <w:sz w:val="44"/>
          <w:szCs w:val="44"/>
          <w:highlight w:val="none"/>
        </w:rPr>
        <w:sectPr>
          <w:headerReference r:id="rId3" w:type="default"/>
          <w:footerReference r:id="rId4" w:type="default"/>
          <w:pgSz w:w="11906" w:h="16838"/>
          <w:pgMar w:top="1440" w:right="1416" w:bottom="1440" w:left="1701" w:header="851" w:footer="992" w:gutter="0"/>
          <w:pgBorders>
            <w:top w:val="none" w:sz="0" w:space="0"/>
            <w:left w:val="none" w:sz="0" w:space="0"/>
            <w:bottom w:val="none" w:sz="0" w:space="0"/>
            <w:right w:val="none" w:sz="0" w:space="0"/>
          </w:pgBorders>
          <w:pgNumType w:fmt="decimal" w:start="1"/>
          <w:cols w:space="720" w:num="1"/>
          <w:docGrid w:type="linesAndChars" w:linePitch="314" w:charSpace="532"/>
        </w:sectPr>
      </w:pPr>
    </w:p>
    <w:p>
      <w:pPr>
        <w:spacing w:line="48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目   录</w:t>
      </w:r>
    </w:p>
    <w:p>
      <w:pPr>
        <w:pStyle w:val="3"/>
        <w:rPr>
          <w:rFonts w:hint="eastAsia" w:ascii="宋体" w:hAnsi="宋体" w:eastAsia="宋体" w:cs="宋体"/>
          <w:sz w:val="24"/>
          <w:szCs w:val="24"/>
          <w:highlight w:val="none"/>
        </w:rPr>
      </w:pPr>
    </w:p>
    <w:p>
      <w:pPr>
        <w:pStyle w:val="25"/>
        <w:tabs>
          <w:tab w:val="right" w:leader="dot" w:pos="8789"/>
        </w:tabs>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TOC \o "1-2" \h \z \u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_Toc12491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特别提示</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_Toc12491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25"/>
        <w:tabs>
          <w:tab w:val="right" w:leader="dot" w:pos="8789"/>
        </w:tabs>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_Toc14305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第一章  招标公告</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_Toc14305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28"/>
        <w:tabs>
          <w:tab w:val="right" w:leader="dot" w:pos="8789"/>
        </w:tabs>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第二章  </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_Toc8268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投标人须知</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_Toc8268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25"/>
        <w:tabs>
          <w:tab w:val="right" w:leader="dot" w:pos="8789"/>
        </w:tabs>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_Toc24716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 xml:space="preserve">第三章  </w:t>
      </w:r>
      <w:r>
        <w:rPr>
          <w:rFonts w:hint="eastAsia" w:ascii="宋体" w:hAnsi="宋体" w:eastAsia="宋体" w:cs="宋体"/>
          <w:bCs/>
          <w:sz w:val="21"/>
          <w:szCs w:val="21"/>
          <w:highlight w:val="none"/>
        </w:rPr>
        <w:t>资格性审查表</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_Toc24716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29</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25"/>
        <w:tabs>
          <w:tab w:val="right" w:leader="dot" w:pos="8789"/>
        </w:tabs>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_Toc21159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rPr>
        <w:t xml:space="preserve">第四章 </w:t>
      </w:r>
      <w:r>
        <w:rPr>
          <w:rFonts w:hint="eastAsia" w:ascii="宋体" w:hAnsi="宋体" w:cs="宋体"/>
          <w:bCs/>
          <w:sz w:val="21"/>
          <w:szCs w:val="21"/>
          <w:highlight w:val="none"/>
          <w:lang w:val="en-US" w:eastAsia="zh-CN"/>
        </w:rPr>
        <w:t xml:space="preserve"> </w:t>
      </w:r>
      <w:r>
        <w:rPr>
          <w:rFonts w:hint="eastAsia" w:ascii="宋体" w:hAnsi="宋体" w:eastAsia="宋体" w:cs="宋体"/>
          <w:bCs/>
          <w:sz w:val="21"/>
          <w:szCs w:val="21"/>
          <w:highlight w:val="none"/>
        </w:rPr>
        <w:t>符合性审查表</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_Toc21159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25"/>
        <w:tabs>
          <w:tab w:val="right" w:leader="dot" w:pos="8789"/>
        </w:tabs>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_Toc19327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第五章  评标办法（综合评分法）</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_Toc19327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25"/>
        <w:tabs>
          <w:tab w:val="right" w:leader="dot" w:pos="8789"/>
        </w:tabs>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_Toc12763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lang w:val="en-US" w:eastAsia="zh-CN"/>
        </w:rPr>
        <w:t xml:space="preserve">第六章 </w:t>
      </w:r>
      <w:r>
        <w:rPr>
          <w:rFonts w:hint="eastAsia" w:ascii="宋体" w:hAnsi="宋体" w:cs="宋体"/>
          <w:bCs/>
          <w:sz w:val="21"/>
          <w:szCs w:val="21"/>
          <w:highlight w:val="none"/>
          <w:lang w:val="en-US" w:eastAsia="zh-CN"/>
        </w:rPr>
        <w:t xml:space="preserve"> </w:t>
      </w:r>
      <w:r>
        <w:rPr>
          <w:rFonts w:hint="eastAsia" w:ascii="宋体" w:hAnsi="宋体" w:eastAsia="宋体" w:cs="宋体"/>
          <w:bCs/>
          <w:sz w:val="21"/>
          <w:szCs w:val="21"/>
          <w:highlight w:val="none"/>
          <w:lang w:val="en-US" w:eastAsia="zh-CN"/>
        </w:rPr>
        <w:t>合同格式及合同主要条款</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_Toc12763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25"/>
        <w:tabs>
          <w:tab w:val="right" w:leader="dot" w:pos="8789"/>
        </w:tabs>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_Toc20624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 xml:space="preserve">第七章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货物需求及技术要求</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_Toc20624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25"/>
        <w:tabs>
          <w:tab w:val="right" w:leader="dot" w:pos="8789"/>
        </w:tabs>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_Toc22722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 xml:space="preserve">第八章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投标文件格式</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_Toc22722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47</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25"/>
        <w:tabs>
          <w:tab w:val="right" w:leader="dot" w:pos="8789"/>
        </w:tabs>
        <w:rPr>
          <w:rFonts w:hint="eastAsia" w:ascii="宋体" w:hAnsi="宋体" w:eastAsia="宋体" w:cs="宋体"/>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_Toc12478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 xml:space="preserve">第九章 </w:t>
      </w:r>
      <w:r>
        <w:rPr>
          <w:rFonts w:hint="eastAsia" w:ascii="宋体" w:hAnsi="宋体" w:cs="宋体"/>
          <w:sz w:val="21"/>
          <w:szCs w:val="21"/>
          <w:highlight w:val="none"/>
          <w:lang w:val="en-US" w:eastAsia="zh-CN"/>
        </w:rPr>
        <w:t xml:space="preserve"> </w:t>
      </w:r>
      <w:r>
        <w:rPr>
          <w:rFonts w:hint="eastAsia" w:ascii="宋体" w:hAnsi="宋体" w:eastAsia="宋体" w:cs="宋体"/>
          <w:kern w:val="44"/>
          <w:sz w:val="21"/>
          <w:szCs w:val="21"/>
          <w:highlight w:val="none"/>
          <w:lang w:val="en-US" w:eastAsia="zh-CN" w:bidi="ar-SA"/>
        </w:rPr>
        <w:t>政府采购政策</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_Toc12478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76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28"/>
        <w:tabs>
          <w:tab w:val="right" w:leader="dot" w:pos="8789"/>
        </w:tabs>
        <w:rPr>
          <w:rFonts w:hint="eastAsia" w:ascii="宋体" w:hAnsi="宋体" w:eastAsia="宋体" w:cs="宋体"/>
          <w:highlight w:val="none"/>
        </w:rPr>
      </w:pPr>
    </w:p>
    <w:p>
      <w:pPr>
        <w:pStyle w:val="2"/>
        <w:numPr>
          <w:ilvl w:val="0"/>
          <w:numId w:val="0"/>
        </w:numPr>
        <w:spacing w:line="400" w:lineRule="exact"/>
        <w:jc w:val="center"/>
        <w:rPr>
          <w:rFonts w:hint="eastAsia" w:ascii="宋体" w:hAnsi="宋体" w:eastAsia="宋体" w:cs="宋体"/>
          <w:highlight w:val="none"/>
        </w:rPr>
      </w:pPr>
      <w:r>
        <w:rPr>
          <w:rFonts w:hint="eastAsia" w:ascii="宋体" w:hAnsi="宋体" w:eastAsia="宋体" w:cs="宋体"/>
          <w:szCs w:val="21"/>
          <w:highlight w:val="none"/>
        </w:rPr>
        <w:fldChar w:fldCharType="end"/>
      </w:r>
      <w:bookmarkStart w:id="0" w:name="_Toc256363510"/>
    </w:p>
    <w:p>
      <w:pPr>
        <w:rPr>
          <w:rFonts w:hint="eastAsia" w:ascii="宋体" w:hAnsi="宋体" w:eastAsia="宋体" w:cs="宋体"/>
          <w:highlight w:val="none"/>
        </w:rPr>
      </w:pPr>
      <w:r>
        <w:rPr>
          <w:rFonts w:hint="eastAsia" w:ascii="宋体" w:hAnsi="宋体" w:eastAsia="宋体" w:cs="宋体"/>
          <w:highlight w:val="none"/>
        </w:rPr>
        <w:br w:type="page"/>
      </w:r>
    </w:p>
    <w:p>
      <w:pPr>
        <w:pStyle w:val="2"/>
        <w:numPr>
          <w:ilvl w:val="0"/>
          <w:numId w:val="0"/>
        </w:numPr>
        <w:jc w:val="center"/>
        <w:rPr>
          <w:rFonts w:hint="eastAsia" w:ascii="宋体" w:hAnsi="宋体" w:eastAsia="宋体" w:cs="宋体"/>
          <w:b/>
          <w:sz w:val="36"/>
          <w:szCs w:val="36"/>
          <w:highlight w:val="none"/>
        </w:rPr>
      </w:pPr>
      <w:bookmarkStart w:id="1" w:name="_Toc23180"/>
      <w:bookmarkStart w:id="2" w:name="_Toc16417832"/>
      <w:bookmarkStart w:id="3" w:name="_Toc12491"/>
      <w:bookmarkStart w:id="4" w:name="_Toc27493"/>
      <w:bookmarkStart w:id="5" w:name="_Toc13449"/>
      <w:bookmarkStart w:id="6" w:name="_Toc15008"/>
      <w:bookmarkStart w:id="7" w:name="_Toc31141"/>
      <w:r>
        <w:rPr>
          <w:rFonts w:hint="eastAsia" w:ascii="宋体" w:hAnsi="宋体" w:eastAsia="宋体" w:cs="宋体"/>
          <w:b/>
          <w:sz w:val="28"/>
          <w:szCs w:val="28"/>
          <w:highlight w:val="none"/>
        </w:rPr>
        <w:t>特别提示</w:t>
      </w:r>
      <w:bookmarkEnd w:id="1"/>
      <w:bookmarkEnd w:id="2"/>
      <w:bookmarkEnd w:id="3"/>
      <w:bookmarkEnd w:id="4"/>
      <w:bookmarkEnd w:id="5"/>
      <w:bookmarkEnd w:id="6"/>
      <w:bookmarkEnd w:id="7"/>
    </w:p>
    <w:p>
      <w:pPr>
        <w:spacing w:line="400" w:lineRule="exact"/>
        <w:ind w:firstLine="424" w:firstLineChars="200"/>
        <w:rPr>
          <w:rFonts w:hint="eastAsia" w:ascii="宋体" w:hAnsi="宋体" w:eastAsia="宋体" w:cs="宋体"/>
          <w:snapToGrid w:val="0"/>
          <w:szCs w:val="21"/>
          <w:highlight w:val="none"/>
        </w:rPr>
      </w:pPr>
      <w:r>
        <w:rPr>
          <w:rFonts w:hint="eastAsia" w:ascii="宋体" w:hAnsi="宋体" w:eastAsia="宋体" w:cs="宋体"/>
          <w:szCs w:val="21"/>
          <w:highlight w:val="none"/>
        </w:rPr>
        <w:t>本项目通过《河南省公共资源交易中心网》（http://www.hnggzy.net/）进行全电子化招标采购。投标供应商应登录《河南省公共资源交易中心网站》进行电子注册、注册成为《河南省公共资源交易中心网站》会员并取得CA密钥后，方能参与政府采购活动。</w:t>
      </w:r>
      <w:r>
        <w:rPr>
          <w:rFonts w:hint="eastAsia" w:ascii="宋体" w:hAnsi="宋体" w:eastAsia="宋体" w:cs="宋体"/>
          <w:snapToGrid w:val="0"/>
          <w:szCs w:val="21"/>
          <w:highlight w:val="none"/>
        </w:rPr>
        <w:t>具体流程如下：</w:t>
      </w:r>
    </w:p>
    <w:p>
      <w:pPr>
        <w:spacing w:line="400" w:lineRule="exact"/>
        <w:ind w:firstLine="424"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1、投标供应商初次登记注册</w:t>
      </w:r>
    </w:p>
    <w:p>
      <w:pPr>
        <w:spacing w:line="4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1.1 注册用户名及密码</w:t>
      </w:r>
    </w:p>
    <w:p>
      <w:pPr>
        <w:spacing w:line="4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登录</w:t>
      </w:r>
      <w:r>
        <w:rPr>
          <w:rFonts w:hint="eastAsia" w:ascii="宋体" w:hAnsi="宋体" w:eastAsia="宋体" w:cs="宋体"/>
          <w:szCs w:val="21"/>
          <w:highlight w:val="none"/>
          <w:lang w:eastAsia="zh-CN"/>
        </w:rPr>
        <w:t>河南省公共资源交易中心网站</w:t>
      </w:r>
      <w:r>
        <w:rPr>
          <w:rFonts w:hint="eastAsia" w:ascii="宋体" w:hAnsi="宋体" w:eastAsia="宋体" w:cs="宋体"/>
          <w:szCs w:val="21"/>
          <w:highlight w:val="none"/>
        </w:rPr>
        <w:t>（以下简称“中心网站”）访问地址为：http://www.hnggzy.net/，具体办理事宜请查阅河南省公共资源交易中心网站—公共服务—办事指南中的《新交易平台使用手册 (培训资料)》。</w:t>
      </w:r>
    </w:p>
    <w:p>
      <w:pPr>
        <w:spacing w:line="4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1.2 办理CA 数字证书</w:t>
      </w:r>
    </w:p>
    <w:p>
      <w:pPr>
        <w:spacing w:line="400" w:lineRule="exact"/>
        <w:ind w:firstLine="424" w:firstLineChars="200"/>
        <w:jc w:val="left"/>
        <w:rPr>
          <w:rFonts w:hint="eastAsia" w:ascii="宋体" w:hAnsi="宋体" w:eastAsia="宋体" w:cs="宋体"/>
          <w:szCs w:val="21"/>
          <w:highlight w:val="none"/>
        </w:rPr>
      </w:pPr>
      <w:r>
        <w:rPr>
          <w:rFonts w:hint="eastAsia" w:ascii="宋体" w:hAnsi="宋体" w:eastAsia="宋体" w:cs="宋体"/>
          <w:szCs w:val="21"/>
          <w:highlight w:val="none"/>
        </w:rPr>
        <w:t>河南省公共资源交易中心各交易主体如需办理CA数字证书业务的，可通过以下链接（http://xaca.hnxaca.com:8081/online/ggzyApply/index.shtml）在线办理，点击交易中心登录入口CA自助激活。各交易主体亦可通过信安CA各线下服务网点办理数字证书业务。</w:t>
      </w:r>
    </w:p>
    <w:p>
      <w:pPr>
        <w:spacing w:line="4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1.3 登记基本信息</w:t>
      </w:r>
    </w:p>
    <w:p>
      <w:pPr>
        <w:spacing w:line="4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点击中心网站首页的【市场主体登录】按钮，使用CA 数字证书登录“河南省公共资源交易中心-市场主体系统”，录入基本信息并扫描上传相关证件。</w:t>
      </w:r>
    </w:p>
    <w:p>
      <w:pPr>
        <w:spacing w:line="400" w:lineRule="exact"/>
        <w:ind w:firstLine="424"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1.4 详情见河南省公共资源交易中心网站办事指南</w:t>
      </w:r>
      <w:r>
        <w:rPr>
          <w:rFonts w:hint="eastAsia" w:ascii="宋体" w:hAnsi="宋体" w:eastAsia="宋体" w:cs="宋体"/>
          <w:szCs w:val="21"/>
          <w:highlight w:val="none"/>
          <w:lang w:eastAsia="zh-CN"/>
        </w:rPr>
        <w:t>。</w:t>
      </w:r>
    </w:p>
    <w:p>
      <w:pPr>
        <w:spacing w:line="4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1.5 CA密钥办理地址为郑州市龙子湖平安大道与明理路交叉口西南角博雅广场4号楼15楼，咨询客服电话：0371-96596-0转人工。</w:t>
      </w:r>
    </w:p>
    <w:p>
      <w:pPr>
        <w:tabs>
          <w:tab w:val="left" w:pos="3210"/>
        </w:tabs>
        <w:spacing w:line="400" w:lineRule="exact"/>
        <w:ind w:firstLine="424"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2、投标文件制作</w:t>
      </w:r>
      <w:r>
        <w:rPr>
          <w:rFonts w:hint="eastAsia" w:ascii="宋体" w:hAnsi="宋体" w:eastAsia="宋体" w:cs="宋体"/>
          <w:b/>
          <w:bCs/>
          <w:szCs w:val="21"/>
          <w:highlight w:val="none"/>
        </w:rPr>
        <w:tab/>
      </w:r>
    </w:p>
    <w:p>
      <w:pPr>
        <w:spacing w:line="4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2.1、投标供应商使用CA数字证书登录</w:t>
      </w:r>
      <w:r>
        <w:rPr>
          <w:rFonts w:hint="eastAsia" w:ascii="宋体" w:hAnsi="宋体" w:eastAsia="宋体" w:cs="宋体"/>
          <w:szCs w:val="21"/>
          <w:highlight w:val="none"/>
          <w:lang w:eastAsia="zh-CN"/>
        </w:rPr>
        <w:t>河南省公共资源交易中心网站</w:t>
      </w:r>
      <w:r>
        <w:rPr>
          <w:rFonts w:hint="eastAsia" w:ascii="宋体" w:hAnsi="宋体" w:eastAsia="宋体" w:cs="宋体"/>
          <w:szCs w:val="21"/>
          <w:highlight w:val="none"/>
        </w:rPr>
        <w:t>公共服务（办事指南及下载专区）：下载“投标文件制作工具安装包压缩文件下载”等。</w:t>
      </w:r>
    </w:p>
    <w:p>
      <w:pPr>
        <w:spacing w:line="4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2.2、投标供应商凭CA 密钥登陆（</w:t>
      </w:r>
      <w:r>
        <w:rPr>
          <w:rFonts w:hint="eastAsia" w:ascii="宋体" w:hAnsi="宋体" w:eastAsia="宋体" w:cs="宋体"/>
          <w:szCs w:val="21"/>
          <w:highlight w:val="none"/>
          <w:lang w:eastAsia="zh-CN"/>
        </w:rPr>
        <w:t>http://www.hnggzy.net/</w:t>
      </w:r>
      <w:r>
        <w:rPr>
          <w:rFonts w:hint="eastAsia" w:ascii="宋体" w:hAnsi="宋体" w:eastAsia="宋体" w:cs="宋体"/>
          <w:szCs w:val="21"/>
          <w:highlight w:val="none"/>
        </w:rPr>
        <w:t xml:space="preserve"> ）市场主体系统并按网上提示下载招标文件(.hnzf 格式)。按照系统提示制作投标文件。</w:t>
      </w:r>
    </w:p>
    <w:p>
      <w:pPr>
        <w:spacing w:line="4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2.3、投标供应商须在投标文件递交截止时间前制作并提交：加密的电子投标文件（</w:t>
      </w:r>
      <w:r>
        <w:rPr>
          <w:rFonts w:hint="eastAsia" w:ascii="宋体" w:hAnsi="宋体" w:cs="宋体"/>
          <w:szCs w:val="21"/>
          <w:highlight w:val="none"/>
          <w:lang w:val="en-US" w:eastAsia="zh-CN"/>
        </w:rPr>
        <w:t>*</w:t>
      </w:r>
      <w:r>
        <w:rPr>
          <w:rFonts w:hint="eastAsia" w:ascii="宋体" w:hAnsi="宋体" w:eastAsia="宋体" w:cs="宋体"/>
          <w:szCs w:val="21"/>
          <w:highlight w:val="none"/>
        </w:rPr>
        <w:t>.hntf 格式）,应在投标文件截止时间前通过“</w:t>
      </w:r>
      <w:r>
        <w:rPr>
          <w:rFonts w:hint="eastAsia" w:ascii="宋体" w:hAnsi="宋体" w:eastAsia="宋体" w:cs="宋体"/>
          <w:szCs w:val="21"/>
          <w:highlight w:val="none"/>
          <w:lang w:eastAsia="zh-CN"/>
        </w:rPr>
        <w:t>河南省公共资源交易中心</w:t>
      </w:r>
      <w:r>
        <w:rPr>
          <w:rFonts w:hint="eastAsia" w:ascii="宋体" w:hAnsi="宋体" w:eastAsia="宋体" w:cs="宋体"/>
          <w:szCs w:val="21"/>
          <w:highlight w:val="none"/>
        </w:rPr>
        <w:t>”电子交易平台内上传；投标文件以最终上传电子文件为准。</w:t>
      </w:r>
    </w:p>
    <w:p>
      <w:pPr>
        <w:spacing w:line="4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2.4、加密的电子投标文件为“</w:t>
      </w:r>
      <w:r>
        <w:rPr>
          <w:rFonts w:hint="eastAsia" w:ascii="宋体" w:hAnsi="宋体" w:eastAsia="宋体" w:cs="宋体"/>
          <w:szCs w:val="21"/>
          <w:highlight w:val="none"/>
          <w:lang w:eastAsia="zh-CN"/>
        </w:rPr>
        <w:t>河南省公共资源交易中心</w:t>
      </w:r>
      <w:r>
        <w:rPr>
          <w:rFonts w:hint="eastAsia" w:ascii="宋体" w:hAnsi="宋体" w:eastAsia="宋体" w:cs="宋体"/>
          <w:szCs w:val="21"/>
          <w:highlight w:val="none"/>
        </w:rPr>
        <w:t>”网站提供的“投标文件制作工具”软件制作生成的加密版投标文件。</w:t>
      </w:r>
    </w:p>
    <w:p>
      <w:pPr>
        <w:spacing w:line="4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2.5、投标供应商在制作电子投标文件时，“投标文件制作工具”左侧栏目“封面”、“</w:t>
      </w:r>
      <w:r>
        <w:rPr>
          <w:rFonts w:hint="eastAsia" w:ascii="宋体" w:hAnsi="宋体" w:eastAsia="宋体" w:cs="宋体"/>
          <w:szCs w:val="21"/>
          <w:highlight w:val="none"/>
          <w:lang w:eastAsia="zh-CN"/>
        </w:rPr>
        <w:t>分项报价一览表</w:t>
      </w:r>
      <w:r>
        <w:rPr>
          <w:rFonts w:hint="eastAsia" w:ascii="宋体" w:hAnsi="宋体" w:eastAsia="宋体" w:cs="宋体"/>
          <w:szCs w:val="21"/>
          <w:highlight w:val="none"/>
        </w:rPr>
        <w:t>”制作完成后须加盖电子签章（包括企业电子签章和个人电子签章）；左侧栏目“投标文件组成”中的内容：投标文件</w:t>
      </w:r>
      <w:r>
        <w:rPr>
          <w:rFonts w:hint="eastAsia" w:ascii="宋体" w:hAnsi="宋体" w:eastAsia="宋体" w:cs="宋体"/>
          <w:szCs w:val="21"/>
          <w:highlight w:val="none"/>
          <w:lang w:eastAsia="zh-CN"/>
        </w:rPr>
        <w:t>综合部分</w:t>
      </w:r>
      <w:r>
        <w:rPr>
          <w:rFonts w:hint="eastAsia" w:ascii="宋体" w:hAnsi="宋体" w:eastAsia="宋体" w:cs="宋体"/>
          <w:szCs w:val="21"/>
          <w:highlight w:val="none"/>
        </w:rPr>
        <w:t>、投标文件技术部分</w:t>
      </w:r>
      <w:r>
        <w:rPr>
          <w:rFonts w:hint="eastAsia" w:ascii="宋体" w:hAnsi="宋体" w:eastAsia="宋体" w:cs="宋体"/>
          <w:szCs w:val="21"/>
          <w:highlight w:val="none"/>
          <w:lang w:val="en-US" w:eastAsia="zh-CN"/>
        </w:rPr>
        <w:t>按</w:t>
      </w:r>
      <w:r>
        <w:rPr>
          <w:rFonts w:hint="eastAsia" w:ascii="宋体" w:hAnsi="宋体" w:eastAsia="宋体" w:cs="宋体"/>
          <w:szCs w:val="21"/>
          <w:highlight w:val="none"/>
        </w:rPr>
        <w:t>格式要求电子签章（包括企业电子签章、个人电子签章），并将所有扫描内容（包括营业执照、资质证书、财务报告、纳税凭证等）电子签章（企业电子签章）。电子投标文件中的图片应使用扫描件，投标供应商应合理设置图片大小，保证投标文件总容量不至于过大，避免影响顺利上传。</w:t>
      </w:r>
    </w:p>
    <w:p>
      <w:pPr>
        <w:spacing w:line="4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2.6、招标文件格式所要求包含的全部资料应全部制作在投标文件内，严格按照本项目招标文件所有格式如实填写（不涉及的内容除外），不应存在漏项或缺项，否则将存在投标文件被拒绝的风险。投标函及</w:t>
      </w:r>
      <w:r>
        <w:rPr>
          <w:rFonts w:hint="eastAsia" w:ascii="宋体" w:hAnsi="宋体" w:eastAsia="宋体" w:cs="宋体"/>
          <w:szCs w:val="21"/>
          <w:highlight w:val="none"/>
          <w:lang w:eastAsia="zh-CN"/>
        </w:rPr>
        <w:t>分项报价一览表</w:t>
      </w:r>
      <w:r>
        <w:rPr>
          <w:rFonts w:hint="eastAsia" w:ascii="宋体" w:hAnsi="宋体" w:eastAsia="宋体" w:cs="宋体"/>
          <w:szCs w:val="21"/>
          <w:highlight w:val="none"/>
        </w:rPr>
        <w:t>，须严格按照格式编辑，并作为电子开评标系统上传的依据。</w:t>
      </w:r>
    </w:p>
    <w:p>
      <w:pPr>
        <w:spacing w:line="4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2.7、投标文件以外的任何资料采购人和</w:t>
      </w:r>
      <w:r>
        <w:rPr>
          <w:rFonts w:hint="eastAsia" w:ascii="宋体" w:hAnsi="宋体" w:eastAsia="宋体" w:cs="宋体"/>
          <w:szCs w:val="21"/>
          <w:highlight w:val="none"/>
          <w:lang w:eastAsia="zh-CN"/>
        </w:rPr>
        <w:t>采购代理机构</w:t>
      </w:r>
      <w:r>
        <w:rPr>
          <w:rFonts w:hint="eastAsia" w:ascii="宋体" w:hAnsi="宋体" w:eastAsia="宋体" w:cs="宋体"/>
          <w:szCs w:val="21"/>
          <w:highlight w:val="none"/>
        </w:rPr>
        <w:t>将拒收。</w:t>
      </w:r>
    </w:p>
    <w:p>
      <w:pPr>
        <w:spacing w:line="4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2.8、投标供应商编辑电子投标文件时，根据招标文件要求用法人CA 密钥和企业CA 密钥进行签章制作；最后一步生成电子投标文件（</w:t>
      </w:r>
      <w:r>
        <w:rPr>
          <w:rFonts w:hint="eastAsia" w:ascii="宋体" w:hAnsi="宋体" w:cs="宋体"/>
          <w:szCs w:val="21"/>
          <w:highlight w:val="none"/>
          <w:lang w:val="en-US" w:eastAsia="zh-CN"/>
        </w:rPr>
        <w:t>*</w:t>
      </w:r>
      <w:r>
        <w:rPr>
          <w:rFonts w:hint="eastAsia" w:ascii="宋体" w:hAnsi="宋体" w:eastAsia="宋体" w:cs="宋体"/>
          <w:szCs w:val="21"/>
          <w:highlight w:val="none"/>
        </w:rPr>
        <w:t>.hntf 格式）时，只能用本单位的企业CA 密钥。电子投标文件上传成功后，请自行打印“网上投标回执单”。</w:t>
      </w:r>
    </w:p>
    <w:p>
      <w:pPr>
        <w:spacing w:line="4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2.9由于投标供应商原因，未按要求制作、上传、加密电子投标文件，造成文件上传失败的，责任由投标供应商承担。</w:t>
      </w:r>
    </w:p>
    <w:p>
      <w:pPr>
        <w:spacing w:line="400" w:lineRule="exact"/>
        <w:ind w:firstLine="424"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3、澄清与变更</w:t>
      </w:r>
    </w:p>
    <w:p>
      <w:pPr>
        <w:spacing w:line="4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3.1采购人、</w:t>
      </w:r>
      <w:r>
        <w:rPr>
          <w:rFonts w:hint="eastAsia" w:ascii="宋体" w:hAnsi="宋体" w:eastAsia="宋体" w:cs="宋体"/>
          <w:szCs w:val="21"/>
          <w:highlight w:val="none"/>
          <w:lang w:eastAsia="zh-CN"/>
        </w:rPr>
        <w:t>采购代理机构</w:t>
      </w:r>
      <w:r>
        <w:rPr>
          <w:rFonts w:hint="eastAsia" w:ascii="宋体" w:hAnsi="宋体" w:eastAsia="宋体" w:cs="宋体"/>
          <w:szCs w:val="21"/>
          <w:highlight w:val="none"/>
        </w:rPr>
        <w:t>对已发出的招标文件进行的答疑、澄清，答疑、澄清的内容将作为招标文件的组成部分。</w:t>
      </w:r>
      <w:r>
        <w:rPr>
          <w:rFonts w:hint="eastAsia" w:ascii="宋体" w:hAnsi="宋体" w:eastAsia="宋体" w:cs="宋体"/>
          <w:szCs w:val="21"/>
          <w:highlight w:val="none"/>
          <w:lang w:eastAsia="zh-CN"/>
        </w:rPr>
        <w:t>采购代理机构</w:t>
      </w:r>
      <w:r>
        <w:rPr>
          <w:rFonts w:hint="eastAsia" w:ascii="宋体" w:hAnsi="宋体" w:eastAsia="宋体" w:cs="宋体"/>
          <w:szCs w:val="21"/>
          <w:highlight w:val="none"/>
        </w:rPr>
        <w:t>将通过网站“变更公告”和系统内部“答疑文件”告知投标供应商，对于各项目中已经成功报名并下载招标文件的项目投标供应商，系统将通过第三方短信群发方式提醒投标供应商进行查询。</w:t>
      </w:r>
    </w:p>
    <w:p>
      <w:pPr>
        <w:spacing w:line="4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3.2各投标供应商须重新下载最新的招标文件和答疑文件，以此编制投标文件。投标供应商注册时所留手机联系方式要保持畅通，因联系方式变更而未及时更新系统内联系方式的，将会造成收不到短信。此短信仅系友情提示，并不具有任何约束性和必要性，</w:t>
      </w:r>
      <w:r>
        <w:rPr>
          <w:rFonts w:hint="eastAsia" w:ascii="宋体" w:hAnsi="宋体" w:eastAsia="宋体" w:cs="宋体"/>
          <w:szCs w:val="21"/>
          <w:highlight w:val="none"/>
          <w:lang w:eastAsia="zh-CN"/>
        </w:rPr>
        <w:t>采购代理机构</w:t>
      </w:r>
      <w:r>
        <w:rPr>
          <w:rFonts w:hint="eastAsia" w:ascii="宋体" w:hAnsi="宋体" w:eastAsia="宋体" w:cs="宋体"/>
          <w:szCs w:val="21"/>
          <w:highlight w:val="none"/>
        </w:rPr>
        <w:t>不承担投标供应商未收到短信而引起的一切后果和法律责任。</w:t>
      </w:r>
    </w:p>
    <w:p>
      <w:pPr>
        <w:spacing w:line="4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3.3因河南省公共资源交易中心平台在开标前具有保密性，投标供应商在投标文件递交截止时间前须自行查看项目进展、变更通知、澄清及回复，因投标供应商未及时查看而造成的后果自负。</w:t>
      </w:r>
    </w:p>
    <w:p>
      <w:pPr>
        <w:spacing w:line="400" w:lineRule="exact"/>
        <w:ind w:firstLine="424"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4、开标</w:t>
      </w:r>
    </w:p>
    <w:p>
      <w:pPr>
        <w:spacing w:line="400" w:lineRule="exact"/>
        <w:ind w:firstLine="424"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本项目采用“远程不见面”开标方式，远程开标大厅网址为（</w:t>
      </w:r>
      <w:r>
        <w:rPr>
          <w:rFonts w:hint="eastAsia" w:ascii="宋体" w:hAnsi="宋体" w:eastAsia="宋体" w:cs="宋体"/>
          <w:szCs w:val="21"/>
          <w:highlight w:val="none"/>
          <w:lang w:eastAsia="zh-CN"/>
        </w:rPr>
        <w:t>http://www.hnggzy.net/</w:t>
      </w:r>
      <w:r>
        <w:rPr>
          <w:rFonts w:hint="eastAsia" w:ascii="宋体" w:hAnsi="宋体" w:eastAsia="宋体" w:cs="宋体"/>
          <w:szCs w:val="21"/>
          <w:highlight w:val="none"/>
        </w:rPr>
        <w:t xml:space="preserve"> ），投标供应商无需到河南省公共资源交易中心现场参加开标会议，无需到达现场提交原件资料。投标供应商应当在投标文件递交截止时间前，登录远程开标大厅，在线准时参加开标活动并进行投标文件解密等。各投标供应商应在规定时间内对本单位的投标文件进行解密，因加密电子投标文件未能上传成功或未在规定时间内解密的，其投标将被拒绝。不见面服务的具体事宜请查阅河南省公共资源交易中心网站—公共服务—办事指南</w:t>
      </w:r>
      <w:r>
        <w:rPr>
          <w:rFonts w:hint="eastAsia" w:ascii="宋体" w:hAnsi="宋体" w:eastAsia="宋体" w:cs="宋体"/>
          <w:szCs w:val="21"/>
          <w:highlight w:val="none"/>
          <w:lang w:val="en-US" w:eastAsia="zh-CN"/>
        </w:rPr>
        <w:t>中的</w:t>
      </w:r>
      <w:r>
        <w:rPr>
          <w:rFonts w:hint="eastAsia" w:ascii="宋体" w:hAnsi="宋体" w:eastAsia="宋体" w:cs="宋体"/>
          <w:szCs w:val="21"/>
          <w:highlight w:val="none"/>
        </w:rPr>
        <w:t>《新交易平台使用手册(培训资料)》</w:t>
      </w:r>
      <w:r>
        <w:rPr>
          <w:rFonts w:hint="eastAsia" w:ascii="宋体" w:hAnsi="宋体" w:eastAsia="宋体" w:cs="宋体"/>
          <w:szCs w:val="21"/>
          <w:highlight w:val="none"/>
          <w:lang w:eastAsia="zh-CN"/>
        </w:rPr>
        <w:t>。</w:t>
      </w:r>
    </w:p>
    <w:p>
      <w:pPr>
        <w:spacing w:line="400" w:lineRule="exact"/>
        <w:ind w:firstLine="404" w:firstLineChars="200"/>
        <w:rPr>
          <w:rFonts w:hint="eastAsia" w:ascii="宋体" w:hAnsi="宋体" w:eastAsia="宋体" w:cs="宋体"/>
          <w:b/>
          <w:bCs/>
          <w:sz w:val="20"/>
          <w:szCs w:val="20"/>
          <w:highlight w:val="none"/>
        </w:rPr>
      </w:pPr>
    </w:p>
    <w:p>
      <w:pPr>
        <w:pStyle w:val="2"/>
        <w:numPr>
          <w:ilvl w:val="0"/>
          <w:numId w:val="0"/>
        </w:numPr>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bookmarkStart w:id="8" w:name="_Toc14305"/>
      <w:r>
        <w:rPr>
          <w:rFonts w:hint="eastAsia" w:ascii="宋体" w:hAnsi="宋体" w:eastAsia="宋体" w:cs="宋体"/>
          <w:b/>
          <w:sz w:val="30"/>
          <w:szCs w:val="30"/>
          <w:highlight w:val="none"/>
        </w:rPr>
        <w:t>第一章</w:t>
      </w:r>
      <w:bookmarkEnd w:id="0"/>
      <w:r>
        <w:rPr>
          <w:rFonts w:hint="eastAsia" w:ascii="宋体" w:hAnsi="宋体" w:eastAsia="宋体" w:cs="宋体"/>
          <w:b/>
          <w:sz w:val="30"/>
          <w:szCs w:val="30"/>
          <w:highlight w:val="none"/>
        </w:rPr>
        <w:t xml:space="preserve">  招标公告</w:t>
      </w:r>
      <w:bookmarkEnd w:id="8"/>
    </w:p>
    <w:p>
      <w:pPr>
        <w:pStyle w:val="13"/>
        <w:spacing w:line="500" w:lineRule="exact"/>
        <w:ind w:left="119" w:right="20"/>
        <w:jc w:val="center"/>
        <w:rPr>
          <w:rFonts w:hint="eastAsia" w:ascii="宋体" w:hAnsi="宋体" w:eastAsia="宋体" w:cs="宋体"/>
          <w:b/>
          <w:kern w:val="0"/>
          <w:sz w:val="24"/>
          <w:szCs w:val="24"/>
          <w:highlight w:val="none"/>
        </w:rPr>
      </w:pPr>
      <w:r>
        <w:rPr>
          <w:rFonts w:hint="eastAsia" w:ascii="宋体" w:hAnsi="宋体" w:eastAsia="宋体" w:cs="宋体"/>
          <w:b/>
          <w:kern w:val="0"/>
          <w:sz w:val="28"/>
          <w:szCs w:val="28"/>
          <w:highlight w:val="none"/>
          <w:lang w:eastAsia="zh-CN"/>
        </w:rPr>
        <w:t>河南省锅炉压力容器检验技术科学研究院2023年第三批检验检测设备采购项目</w:t>
      </w:r>
      <w:r>
        <w:rPr>
          <w:rFonts w:hint="eastAsia" w:ascii="宋体" w:hAnsi="宋体" w:eastAsia="宋体" w:cs="宋体"/>
          <w:b/>
          <w:kern w:val="0"/>
          <w:sz w:val="28"/>
          <w:szCs w:val="28"/>
          <w:highlight w:val="none"/>
        </w:rPr>
        <w:t>公开招标公告</w:t>
      </w:r>
    </w:p>
    <w:p>
      <w:pPr>
        <w:spacing w:line="500" w:lineRule="exact"/>
        <w:jc w:val="left"/>
        <w:rPr>
          <w:rFonts w:hint="eastAsia" w:ascii="宋体" w:hAnsi="宋体" w:eastAsia="宋体" w:cs="宋体"/>
          <w:szCs w:val="21"/>
          <w:highlight w:val="none"/>
        </w:rPr>
      </w:pPr>
      <w:r>
        <w:rPr>
          <w:rFonts w:hint="eastAsia" w:ascii="宋体" w:hAnsi="宋体" w:eastAsia="宋体" w:cs="宋体"/>
          <w:szCs w:val="21"/>
          <w:highlight w:val="none"/>
        </w:rPr>
        <w:t>项目概况</w:t>
      </w:r>
    </w:p>
    <w:p>
      <w:pPr>
        <w:spacing w:line="500" w:lineRule="exact"/>
        <w:ind w:firstLine="424" w:firstLineChars="200"/>
        <w:jc w:val="left"/>
        <w:rPr>
          <w:rFonts w:hint="eastAsia" w:ascii="宋体" w:hAnsi="宋体" w:eastAsia="宋体" w:cs="宋体"/>
          <w:szCs w:val="21"/>
          <w:highlight w:val="none"/>
        </w:rPr>
      </w:pPr>
      <w:r>
        <w:rPr>
          <w:rFonts w:hint="eastAsia" w:ascii="宋体" w:hAnsi="宋体" w:eastAsia="宋体" w:cs="宋体"/>
          <w:szCs w:val="21"/>
          <w:highlight w:val="none"/>
          <w:lang w:eastAsia="zh-CN"/>
        </w:rPr>
        <w:t>河南省锅炉压力容器检验技术科学研究院2023年第三批检验检测设备采购项目</w:t>
      </w:r>
      <w:r>
        <w:rPr>
          <w:rFonts w:hint="eastAsia" w:ascii="宋体" w:hAnsi="宋体" w:eastAsia="宋体" w:cs="宋体"/>
          <w:szCs w:val="21"/>
          <w:highlight w:val="none"/>
        </w:rPr>
        <w:t>的潜在投标供应商应在</w:t>
      </w:r>
      <w:r>
        <w:rPr>
          <w:rFonts w:hint="eastAsia" w:ascii="宋体" w:hAnsi="宋体" w:eastAsia="宋体" w:cs="宋体"/>
          <w:szCs w:val="21"/>
          <w:highlight w:val="none"/>
          <w:lang w:eastAsia="zh-CN"/>
        </w:rPr>
        <w:t>河南省公共资源交易中心网站</w:t>
      </w:r>
      <w:r>
        <w:rPr>
          <w:rFonts w:hint="eastAsia" w:ascii="宋体" w:hAnsi="宋体" w:eastAsia="宋体" w:cs="宋体"/>
          <w:szCs w:val="21"/>
          <w:highlight w:val="none"/>
        </w:rPr>
        <w:t>（</w:t>
      </w:r>
      <w:r>
        <w:rPr>
          <w:rFonts w:hint="eastAsia" w:ascii="宋体" w:hAnsi="宋体" w:eastAsia="宋体" w:cs="宋体"/>
          <w:szCs w:val="21"/>
          <w:highlight w:val="none"/>
          <w:lang w:eastAsia="zh-CN"/>
        </w:rPr>
        <w:t>http://www.hnggzy.net/</w:t>
      </w:r>
      <w:r>
        <w:rPr>
          <w:rFonts w:hint="eastAsia" w:ascii="宋体" w:hAnsi="宋体" w:eastAsia="宋体" w:cs="宋体"/>
          <w:szCs w:val="21"/>
          <w:highlight w:val="none"/>
        </w:rPr>
        <w:t>）获取招标文件，并于</w:t>
      </w:r>
      <w:r>
        <w:rPr>
          <w:rFonts w:hint="eastAsia" w:ascii="宋体" w:hAnsi="宋体" w:cs="宋体"/>
          <w:szCs w:val="21"/>
          <w:highlight w:val="none"/>
          <w:lang w:val="en-US" w:eastAsia="zh-CN"/>
        </w:rPr>
        <w:t>2023</w:t>
      </w:r>
      <w:r>
        <w:rPr>
          <w:rFonts w:hint="eastAsia" w:ascii="宋体" w:hAnsi="宋体" w:eastAsia="宋体" w:cs="宋体"/>
          <w:szCs w:val="21"/>
          <w:highlight w:val="none"/>
        </w:rPr>
        <w:t>年</w:t>
      </w:r>
      <w:r>
        <w:rPr>
          <w:rFonts w:hint="eastAsia" w:ascii="宋体" w:hAnsi="宋体" w:cs="宋体"/>
          <w:szCs w:val="21"/>
          <w:highlight w:val="none"/>
          <w:lang w:val="en-US" w:eastAsia="zh-CN"/>
        </w:rPr>
        <w:t>12</w:t>
      </w:r>
      <w:r>
        <w:rPr>
          <w:rFonts w:hint="eastAsia" w:ascii="宋体" w:hAnsi="宋体" w:eastAsia="宋体" w:cs="宋体"/>
          <w:szCs w:val="21"/>
          <w:highlight w:val="none"/>
        </w:rPr>
        <w:t>月</w:t>
      </w:r>
      <w:r>
        <w:rPr>
          <w:rFonts w:hint="eastAsia" w:ascii="宋体" w:hAnsi="宋体" w:cs="宋体"/>
          <w:szCs w:val="21"/>
          <w:highlight w:val="none"/>
          <w:lang w:val="en-US" w:eastAsia="zh-CN"/>
        </w:rPr>
        <w:t>25</w:t>
      </w:r>
      <w:r>
        <w:rPr>
          <w:rFonts w:hint="eastAsia" w:ascii="宋体" w:hAnsi="宋体" w:eastAsia="宋体" w:cs="宋体"/>
          <w:szCs w:val="21"/>
          <w:highlight w:val="none"/>
        </w:rPr>
        <w:t>日09时00分（北京时间）前递交投标文件。</w:t>
      </w:r>
    </w:p>
    <w:p>
      <w:pPr>
        <w:pStyle w:val="32"/>
        <w:spacing w:line="500" w:lineRule="exact"/>
        <w:ind w:left="0" w:leftChars="0" w:firstLine="0" w:firstLineChars="0"/>
        <w:rPr>
          <w:rFonts w:hint="eastAsia" w:ascii="宋体" w:hAnsi="宋体" w:eastAsia="宋体" w:cs="宋体"/>
          <w:b/>
          <w:bCs/>
          <w:szCs w:val="21"/>
          <w:highlight w:val="none"/>
        </w:rPr>
      </w:pPr>
      <w:r>
        <w:rPr>
          <w:rFonts w:hint="eastAsia" w:ascii="宋体" w:hAnsi="宋体" w:eastAsia="宋体" w:cs="宋体"/>
          <w:szCs w:val="21"/>
          <w:highlight w:val="none"/>
        </w:rPr>
        <w:t>一、</w:t>
      </w:r>
      <w:r>
        <w:rPr>
          <w:rFonts w:hint="eastAsia" w:ascii="宋体" w:hAnsi="宋体" w:eastAsia="宋体" w:cs="宋体"/>
          <w:b/>
          <w:bCs/>
          <w:szCs w:val="21"/>
          <w:highlight w:val="none"/>
        </w:rPr>
        <w:t>项目基本情况</w:t>
      </w:r>
    </w:p>
    <w:p>
      <w:pPr>
        <w:pStyle w:val="13"/>
        <w:spacing w:line="500" w:lineRule="exact"/>
        <w:ind w:firstLine="424" w:firstLineChars="20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w:t>
      </w:r>
      <w:r>
        <w:rPr>
          <w:rFonts w:hint="eastAsia" w:cs="宋体"/>
          <w:kern w:val="0"/>
          <w:sz w:val="21"/>
          <w:szCs w:val="21"/>
          <w:highlight w:val="none"/>
          <w:lang w:eastAsia="zh-CN"/>
        </w:rPr>
        <w:t>采购编号：豫财招标采购-2023-1294</w:t>
      </w:r>
    </w:p>
    <w:p>
      <w:pPr>
        <w:pStyle w:val="12"/>
        <w:spacing w:line="500" w:lineRule="exact"/>
        <w:ind w:firstLine="424"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2、项目名称：</w:t>
      </w:r>
      <w:r>
        <w:rPr>
          <w:rFonts w:hint="eastAsia" w:ascii="宋体" w:hAnsi="宋体" w:eastAsia="宋体" w:cs="宋体"/>
          <w:sz w:val="21"/>
          <w:szCs w:val="21"/>
          <w:highlight w:val="none"/>
          <w:lang w:eastAsia="zh-CN"/>
        </w:rPr>
        <w:t>河南省锅炉压力容器检验技术科学研究院2023年第三批检验检测设备采购项目</w:t>
      </w:r>
    </w:p>
    <w:p>
      <w:pPr>
        <w:pStyle w:val="13"/>
        <w:spacing w:line="500" w:lineRule="exact"/>
        <w:ind w:firstLine="424"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3、采购方式：公开招标</w:t>
      </w:r>
    </w:p>
    <w:p>
      <w:pPr>
        <w:pStyle w:val="13"/>
        <w:spacing w:line="500" w:lineRule="exact"/>
        <w:ind w:firstLine="424"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4、预算金额：</w:t>
      </w:r>
      <w:r>
        <w:rPr>
          <w:rFonts w:hint="eastAsia" w:ascii="宋体" w:hAnsi="宋体" w:eastAsia="宋体" w:cs="宋体"/>
          <w:kern w:val="0"/>
          <w:sz w:val="21"/>
          <w:szCs w:val="21"/>
          <w:highlight w:val="none"/>
          <w:lang w:eastAsia="zh-CN"/>
        </w:rPr>
        <w:t>2950000.00</w:t>
      </w:r>
      <w:r>
        <w:rPr>
          <w:rFonts w:hint="eastAsia" w:ascii="宋体" w:hAnsi="宋体" w:eastAsia="宋体" w:cs="宋体"/>
          <w:kern w:val="0"/>
          <w:sz w:val="21"/>
          <w:szCs w:val="21"/>
          <w:highlight w:val="none"/>
        </w:rPr>
        <w:t>元</w:t>
      </w:r>
    </w:p>
    <w:p>
      <w:pPr>
        <w:pStyle w:val="13"/>
        <w:spacing w:line="500" w:lineRule="exact"/>
        <w:ind w:firstLine="424" w:firstLineChars="200"/>
        <w:rPr>
          <w:rFonts w:hint="eastAsia" w:ascii="宋体" w:hAnsi="宋体" w:eastAsia="宋体" w:cs="宋体"/>
          <w:kern w:val="0"/>
          <w:sz w:val="21"/>
          <w:szCs w:val="21"/>
          <w:highlight w:val="none"/>
          <w:vertAlign w:val="baseline"/>
        </w:rPr>
      </w:pPr>
      <w:r>
        <w:rPr>
          <w:rFonts w:hint="eastAsia" w:ascii="宋体" w:hAnsi="宋体" w:eastAsia="宋体" w:cs="宋体"/>
          <w:kern w:val="0"/>
          <w:sz w:val="21"/>
          <w:szCs w:val="21"/>
          <w:highlight w:val="none"/>
          <w:lang w:val="en-US" w:eastAsia="zh-CN"/>
        </w:rPr>
        <w:t>最高限价</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eastAsia="zh-CN"/>
        </w:rPr>
        <w:t>2950000.00</w:t>
      </w:r>
      <w:r>
        <w:rPr>
          <w:rFonts w:hint="eastAsia" w:ascii="宋体" w:hAnsi="宋体" w:eastAsia="宋体" w:cs="宋体"/>
          <w:kern w:val="0"/>
          <w:sz w:val="21"/>
          <w:szCs w:val="21"/>
          <w:highlight w:val="none"/>
        </w:rPr>
        <w:t>元</w:t>
      </w:r>
    </w:p>
    <w:tbl>
      <w:tblPr>
        <w:tblStyle w:val="35"/>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598"/>
        <w:gridCol w:w="3230"/>
        <w:gridCol w:w="1736"/>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57" w:type="dxa"/>
            <w:vAlign w:val="top"/>
          </w:tcPr>
          <w:p>
            <w:pPr>
              <w:widowControl/>
              <w:spacing w:line="500" w:lineRule="exact"/>
              <w:jc w:val="center"/>
              <w:rPr>
                <w:rFonts w:hint="eastAsia" w:ascii="宋体" w:hAnsi="宋体" w:eastAsia="宋体" w:cs="宋体"/>
                <w:kern w:val="0"/>
                <w:sz w:val="21"/>
                <w:szCs w:val="21"/>
                <w:highlight w:val="none"/>
                <w:vertAlign w:val="baseline"/>
              </w:rPr>
            </w:pPr>
            <w:r>
              <w:rPr>
                <w:rFonts w:hint="eastAsia" w:ascii="宋体" w:hAnsi="宋体" w:eastAsia="宋体" w:cs="宋体"/>
                <w:kern w:val="0"/>
                <w:szCs w:val="21"/>
                <w:highlight w:val="none"/>
              </w:rPr>
              <w:t>序号</w:t>
            </w:r>
          </w:p>
        </w:tc>
        <w:tc>
          <w:tcPr>
            <w:tcW w:w="1587" w:type="dxa"/>
            <w:vAlign w:val="top"/>
          </w:tcPr>
          <w:p>
            <w:pPr>
              <w:widowControl/>
              <w:spacing w:line="500" w:lineRule="exact"/>
              <w:jc w:val="center"/>
              <w:rPr>
                <w:rFonts w:hint="eastAsia" w:ascii="宋体" w:hAnsi="宋体" w:eastAsia="宋体" w:cs="宋体"/>
                <w:kern w:val="0"/>
                <w:sz w:val="21"/>
                <w:szCs w:val="21"/>
                <w:highlight w:val="none"/>
                <w:vertAlign w:val="baseline"/>
              </w:rPr>
            </w:pPr>
            <w:r>
              <w:rPr>
                <w:rFonts w:hint="eastAsia" w:ascii="宋体" w:hAnsi="宋体" w:eastAsia="宋体" w:cs="宋体"/>
                <w:kern w:val="0"/>
                <w:szCs w:val="21"/>
                <w:highlight w:val="none"/>
              </w:rPr>
              <w:t>包号</w:t>
            </w:r>
          </w:p>
        </w:tc>
        <w:tc>
          <w:tcPr>
            <w:tcW w:w="3230" w:type="dxa"/>
            <w:vAlign w:val="top"/>
          </w:tcPr>
          <w:p>
            <w:pPr>
              <w:widowControl/>
              <w:spacing w:line="500" w:lineRule="exact"/>
              <w:jc w:val="center"/>
              <w:rPr>
                <w:rFonts w:hint="eastAsia" w:ascii="宋体" w:hAnsi="宋体" w:eastAsia="宋体" w:cs="宋体"/>
                <w:kern w:val="0"/>
                <w:sz w:val="21"/>
                <w:szCs w:val="21"/>
                <w:highlight w:val="none"/>
                <w:vertAlign w:val="baseline"/>
              </w:rPr>
            </w:pPr>
            <w:r>
              <w:rPr>
                <w:rFonts w:hint="eastAsia" w:ascii="宋体" w:hAnsi="宋体" w:eastAsia="宋体" w:cs="宋体"/>
                <w:kern w:val="0"/>
                <w:szCs w:val="21"/>
                <w:highlight w:val="none"/>
              </w:rPr>
              <w:t>包名称</w:t>
            </w:r>
          </w:p>
        </w:tc>
        <w:tc>
          <w:tcPr>
            <w:tcW w:w="1736" w:type="dxa"/>
            <w:vAlign w:val="top"/>
          </w:tcPr>
          <w:p>
            <w:pPr>
              <w:widowControl/>
              <w:spacing w:line="500" w:lineRule="exact"/>
              <w:jc w:val="center"/>
              <w:rPr>
                <w:rFonts w:hint="eastAsia" w:ascii="宋体" w:hAnsi="宋体" w:eastAsia="宋体" w:cs="宋体"/>
                <w:kern w:val="0"/>
                <w:sz w:val="21"/>
                <w:szCs w:val="21"/>
                <w:highlight w:val="none"/>
                <w:vertAlign w:val="baseline"/>
              </w:rPr>
            </w:pPr>
            <w:r>
              <w:rPr>
                <w:rFonts w:hint="eastAsia" w:ascii="宋体" w:hAnsi="宋体" w:eastAsia="宋体" w:cs="宋体"/>
                <w:kern w:val="0"/>
                <w:szCs w:val="21"/>
                <w:highlight w:val="none"/>
              </w:rPr>
              <w:t>包预算（元）</w:t>
            </w:r>
          </w:p>
        </w:tc>
        <w:tc>
          <w:tcPr>
            <w:tcW w:w="1928" w:type="dxa"/>
            <w:vAlign w:val="top"/>
          </w:tcPr>
          <w:p>
            <w:pPr>
              <w:widowControl/>
              <w:spacing w:line="500" w:lineRule="exact"/>
              <w:jc w:val="center"/>
              <w:rPr>
                <w:rFonts w:hint="eastAsia" w:ascii="宋体" w:hAnsi="宋体" w:eastAsia="宋体" w:cs="宋体"/>
                <w:kern w:val="0"/>
                <w:sz w:val="21"/>
                <w:szCs w:val="21"/>
                <w:highlight w:val="none"/>
                <w:vertAlign w:val="baseline"/>
              </w:rPr>
            </w:pPr>
            <w:r>
              <w:rPr>
                <w:rFonts w:hint="eastAsia" w:ascii="宋体" w:hAnsi="宋体" w:eastAsia="宋体" w:cs="宋体"/>
                <w:kern w:val="0"/>
                <w:szCs w:val="21"/>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757" w:type="dxa"/>
            <w:vAlign w:val="center"/>
          </w:tcPr>
          <w:p>
            <w:pPr>
              <w:widowControl/>
              <w:spacing w:line="500" w:lineRule="exact"/>
              <w:jc w:val="center"/>
              <w:rPr>
                <w:rFonts w:hint="eastAsia" w:ascii="宋体" w:hAnsi="宋体" w:eastAsia="宋体" w:cs="宋体"/>
                <w:kern w:val="0"/>
                <w:sz w:val="21"/>
                <w:szCs w:val="21"/>
                <w:highlight w:val="none"/>
                <w:vertAlign w:val="baseline"/>
              </w:rPr>
            </w:pPr>
            <w:r>
              <w:rPr>
                <w:rFonts w:hint="eastAsia" w:ascii="宋体" w:hAnsi="宋体" w:eastAsia="宋体" w:cs="宋体"/>
                <w:kern w:val="0"/>
                <w:szCs w:val="21"/>
                <w:highlight w:val="none"/>
                <w:lang w:val="en-US" w:eastAsia="zh-CN"/>
              </w:rPr>
              <w:t>1</w:t>
            </w:r>
          </w:p>
        </w:tc>
        <w:tc>
          <w:tcPr>
            <w:tcW w:w="1587" w:type="dxa"/>
            <w:vAlign w:val="center"/>
          </w:tcPr>
          <w:p>
            <w:pPr>
              <w:widowControl/>
              <w:spacing w:line="500" w:lineRule="exact"/>
              <w:jc w:val="center"/>
              <w:rPr>
                <w:rFonts w:hint="eastAsia" w:ascii="宋体" w:hAnsi="宋体" w:eastAsia="宋体" w:cs="宋体"/>
                <w:kern w:val="0"/>
                <w:sz w:val="21"/>
                <w:szCs w:val="21"/>
                <w:highlight w:val="none"/>
                <w:vertAlign w:val="baseline"/>
              </w:rPr>
            </w:pPr>
            <w:r>
              <w:rPr>
                <w:rFonts w:hint="eastAsia" w:ascii="宋体" w:hAnsi="宋体" w:eastAsia="宋体" w:cs="宋体"/>
                <w:kern w:val="0"/>
                <w:sz w:val="21"/>
                <w:szCs w:val="21"/>
                <w:highlight w:val="none"/>
                <w:vertAlign w:val="baseline"/>
              </w:rPr>
              <w:t>豫政采(2)20232085-1</w:t>
            </w:r>
          </w:p>
        </w:tc>
        <w:tc>
          <w:tcPr>
            <w:tcW w:w="3230" w:type="dxa"/>
            <w:vAlign w:val="center"/>
          </w:tcPr>
          <w:p>
            <w:pPr>
              <w:spacing w:line="360" w:lineRule="auto"/>
              <w:jc w:val="center"/>
              <w:rPr>
                <w:rFonts w:hint="eastAsia" w:ascii="宋体" w:hAnsi="宋体" w:eastAsia="宋体" w:cs="宋体"/>
                <w:kern w:val="0"/>
                <w:sz w:val="21"/>
                <w:szCs w:val="21"/>
                <w:highlight w:val="none"/>
                <w:vertAlign w:val="baseline"/>
              </w:rPr>
            </w:pPr>
            <w:r>
              <w:rPr>
                <w:rFonts w:hint="eastAsia" w:ascii="宋体" w:hAnsi="宋体" w:eastAsia="宋体" w:cs="宋体"/>
                <w:color w:val="auto"/>
                <w:szCs w:val="21"/>
                <w:highlight w:val="none"/>
                <w:lang w:eastAsia="zh-CN"/>
              </w:rPr>
              <w:t>河南省锅炉压力容器检验技术科学研究院2023年第三批检验检测设备采购项目包1</w:t>
            </w:r>
          </w:p>
        </w:tc>
        <w:tc>
          <w:tcPr>
            <w:tcW w:w="1736" w:type="dxa"/>
            <w:vAlign w:val="center"/>
          </w:tcPr>
          <w:p>
            <w:pPr>
              <w:spacing w:line="360" w:lineRule="auto"/>
              <w:jc w:val="center"/>
              <w:rPr>
                <w:rFonts w:hint="eastAsia" w:ascii="宋体" w:hAnsi="宋体" w:eastAsia="宋体" w:cs="宋体"/>
                <w:kern w:val="0"/>
                <w:sz w:val="21"/>
                <w:szCs w:val="21"/>
                <w:highlight w:val="none"/>
                <w:vertAlign w:val="baseline"/>
                <w:lang w:eastAsia="zh-CN"/>
              </w:rPr>
            </w:pPr>
            <w:r>
              <w:rPr>
                <w:rFonts w:hint="eastAsia" w:ascii="宋体" w:hAnsi="宋体" w:eastAsia="宋体" w:cs="宋体"/>
                <w:color w:val="auto"/>
                <w:szCs w:val="21"/>
                <w:highlight w:val="none"/>
                <w:lang w:val="en-US" w:eastAsia="zh-CN"/>
              </w:rPr>
              <w:t>42</w:t>
            </w:r>
            <w:r>
              <w:rPr>
                <w:rFonts w:hint="eastAsia" w:ascii="宋体" w:hAnsi="宋体" w:eastAsia="宋体" w:cs="宋体"/>
                <w:color w:val="auto"/>
                <w:szCs w:val="21"/>
                <w:highlight w:val="none"/>
                <w:lang w:eastAsia="zh-CN"/>
              </w:rPr>
              <w:t>0000.00</w:t>
            </w:r>
          </w:p>
        </w:tc>
        <w:tc>
          <w:tcPr>
            <w:tcW w:w="1928" w:type="dxa"/>
            <w:vAlign w:val="center"/>
          </w:tcPr>
          <w:p>
            <w:pPr>
              <w:spacing w:line="360" w:lineRule="auto"/>
              <w:jc w:val="center"/>
              <w:rPr>
                <w:rFonts w:hint="eastAsia" w:ascii="宋体" w:hAnsi="宋体" w:eastAsia="宋体" w:cs="宋体"/>
                <w:kern w:val="0"/>
                <w:sz w:val="21"/>
                <w:szCs w:val="21"/>
                <w:highlight w:val="none"/>
                <w:vertAlign w:val="baseline"/>
                <w:lang w:eastAsia="zh-CN"/>
              </w:rPr>
            </w:pPr>
            <w:r>
              <w:rPr>
                <w:rFonts w:hint="eastAsia" w:ascii="宋体" w:hAnsi="宋体" w:eastAsia="宋体" w:cs="宋体"/>
                <w:color w:val="auto"/>
                <w:szCs w:val="21"/>
                <w:highlight w:val="none"/>
                <w:lang w:val="en-US" w:eastAsia="zh-CN"/>
              </w:rPr>
              <w:t>42</w:t>
            </w:r>
            <w:r>
              <w:rPr>
                <w:rFonts w:hint="eastAsia" w:ascii="宋体" w:hAnsi="宋体" w:eastAsia="宋体" w:cs="宋体"/>
                <w:color w:val="auto"/>
                <w:szCs w:val="21"/>
                <w:highlight w:val="none"/>
                <w:lang w:eastAsia="zh-CN"/>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757" w:type="dxa"/>
            <w:vAlign w:val="center"/>
          </w:tcPr>
          <w:p>
            <w:pPr>
              <w:widowControl/>
              <w:spacing w:line="5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587" w:type="dxa"/>
            <w:vAlign w:val="center"/>
          </w:tcPr>
          <w:p>
            <w:pPr>
              <w:widowControl/>
              <w:spacing w:line="500" w:lineRule="exact"/>
              <w:jc w:val="center"/>
              <w:rPr>
                <w:rFonts w:hint="eastAsia" w:ascii="宋体" w:hAnsi="宋体" w:eastAsia="宋体" w:cs="宋体"/>
                <w:kern w:val="0"/>
                <w:sz w:val="21"/>
                <w:szCs w:val="21"/>
                <w:highlight w:val="none"/>
                <w:vertAlign w:val="baseline"/>
              </w:rPr>
            </w:pPr>
            <w:r>
              <w:rPr>
                <w:rFonts w:hint="eastAsia" w:ascii="宋体" w:hAnsi="宋体" w:eastAsia="宋体" w:cs="宋体"/>
                <w:kern w:val="0"/>
                <w:sz w:val="21"/>
                <w:szCs w:val="21"/>
                <w:highlight w:val="none"/>
                <w:vertAlign w:val="baseline"/>
              </w:rPr>
              <w:t>豫政采(2)20232085-2</w:t>
            </w:r>
          </w:p>
        </w:tc>
        <w:tc>
          <w:tcPr>
            <w:tcW w:w="3230" w:type="dxa"/>
            <w:vAlign w:val="center"/>
          </w:tcPr>
          <w:p>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color w:val="auto"/>
                <w:szCs w:val="21"/>
                <w:highlight w:val="none"/>
                <w:lang w:eastAsia="zh-CN"/>
              </w:rPr>
              <w:t>河南省锅炉压力容器检验技术科学研究院2023年第三批检验检测设备采购项目包</w:t>
            </w:r>
            <w:r>
              <w:rPr>
                <w:rFonts w:hint="eastAsia" w:ascii="宋体" w:hAnsi="宋体" w:eastAsia="宋体" w:cs="宋体"/>
                <w:color w:val="auto"/>
                <w:szCs w:val="21"/>
                <w:highlight w:val="none"/>
                <w:lang w:val="en-US" w:eastAsia="zh-CN"/>
              </w:rPr>
              <w:t>2</w:t>
            </w:r>
          </w:p>
        </w:tc>
        <w:tc>
          <w:tcPr>
            <w:tcW w:w="1736" w:type="dxa"/>
            <w:vAlign w:val="center"/>
          </w:tcPr>
          <w:p>
            <w:pPr>
              <w:spacing w:line="360" w:lineRule="auto"/>
              <w:jc w:val="center"/>
              <w:rPr>
                <w:rFonts w:hint="eastAsia" w:ascii="宋体" w:hAnsi="宋体" w:eastAsia="宋体" w:cs="宋体"/>
                <w:kern w:val="0"/>
                <w:szCs w:val="21"/>
                <w:highlight w:val="none"/>
                <w:lang w:eastAsia="zh-CN"/>
              </w:rPr>
            </w:pPr>
            <w:r>
              <w:rPr>
                <w:rFonts w:hint="eastAsia" w:ascii="宋体" w:hAnsi="宋体" w:eastAsia="宋体" w:cs="宋体"/>
                <w:color w:val="auto"/>
                <w:szCs w:val="21"/>
                <w:highlight w:val="none"/>
                <w:lang w:val="en-US" w:eastAsia="zh-CN"/>
              </w:rPr>
              <w:t>870000.00</w:t>
            </w:r>
          </w:p>
        </w:tc>
        <w:tc>
          <w:tcPr>
            <w:tcW w:w="1928" w:type="dxa"/>
            <w:vAlign w:val="center"/>
          </w:tcPr>
          <w:p>
            <w:pPr>
              <w:spacing w:line="360" w:lineRule="auto"/>
              <w:jc w:val="center"/>
              <w:rPr>
                <w:rFonts w:hint="eastAsia" w:ascii="宋体" w:hAnsi="宋体" w:eastAsia="宋体" w:cs="宋体"/>
                <w:kern w:val="0"/>
                <w:szCs w:val="21"/>
                <w:highlight w:val="none"/>
                <w:lang w:eastAsia="zh-CN"/>
              </w:rPr>
            </w:pPr>
            <w:r>
              <w:rPr>
                <w:rFonts w:hint="eastAsia" w:ascii="宋体" w:hAnsi="宋体" w:eastAsia="宋体" w:cs="宋体"/>
                <w:color w:val="auto"/>
                <w:szCs w:val="21"/>
                <w:highlight w:val="none"/>
                <w:lang w:val="en-US" w:eastAsia="zh-CN"/>
              </w:rPr>
              <w:t>870000.00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757" w:type="dxa"/>
            <w:vAlign w:val="center"/>
          </w:tcPr>
          <w:p>
            <w:pPr>
              <w:widowControl/>
              <w:spacing w:line="5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w:t>
            </w:r>
          </w:p>
        </w:tc>
        <w:tc>
          <w:tcPr>
            <w:tcW w:w="1587" w:type="dxa"/>
            <w:vAlign w:val="center"/>
          </w:tcPr>
          <w:p>
            <w:pPr>
              <w:widowControl/>
              <w:spacing w:line="500" w:lineRule="exact"/>
              <w:jc w:val="center"/>
              <w:rPr>
                <w:rFonts w:hint="eastAsia" w:ascii="宋体" w:hAnsi="宋体" w:eastAsia="宋体" w:cs="宋体"/>
                <w:kern w:val="0"/>
                <w:sz w:val="21"/>
                <w:szCs w:val="21"/>
                <w:highlight w:val="none"/>
                <w:vertAlign w:val="baseline"/>
              </w:rPr>
            </w:pPr>
            <w:r>
              <w:rPr>
                <w:rFonts w:hint="eastAsia" w:ascii="宋体" w:hAnsi="宋体" w:eastAsia="宋体" w:cs="宋体"/>
                <w:kern w:val="0"/>
                <w:sz w:val="21"/>
                <w:szCs w:val="21"/>
                <w:highlight w:val="none"/>
                <w:vertAlign w:val="baseline"/>
              </w:rPr>
              <w:t>豫政采(2)20232085-3</w:t>
            </w:r>
          </w:p>
        </w:tc>
        <w:tc>
          <w:tcPr>
            <w:tcW w:w="3230" w:type="dxa"/>
            <w:vAlign w:val="center"/>
          </w:tcPr>
          <w:p>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color w:val="auto"/>
                <w:szCs w:val="21"/>
                <w:highlight w:val="none"/>
                <w:lang w:eastAsia="zh-CN"/>
              </w:rPr>
              <w:t>河南省锅炉压力容器检验技术科学研究院2023年第三批检验检测设备采购项目包</w:t>
            </w:r>
            <w:r>
              <w:rPr>
                <w:rFonts w:hint="eastAsia" w:ascii="宋体" w:hAnsi="宋体" w:eastAsia="宋体" w:cs="宋体"/>
                <w:color w:val="auto"/>
                <w:szCs w:val="21"/>
                <w:highlight w:val="none"/>
                <w:lang w:val="en-US" w:eastAsia="zh-CN"/>
              </w:rPr>
              <w:t>3</w:t>
            </w:r>
          </w:p>
        </w:tc>
        <w:tc>
          <w:tcPr>
            <w:tcW w:w="1736" w:type="dxa"/>
            <w:vAlign w:val="center"/>
          </w:tcPr>
          <w:p>
            <w:pPr>
              <w:spacing w:line="360" w:lineRule="auto"/>
              <w:jc w:val="center"/>
              <w:rPr>
                <w:rFonts w:hint="eastAsia" w:ascii="宋体" w:hAnsi="宋体" w:eastAsia="宋体" w:cs="宋体"/>
                <w:kern w:val="0"/>
                <w:szCs w:val="21"/>
                <w:highlight w:val="none"/>
                <w:lang w:eastAsia="zh-CN"/>
              </w:rPr>
            </w:pPr>
            <w:r>
              <w:rPr>
                <w:rFonts w:hint="eastAsia" w:ascii="宋体" w:hAnsi="宋体" w:eastAsia="宋体" w:cs="宋体"/>
                <w:color w:val="auto"/>
                <w:szCs w:val="21"/>
                <w:highlight w:val="none"/>
                <w:lang w:val="en-US" w:eastAsia="zh-CN"/>
              </w:rPr>
              <w:t>770000.00</w:t>
            </w:r>
          </w:p>
        </w:tc>
        <w:tc>
          <w:tcPr>
            <w:tcW w:w="1928" w:type="dxa"/>
            <w:vAlign w:val="center"/>
          </w:tcPr>
          <w:p>
            <w:pPr>
              <w:spacing w:line="360" w:lineRule="auto"/>
              <w:jc w:val="center"/>
              <w:rPr>
                <w:rFonts w:hint="eastAsia" w:ascii="宋体" w:hAnsi="宋体" w:eastAsia="宋体" w:cs="宋体"/>
                <w:kern w:val="0"/>
                <w:szCs w:val="21"/>
                <w:highlight w:val="none"/>
                <w:lang w:eastAsia="zh-CN"/>
              </w:rPr>
            </w:pPr>
            <w:r>
              <w:rPr>
                <w:rFonts w:hint="eastAsia" w:ascii="宋体" w:hAnsi="宋体" w:eastAsia="宋体" w:cs="宋体"/>
                <w:color w:val="auto"/>
                <w:szCs w:val="21"/>
                <w:highlight w:val="none"/>
                <w:lang w:val="en-US" w:eastAsia="zh-CN"/>
              </w:rPr>
              <w:t>770000.00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757" w:type="dxa"/>
            <w:vAlign w:val="center"/>
          </w:tcPr>
          <w:p>
            <w:pPr>
              <w:widowControl/>
              <w:spacing w:line="5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w:t>
            </w:r>
          </w:p>
        </w:tc>
        <w:tc>
          <w:tcPr>
            <w:tcW w:w="1587" w:type="dxa"/>
            <w:vAlign w:val="center"/>
          </w:tcPr>
          <w:p>
            <w:pPr>
              <w:widowControl/>
              <w:spacing w:line="500" w:lineRule="exact"/>
              <w:jc w:val="center"/>
              <w:rPr>
                <w:rFonts w:hint="eastAsia" w:ascii="宋体" w:hAnsi="宋体" w:eastAsia="宋体" w:cs="宋体"/>
                <w:kern w:val="0"/>
                <w:sz w:val="21"/>
                <w:szCs w:val="21"/>
                <w:highlight w:val="none"/>
                <w:vertAlign w:val="baseline"/>
              </w:rPr>
            </w:pPr>
            <w:r>
              <w:rPr>
                <w:rFonts w:hint="eastAsia" w:ascii="宋体" w:hAnsi="宋体" w:eastAsia="宋体" w:cs="宋体"/>
                <w:kern w:val="0"/>
                <w:sz w:val="21"/>
                <w:szCs w:val="21"/>
                <w:highlight w:val="none"/>
                <w:vertAlign w:val="baseline"/>
              </w:rPr>
              <w:t>豫政采(2)20232085-4</w:t>
            </w:r>
          </w:p>
        </w:tc>
        <w:tc>
          <w:tcPr>
            <w:tcW w:w="3230" w:type="dxa"/>
            <w:vAlign w:val="center"/>
          </w:tcPr>
          <w:p>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color w:val="auto"/>
                <w:szCs w:val="21"/>
                <w:highlight w:val="none"/>
                <w:lang w:eastAsia="zh-CN"/>
              </w:rPr>
              <w:t>河南省锅炉压力容器检验技术科学研究院2023年第三批检验检测设备采购项目包</w:t>
            </w:r>
            <w:r>
              <w:rPr>
                <w:rFonts w:hint="eastAsia" w:ascii="宋体" w:hAnsi="宋体" w:eastAsia="宋体" w:cs="宋体"/>
                <w:color w:val="auto"/>
                <w:szCs w:val="21"/>
                <w:highlight w:val="none"/>
                <w:lang w:val="en-US" w:eastAsia="zh-CN"/>
              </w:rPr>
              <w:t>4</w:t>
            </w:r>
          </w:p>
        </w:tc>
        <w:tc>
          <w:tcPr>
            <w:tcW w:w="1736" w:type="dxa"/>
            <w:vAlign w:val="center"/>
          </w:tcPr>
          <w:p>
            <w:pPr>
              <w:spacing w:line="360" w:lineRule="auto"/>
              <w:jc w:val="center"/>
              <w:rPr>
                <w:rFonts w:hint="eastAsia" w:ascii="宋体" w:hAnsi="宋体" w:eastAsia="宋体" w:cs="宋体"/>
                <w:kern w:val="0"/>
                <w:szCs w:val="21"/>
                <w:highlight w:val="none"/>
                <w:lang w:eastAsia="zh-CN"/>
              </w:rPr>
            </w:pPr>
            <w:r>
              <w:rPr>
                <w:rFonts w:hint="eastAsia" w:ascii="宋体" w:hAnsi="宋体" w:eastAsia="宋体" w:cs="宋体"/>
                <w:color w:val="auto"/>
                <w:szCs w:val="21"/>
                <w:highlight w:val="none"/>
                <w:lang w:val="en-US" w:eastAsia="zh-CN"/>
              </w:rPr>
              <w:t>480000.00</w:t>
            </w:r>
          </w:p>
        </w:tc>
        <w:tc>
          <w:tcPr>
            <w:tcW w:w="1928" w:type="dxa"/>
            <w:vAlign w:val="center"/>
          </w:tcPr>
          <w:p>
            <w:pPr>
              <w:spacing w:line="360" w:lineRule="auto"/>
              <w:jc w:val="center"/>
              <w:rPr>
                <w:rFonts w:hint="eastAsia" w:ascii="宋体" w:hAnsi="宋体" w:eastAsia="宋体" w:cs="宋体"/>
                <w:kern w:val="0"/>
                <w:szCs w:val="21"/>
                <w:highlight w:val="none"/>
                <w:lang w:eastAsia="zh-CN"/>
              </w:rPr>
            </w:pPr>
            <w:r>
              <w:rPr>
                <w:rFonts w:hint="eastAsia" w:ascii="宋体" w:hAnsi="宋体" w:eastAsia="宋体" w:cs="宋体"/>
                <w:color w:val="auto"/>
                <w:szCs w:val="21"/>
                <w:highlight w:val="none"/>
                <w:lang w:val="en-US" w:eastAsia="zh-CN"/>
              </w:rPr>
              <w:t>480000.00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757" w:type="dxa"/>
            <w:vAlign w:val="center"/>
          </w:tcPr>
          <w:p>
            <w:pPr>
              <w:widowControl/>
              <w:spacing w:line="50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w:t>
            </w:r>
          </w:p>
        </w:tc>
        <w:tc>
          <w:tcPr>
            <w:tcW w:w="1587" w:type="dxa"/>
            <w:vAlign w:val="center"/>
          </w:tcPr>
          <w:p>
            <w:pPr>
              <w:widowControl/>
              <w:spacing w:line="500" w:lineRule="exact"/>
              <w:jc w:val="center"/>
              <w:rPr>
                <w:rFonts w:hint="eastAsia" w:ascii="宋体" w:hAnsi="宋体" w:eastAsia="宋体" w:cs="宋体"/>
                <w:kern w:val="0"/>
                <w:sz w:val="21"/>
                <w:szCs w:val="21"/>
                <w:highlight w:val="none"/>
                <w:vertAlign w:val="baseline"/>
              </w:rPr>
            </w:pPr>
            <w:r>
              <w:rPr>
                <w:rFonts w:hint="eastAsia" w:ascii="宋体" w:hAnsi="宋体" w:eastAsia="宋体" w:cs="宋体"/>
                <w:kern w:val="0"/>
                <w:sz w:val="21"/>
                <w:szCs w:val="21"/>
                <w:highlight w:val="none"/>
                <w:vertAlign w:val="baseline"/>
              </w:rPr>
              <w:t>豫政采(2)20232085-5</w:t>
            </w:r>
          </w:p>
        </w:tc>
        <w:tc>
          <w:tcPr>
            <w:tcW w:w="3230" w:type="dxa"/>
            <w:vAlign w:val="center"/>
          </w:tcPr>
          <w:p>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color w:val="auto"/>
                <w:szCs w:val="21"/>
                <w:highlight w:val="none"/>
                <w:lang w:eastAsia="zh-CN"/>
              </w:rPr>
              <w:t>河南省锅炉压力容器检验技术科学研究院2023年第三批检验检测设备采购项目包</w:t>
            </w:r>
            <w:r>
              <w:rPr>
                <w:rFonts w:hint="eastAsia" w:ascii="宋体" w:hAnsi="宋体" w:eastAsia="宋体" w:cs="宋体"/>
                <w:color w:val="auto"/>
                <w:szCs w:val="21"/>
                <w:highlight w:val="none"/>
                <w:lang w:val="en-US" w:eastAsia="zh-CN"/>
              </w:rPr>
              <w:t>5</w:t>
            </w:r>
          </w:p>
        </w:tc>
        <w:tc>
          <w:tcPr>
            <w:tcW w:w="1736" w:type="dxa"/>
            <w:vAlign w:val="center"/>
          </w:tcPr>
          <w:p>
            <w:pPr>
              <w:spacing w:line="360" w:lineRule="auto"/>
              <w:jc w:val="center"/>
              <w:rPr>
                <w:rFonts w:hint="eastAsia" w:ascii="宋体" w:hAnsi="宋体" w:eastAsia="宋体" w:cs="宋体"/>
                <w:kern w:val="0"/>
                <w:szCs w:val="21"/>
                <w:highlight w:val="none"/>
                <w:lang w:eastAsia="zh-CN"/>
              </w:rPr>
            </w:pPr>
            <w:r>
              <w:rPr>
                <w:rFonts w:hint="eastAsia" w:ascii="宋体" w:hAnsi="宋体" w:eastAsia="宋体" w:cs="宋体"/>
                <w:color w:val="auto"/>
                <w:szCs w:val="21"/>
                <w:highlight w:val="none"/>
                <w:lang w:val="en-US" w:eastAsia="zh-CN"/>
              </w:rPr>
              <w:t>410000.00</w:t>
            </w:r>
          </w:p>
        </w:tc>
        <w:tc>
          <w:tcPr>
            <w:tcW w:w="1928" w:type="dxa"/>
            <w:vAlign w:val="center"/>
          </w:tcPr>
          <w:p>
            <w:pPr>
              <w:spacing w:line="360" w:lineRule="auto"/>
              <w:jc w:val="center"/>
              <w:rPr>
                <w:rFonts w:hint="eastAsia" w:ascii="宋体" w:hAnsi="宋体" w:eastAsia="宋体" w:cs="宋体"/>
                <w:kern w:val="0"/>
                <w:szCs w:val="21"/>
                <w:highlight w:val="none"/>
                <w:lang w:eastAsia="zh-CN"/>
              </w:rPr>
            </w:pPr>
            <w:r>
              <w:rPr>
                <w:rFonts w:hint="eastAsia" w:ascii="宋体" w:hAnsi="宋体" w:eastAsia="宋体" w:cs="宋体"/>
                <w:color w:val="auto"/>
                <w:szCs w:val="21"/>
                <w:highlight w:val="none"/>
                <w:lang w:val="en-US" w:eastAsia="zh-CN"/>
              </w:rPr>
              <w:t>410000.00</w:t>
            </w:r>
          </w:p>
        </w:tc>
      </w:tr>
    </w:tbl>
    <w:p>
      <w:pPr>
        <w:pStyle w:val="13"/>
        <w:spacing w:line="500" w:lineRule="exact"/>
        <w:ind w:firstLine="424"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5、采购需求（包括但不限于标的的名称、数量、简要技术需求或服务要求等）</w:t>
      </w:r>
    </w:p>
    <w:p>
      <w:pPr>
        <w:pStyle w:val="13"/>
        <w:spacing w:line="500" w:lineRule="exact"/>
        <w:ind w:firstLine="424"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5.1 采购</w:t>
      </w:r>
      <w:r>
        <w:rPr>
          <w:rFonts w:hint="eastAsia" w:ascii="宋体" w:hAnsi="宋体" w:eastAsia="宋体" w:cs="宋体"/>
          <w:color w:val="000000"/>
          <w:kern w:val="0"/>
          <w:sz w:val="21"/>
          <w:szCs w:val="21"/>
          <w:highlight w:val="none"/>
          <w:lang w:val="en-US" w:eastAsia="zh-CN"/>
        </w:rPr>
        <w:t>内容</w:t>
      </w:r>
      <w:r>
        <w:rPr>
          <w:rFonts w:hint="eastAsia" w:ascii="宋体" w:hAnsi="宋体" w:eastAsia="宋体" w:cs="宋体"/>
          <w:color w:val="000000"/>
          <w:kern w:val="0"/>
          <w:sz w:val="21"/>
          <w:szCs w:val="21"/>
          <w:highlight w:val="none"/>
        </w:rPr>
        <w:t>：</w:t>
      </w:r>
    </w:p>
    <w:p>
      <w:pPr>
        <w:spacing w:line="360" w:lineRule="auto"/>
        <w:ind w:firstLine="636" w:firstLineChars="3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包</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立式燃油（气）锅炉考培模拟机</w:t>
      </w:r>
      <w:r>
        <w:rPr>
          <w:rFonts w:hint="eastAsia" w:ascii="宋体" w:hAnsi="宋体" w:eastAsia="宋体" w:cs="宋体"/>
          <w:color w:val="auto"/>
          <w:szCs w:val="21"/>
          <w:highlight w:val="none"/>
          <w:lang w:val="en-US" w:eastAsia="zh-CN"/>
        </w:rPr>
        <w:t>1台、</w:t>
      </w:r>
      <w:r>
        <w:rPr>
          <w:rFonts w:hint="eastAsia" w:ascii="宋体" w:hAnsi="宋体" w:eastAsia="宋体" w:cs="宋体"/>
          <w:color w:val="auto"/>
          <w:szCs w:val="21"/>
          <w:highlight w:val="none"/>
        </w:rPr>
        <w:t>卧式燃油（气）锅炉考培模拟机</w:t>
      </w:r>
      <w:r>
        <w:rPr>
          <w:rFonts w:hint="eastAsia" w:ascii="宋体" w:hAnsi="宋体" w:eastAsia="宋体" w:cs="宋体"/>
          <w:color w:val="auto"/>
          <w:szCs w:val="21"/>
          <w:highlight w:val="none"/>
          <w:lang w:val="en-US" w:eastAsia="zh-CN"/>
        </w:rPr>
        <w:t>3台、</w:t>
      </w:r>
      <w:r>
        <w:rPr>
          <w:rFonts w:hint="eastAsia" w:ascii="宋体" w:hAnsi="宋体" w:eastAsia="宋体" w:cs="宋体"/>
          <w:color w:val="auto"/>
          <w:szCs w:val="21"/>
          <w:highlight w:val="none"/>
        </w:rPr>
        <w:t>燃油（气）有机热载体锅炉考培模拟机</w:t>
      </w:r>
      <w:r>
        <w:rPr>
          <w:rFonts w:hint="eastAsia" w:ascii="宋体" w:hAnsi="宋体" w:eastAsia="宋体" w:cs="宋体"/>
          <w:color w:val="auto"/>
          <w:szCs w:val="21"/>
          <w:highlight w:val="none"/>
          <w:lang w:val="en-US" w:eastAsia="zh-CN"/>
        </w:rPr>
        <w:t>2台；</w:t>
      </w:r>
    </w:p>
    <w:p>
      <w:pPr>
        <w:spacing w:line="360" w:lineRule="auto"/>
        <w:ind w:firstLine="636" w:firstLineChars="3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包2：</w:t>
      </w:r>
      <w:r>
        <w:rPr>
          <w:rFonts w:hint="eastAsia" w:ascii="宋体" w:hAnsi="宋体" w:eastAsia="宋体" w:cs="宋体"/>
          <w:color w:val="auto"/>
          <w:szCs w:val="21"/>
          <w:highlight w:val="none"/>
        </w:rPr>
        <w:t>快开门式压力容器(灭菌器)考培模拟机</w:t>
      </w:r>
      <w:r>
        <w:rPr>
          <w:rFonts w:hint="eastAsia" w:ascii="宋体" w:hAnsi="宋体" w:eastAsia="宋体" w:cs="宋体"/>
          <w:color w:val="auto"/>
          <w:szCs w:val="21"/>
          <w:highlight w:val="none"/>
          <w:lang w:val="en-US" w:eastAsia="zh-CN"/>
        </w:rPr>
        <w:t>6台、</w:t>
      </w:r>
      <w:r>
        <w:rPr>
          <w:rFonts w:hint="eastAsia" w:ascii="宋体" w:hAnsi="宋体" w:eastAsia="宋体" w:cs="宋体"/>
          <w:color w:val="auto"/>
          <w:szCs w:val="21"/>
          <w:highlight w:val="none"/>
        </w:rPr>
        <w:t>快开门式压力容器(蒸压釜)考培模拟机</w:t>
      </w:r>
      <w:r>
        <w:rPr>
          <w:rFonts w:hint="eastAsia" w:ascii="宋体" w:hAnsi="宋体" w:eastAsia="宋体" w:cs="宋体"/>
          <w:color w:val="auto"/>
          <w:szCs w:val="21"/>
          <w:highlight w:val="none"/>
          <w:lang w:val="en-US" w:eastAsia="zh-CN"/>
        </w:rPr>
        <w:t>8台；</w:t>
      </w:r>
    </w:p>
    <w:p>
      <w:pPr>
        <w:spacing w:line="360" w:lineRule="auto"/>
        <w:ind w:firstLine="636" w:firstLineChars="3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包3：</w:t>
      </w:r>
      <w:r>
        <w:rPr>
          <w:rFonts w:hint="eastAsia" w:ascii="宋体" w:hAnsi="宋体" w:eastAsia="宋体" w:cs="宋体"/>
          <w:color w:val="auto"/>
          <w:szCs w:val="21"/>
          <w:highlight w:val="none"/>
        </w:rPr>
        <w:t>移动式压力容器（LNG槽车)考培模拟机6</w:t>
      </w:r>
      <w:r>
        <w:rPr>
          <w:rFonts w:hint="eastAsia" w:ascii="宋体" w:hAnsi="宋体" w:eastAsia="宋体" w:cs="宋体"/>
          <w:color w:val="auto"/>
          <w:szCs w:val="21"/>
          <w:highlight w:val="none"/>
          <w:lang w:val="en-US" w:eastAsia="zh-CN"/>
        </w:rPr>
        <w:t>台、</w:t>
      </w:r>
      <w:r>
        <w:rPr>
          <w:rFonts w:hint="eastAsia" w:ascii="宋体" w:hAnsi="宋体" w:eastAsia="宋体" w:cs="宋体"/>
          <w:color w:val="auto"/>
          <w:szCs w:val="21"/>
          <w:highlight w:val="none"/>
        </w:rPr>
        <w:t>移动式压力容器（LPG槽车)考培模拟机</w:t>
      </w:r>
      <w:r>
        <w:rPr>
          <w:rFonts w:hint="eastAsia" w:ascii="宋体" w:hAnsi="宋体" w:eastAsia="宋体" w:cs="宋体"/>
          <w:color w:val="auto"/>
          <w:szCs w:val="21"/>
          <w:highlight w:val="none"/>
          <w:lang w:val="en-US" w:eastAsia="zh-CN"/>
        </w:rPr>
        <w:t>5台；</w:t>
      </w:r>
    </w:p>
    <w:p>
      <w:pPr>
        <w:spacing w:line="360" w:lineRule="auto"/>
        <w:ind w:firstLine="636" w:firstLineChars="3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包4：</w:t>
      </w:r>
      <w:r>
        <w:rPr>
          <w:rFonts w:hint="eastAsia" w:ascii="宋体" w:hAnsi="宋体" w:eastAsia="宋体" w:cs="宋体"/>
          <w:color w:val="auto"/>
          <w:szCs w:val="21"/>
          <w:highlight w:val="none"/>
        </w:rPr>
        <w:t>液化石油气气瓶充装考培模拟机</w:t>
      </w:r>
      <w:r>
        <w:rPr>
          <w:rFonts w:hint="eastAsia" w:ascii="宋体" w:hAnsi="宋体" w:eastAsia="宋体" w:cs="宋体"/>
          <w:color w:val="auto"/>
          <w:szCs w:val="21"/>
          <w:highlight w:val="none"/>
          <w:lang w:val="en-US" w:eastAsia="zh-CN"/>
        </w:rPr>
        <w:t>6台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永久气体气瓶充装考培模拟机</w:t>
      </w:r>
      <w:r>
        <w:rPr>
          <w:rFonts w:hint="eastAsia" w:ascii="宋体" w:hAnsi="宋体" w:eastAsia="宋体" w:cs="宋体"/>
          <w:color w:val="auto"/>
          <w:szCs w:val="21"/>
          <w:highlight w:val="none"/>
          <w:lang w:val="en-US" w:eastAsia="zh-CN"/>
        </w:rPr>
        <w:t>2台；</w:t>
      </w:r>
    </w:p>
    <w:p>
      <w:pPr>
        <w:spacing w:line="360" w:lineRule="auto"/>
        <w:ind w:firstLine="636" w:firstLineChars="3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包5：</w:t>
      </w:r>
      <w:r>
        <w:rPr>
          <w:rFonts w:hint="eastAsia" w:ascii="宋体" w:hAnsi="宋体" w:eastAsia="宋体" w:cs="宋体"/>
          <w:color w:val="auto"/>
          <w:szCs w:val="21"/>
          <w:highlight w:val="none"/>
        </w:rPr>
        <w:t>气瓶充装考培模拟机组</w:t>
      </w:r>
      <w:r>
        <w:rPr>
          <w:rFonts w:hint="eastAsia" w:ascii="宋体" w:hAnsi="宋体" w:eastAsia="宋体" w:cs="宋体"/>
          <w:color w:val="auto"/>
          <w:szCs w:val="21"/>
          <w:highlight w:val="none"/>
          <w:lang w:val="en-US" w:eastAsia="zh-CN"/>
        </w:rPr>
        <w:t>2台；</w:t>
      </w:r>
    </w:p>
    <w:p>
      <w:pPr>
        <w:spacing w:line="360" w:lineRule="auto"/>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注：包括但不限于</w:t>
      </w:r>
      <w:r>
        <w:rPr>
          <w:rFonts w:hint="eastAsia" w:ascii="宋体" w:hAnsi="宋体" w:eastAsia="宋体" w:cs="宋体"/>
          <w:color w:val="auto"/>
          <w:szCs w:val="21"/>
          <w:highlight w:val="none"/>
          <w:lang w:eastAsia="zh-CN"/>
        </w:rPr>
        <w:t>设备的采购、供货、运输、保险、装卸、安装、检测、调试、试运行、验收交付、培训、技术支持、软件升级、售后服务及相关伴随服务等</w:t>
      </w:r>
      <w:r>
        <w:rPr>
          <w:rFonts w:hint="eastAsia" w:ascii="宋体" w:hAnsi="宋体" w:eastAsia="宋体" w:cs="宋体"/>
          <w:color w:val="auto"/>
          <w:szCs w:val="21"/>
          <w:highlight w:val="none"/>
        </w:rPr>
        <w:t>。</w:t>
      </w:r>
    </w:p>
    <w:p>
      <w:pPr>
        <w:pStyle w:val="13"/>
        <w:spacing w:line="500" w:lineRule="exact"/>
        <w:ind w:firstLine="424"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5.2</w:t>
      </w:r>
      <w:r>
        <w:rPr>
          <w:rFonts w:hint="eastAsia" w:cs="宋体"/>
          <w:color w:val="000000"/>
          <w:kern w:val="0"/>
          <w:sz w:val="21"/>
          <w:szCs w:val="21"/>
          <w:highlight w:val="none"/>
          <w:lang w:val="en-US" w:eastAsia="zh-CN"/>
        </w:rPr>
        <w:t>资金来源：财政资金和自有资金</w:t>
      </w:r>
    </w:p>
    <w:p>
      <w:pPr>
        <w:pStyle w:val="13"/>
        <w:spacing w:line="500" w:lineRule="exact"/>
        <w:ind w:firstLine="424"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5.3交货期：合同签订后30日历天内</w:t>
      </w:r>
    </w:p>
    <w:p>
      <w:pPr>
        <w:pStyle w:val="13"/>
        <w:spacing w:line="500" w:lineRule="exact"/>
        <w:ind w:firstLine="424"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5.4交货地点：采购人指定地点</w:t>
      </w:r>
    </w:p>
    <w:p>
      <w:pPr>
        <w:pStyle w:val="13"/>
        <w:spacing w:line="500" w:lineRule="exact"/>
        <w:ind w:firstLine="424"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5.5质量标准：符合国家相关行业合格标准且满足采购人需求</w:t>
      </w:r>
    </w:p>
    <w:p>
      <w:pPr>
        <w:pStyle w:val="13"/>
        <w:spacing w:line="500" w:lineRule="exact"/>
        <w:ind w:firstLine="424"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5.6验收标准：满足采购人的验收标准及要求</w:t>
      </w:r>
    </w:p>
    <w:p>
      <w:pPr>
        <w:pStyle w:val="13"/>
        <w:spacing w:line="500" w:lineRule="exact"/>
        <w:ind w:firstLine="424"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5.7质保期：自验收合格之日一年，技术参数中有特殊规定的按其规定</w:t>
      </w:r>
    </w:p>
    <w:p>
      <w:pPr>
        <w:pStyle w:val="13"/>
        <w:spacing w:line="500" w:lineRule="exact"/>
        <w:ind w:firstLine="424"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5.8核心产品：</w:t>
      </w:r>
    </w:p>
    <w:p>
      <w:pPr>
        <w:pStyle w:val="13"/>
        <w:spacing w:line="500" w:lineRule="exact"/>
        <w:ind w:firstLine="424"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auto"/>
          <w:sz w:val="21"/>
          <w:szCs w:val="21"/>
          <w:highlight w:val="none"/>
          <w:lang w:val="en-US" w:eastAsia="zh-CN"/>
        </w:rPr>
        <w:t>包</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：卧式燃油（气）锅炉考培模拟机</w:t>
      </w:r>
    </w:p>
    <w:p>
      <w:pPr>
        <w:pStyle w:val="13"/>
        <w:spacing w:line="500" w:lineRule="exact"/>
        <w:ind w:firstLine="424"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包2：快开门式压力容器(蒸压釜)考培模拟机</w:t>
      </w:r>
    </w:p>
    <w:p>
      <w:pPr>
        <w:pStyle w:val="13"/>
        <w:spacing w:line="500" w:lineRule="exact"/>
        <w:ind w:firstLine="424"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包3：移动式压力容器（LNG槽车)考培模拟机</w:t>
      </w:r>
    </w:p>
    <w:p>
      <w:pPr>
        <w:pStyle w:val="13"/>
        <w:spacing w:line="500" w:lineRule="exact"/>
        <w:ind w:firstLine="424"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auto"/>
          <w:sz w:val="21"/>
          <w:szCs w:val="21"/>
          <w:highlight w:val="none"/>
          <w:lang w:val="en-US" w:eastAsia="zh-CN"/>
        </w:rPr>
        <w:t>包4：液化石油气气瓶充装考培模拟机</w:t>
      </w:r>
    </w:p>
    <w:p>
      <w:pPr>
        <w:pStyle w:val="13"/>
        <w:spacing w:line="500" w:lineRule="exact"/>
        <w:ind w:firstLine="424"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 xml:space="preserve">6、合同履行期限：自合同签订后至质保期结束 </w:t>
      </w:r>
    </w:p>
    <w:p>
      <w:pPr>
        <w:pStyle w:val="13"/>
        <w:spacing w:line="500" w:lineRule="exact"/>
        <w:ind w:firstLine="424"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 xml:space="preserve">7、本项目是否接受联合体投标：否 </w:t>
      </w:r>
    </w:p>
    <w:p>
      <w:pPr>
        <w:pStyle w:val="13"/>
        <w:spacing w:line="500" w:lineRule="exact"/>
        <w:ind w:firstLine="424"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8、是否接受进口产品：否</w:t>
      </w:r>
    </w:p>
    <w:p>
      <w:pPr>
        <w:pStyle w:val="13"/>
        <w:spacing w:line="500" w:lineRule="exact"/>
        <w:ind w:firstLine="424"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9、是否专门面向中小企业：是</w:t>
      </w:r>
    </w:p>
    <w:p>
      <w:pPr>
        <w:pStyle w:val="12"/>
        <w:spacing w:line="500" w:lineRule="exact"/>
        <w:ind w:firstLine="424"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二、申请人资格要求：</w:t>
      </w:r>
    </w:p>
    <w:p>
      <w:pPr>
        <w:spacing w:line="500" w:lineRule="exact"/>
        <w:ind w:firstLine="424" w:firstLineChars="2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1、满足《中华人民共和国政府采购法》第二十二条规定；</w:t>
      </w:r>
    </w:p>
    <w:p>
      <w:pPr>
        <w:spacing w:line="500" w:lineRule="exact"/>
        <w:ind w:firstLine="424" w:firstLineChars="200"/>
        <w:jc w:val="left"/>
        <w:rPr>
          <w:rFonts w:hint="default" w:ascii="宋体" w:hAnsi="宋体" w:eastAsia="宋体" w:cs="宋体"/>
          <w:color w:val="000000"/>
          <w:kern w:val="0"/>
          <w:szCs w:val="21"/>
          <w:highlight w:val="none"/>
          <w:lang w:val="en-US"/>
        </w:rPr>
      </w:pPr>
      <w:r>
        <w:rPr>
          <w:rFonts w:hint="eastAsia" w:ascii="宋体" w:hAnsi="宋体" w:eastAsia="宋体" w:cs="宋体"/>
          <w:color w:val="000000"/>
          <w:kern w:val="0"/>
          <w:szCs w:val="21"/>
          <w:highlight w:val="none"/>
        </w:rPr>
        <w:t>2、落实政府采购政策满足的资格要求：</w:t>
      </w:r>
      <w:r>
        <w:rPr>
          <w:rFonts w:hint="eastAsia" w:ascii="宋体" w:hAnsi="宋体" w:cs="宋体"/>
          <w:color w:val="000000"/>
          <w:kern w:val="0"/>
          <w:szCs w:val="21"/>
          <w:highlight w:val="none"/>
          <w:lang w:val="en-US" w:eastAsia="zh-CN"/>
        </w:rPr>
        <w:t>本项目属于专门面向中小企业采购的项目</w:t>
      </w:r>
    </w:p>
    <w:p>
      <w:pPr>
        <w:spacing w:line="500" w:lineRule="exact"/>
        <w:ind w:firstLine="424" w:firstLineChars="2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3、本项目的特定资格要求</w:t>
      </w:r>
    </w:p>
    <w:p>
      <w:pPr>
        <w:spacing w:line="500" w:lineRule="exact"/>
        <w:ind w:firstLine="848" w:firstLineChars="4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3.1</w:t>
      </w:r>
      <w:r>
        <w:rPr>
          <w:rFonts w:hint="eastAsia" w:ascii="宋体" w:hAnsi="宋体" w:eastAsia="宋体" w:cs="宋体"/>
          <w:bCs/>
          <w:color w:val="000000"/>
          <w:kern w:val="0"/>
          <w:szCs w:val="21"/>
          <w:highlight w:val="none"/>
          <w:lang w:val="en-US" w:eastAsia="zh-CN"/>
        </w:rPr>
        <w:t>符合《中华人民共和国政府采购法》第二十二条规定</w:t>
      </w:r>
    </w:p>
    <w:p>
      <w:pPr>
        <w:spacing w:line="500" w:lineRule="exact"/>
        <w:ind w:firstLine="848" w:firstLineChars="4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具有独立承担民事责任的能力</w:t>
      </w:r>
      <w:r>
        <w:rPr>
          <w:rFonts w:hint="eastAsia" w:ascii="宋体" w:hAnsi="宋体" w:eastAsia="宋体" w:cs="宋体"/>
          <w:color w:val="000000"/>
          <w:kern w:val="0"/>
          <w:szCs w:val="21"/>
          <w:highlight w:val="none"/>
          <w:lang w:eastAsia="zh-CN"/>
        </w:rPr>
        <w:t>：提供有效的法人或者其他组织的营业执照等证明文件</w:t>
      </w:r>
      <w:r>
        <w:rPr>
          <w:rFonts w:hint="eastAsia" w:ascii="宋体" w:hAnsi="宋体" w:eastAsia="宋体" w:cs="宋体"/>
          <w:color w:val="000000"/>
          <w:kern w:val="0"/>
          <w:szCs w:val="21"/>
          <w:highlight w:val="none"/>
        </w:rPr>
        <w:t>；</w:t>
      </w:r>
    </w:p>
    <w:p>
      <w:pPr>
        <w:spacing w:line="500" w:lineRule="exact"/>
        <w:ind w:firstLine="848" w:firstLineChars="4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（2）</w:t>
      </w:r>
      <w:r>
        <w:rPr>
          <w:rFonts w:hint="eastAsia" w:ascii="宋体" w:hAnsi="宋体" w:eastAsia="宋体" w:cs="宋体"/>
          <w:color w:val="000000"/>
          <w:kern w:val="0"/>
          <w:szCs w:val="21"/>
          <w:highlight w:val="none"/>
        </w:rPr>
        <w:t>具有健全的财务制度</w:t>
      </w:r>
      <w:r>
        <w:rPr>
          <w:rFonts w:hint="eastAsia" w:ascii="宋体" w:hAnsi="宋体" w:eastAsia="宋体" w:cs="宋体"/>
          <w:color w:val="000000"/>
          <w:kern w:val="0"/>
          <w:szCs w:val="21"/>
          <w:highlight w:val="none"/>
          <w:lang w:eastAsia="zh-CN"/>
        </w:rPr>
        <w:t>：提供2022年度经第三方会计师事务所或审计机构出具的财务审计报告，成立不足一年的按实际提供，或提供银行出具的资信证明</w:t>
      </w:r>
      <w:r>
        <w:rPr>
          <w:rFonts w:hint="eastAsia" w:ascii="宋体" w:hAnsi="宋体" w:eastAsia="宋体" w:cs="宋体"/>
          <w:color w:val="000000"/>
          <w:kern w:val="0"/>
          <w:szCs w:val="21"/>
          <w:highlight w:val="none"/>
        </w:rPr>
        <w:t>；</w:t>
      </w:r>
    </w:p>
    <w:p>
      <w:pPr>
        <w:spacing w:line="500" w:lineRule="exact"/>
        <w:ind w:firstLine="848" w:firstLineChars="4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lang w:eastAsia="zh-CN"/>
        </w:rPr>
        <w:t>具有依法缴纳税收和社会保障资金的良好记录：提供</w:t>
      </w:r>
      <w:r>
        <w:rPr>
          <w:rFonts w:hint="eastAsia" w:ascii="宋体" w:hAnsi="宋体" w:eastAsia="宋体" w:cs="宋体"/>
          <w:color w:val="000000"/>
          <w:kern w:val="0"/>
          <w:szCs w:val="21"/>
          <w:highlight w:val="none"/>
        </w:rPr>
        <w:t>202</w:t>
      </w: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年1月1日以来至少一个月的依法缴纳税收和社会保障资金的相关证明；</w:t>
      </w:r>
    </w:p>
    <w:p>
      <w:pPr>
        <w:spacing w:line="500" w:lineRule="exact"/>
        <w:ind w:firstLine="848" w:firstLineChars="4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（4）</w:t>
      </w:r>
      <w:r>
        <w:rPr>
          <w:rFonts w:hint="eastAsia" w:ascii="宋体" w:hAnsi="宋体" w:eastAsia="宋体" w:cs="宋体"/>
          <w:color w:val="000000"/>
          <w:kern w:val="0"/>
          <w:szCs w:val="21"/>
          <w:highlight w:val="none"/>
          <w:lang w:eastAsia="zh-CN"/>
        </w:rPr>
        <w:t>具有履行合同所必需的设备和专业技术能力：提供可充分满足履行合同所需设备和专业技术能力的证明材料或出具书面承诺（加盖单位公章）</w:t>
      </w:r>
      <w:r>
        <w:rPr>
          <w:rFonts w:hint="eastAsia" w:ascii="宋体" w:hAnsi="宋体" w:eastAsia="宋体" w:cs="宋体"/>
          <w:color w:val="000000"/>
          <w:kern w:val="0"/>
          <w:szCs w:val="21"/>
          <w:highlight w:val="none"/>
        </w:rPr>
        <w:t>；</w:t>
      </w:r>
    </w:p>
    <w:p>
      <w:pPr>
        <w:spacing w:line="500" w:lineRule="exact"/>
        <w:ind w:firstLine="848" w:firstLineChars="4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（5）</w:t>
      </w:r>
      <w:r>
        <w:rPr>
          <w:rFonts w:hint="eastAsia" w:ascii="宋体" w:hAnsi="宋体" w:eastAsia="宋体" w:cs="宋体"/>
          <w:color w:val="000000"/>
          <w:kern w:val="0"/>
          <w:szCs w:val="21"/>
          <w:highlight w:val="none"/>
        </w:rPr>
        <w:t>具有良好的商业信誉，在参加本次政府采购活动前三年内，在经营活动中没有重大违法记录的书面声明或证明材料，提供声明函；</w:t>
      </w:r>
    </w:p>
    <w:p>
      <w:pPr>
        <w:spacing w:line="500" w:lineRule="exact"/>
        <w:ind w:firstLine="848" w:firstLineChars="4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w:t>
      </w:r>
      <w:r>
        <w:rPr>
          <w:rFonts w:hint="eastAsia" w:ascii="宋体" w:hAnsi="宋体" w:eastAsia="宋体" w:cs="宋体"/>
          <w:color w:val="000000"/>
          <w:kern w:val="0"/>
          <w:szCs w:val="21"/>
          <w:highlight w:val="none"/>
          <w:lang w:val="en-US" w:eastAsia="zh-CN"/>
        </w:rPr>
        <w:t>2信誉要求：</w:t>
      </w:r>
      <w:r>
        <w:rPr>
          <w:rFonts w:hint="eastAsia" w:ascii="宋体" w:hAnsi="宋体" w:eastAsia="宋体" w:cs="宋体"/>
          <w:color w:val="000000"/>
          <w:kern w:val="0"/>
          <w:szCs w:val="21"/>
          <w:highlight w:val="none"/>
        </w:rPr>
        <w:t>根据《关于在政府采购活动中查询及使用信用记录有关问题的通知》(财库[2016]125号)的规定，对列入失信被执行人、重大税收违法失信主体、政府采购严重违法失信行为记录名单的供应商，拒绝参与本项目政府采购活动；采购人或代理机构查询渠道：通过“信用中国”网站（http://www.creditchina.gov.cn/）“信用服务”→“失信被执行人”→跳转至“中国执行信息公开网（http://zxgk.court.gov.cn/shixin/）”查询企业，通过“信用中国”网站（http://www.creditchina.gov.cn/）“信用服务”→“重大税收违法失信主体”查询企业，通过“中国政府采购网”网站（www.ccgp.gov.cn）中查询“政府采购严重违法（资格审查时，由采购人或采购代理机构查询，查询结果截图随采购文件存档，并以此次查询结果为准，其他均不作评审依据）；</w:t>
      </w:r>
    </w:p>
    <w:p>
      <w:pPr>
        <w:spacing w:line="500" w:lineRule="exact"/>
        <w:ind w:firstLine="848" w:firstLineChars="4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w:t>
      </w:r>
      <w:r>
        <w:rPr>
          <w:rFonts w:hint="eastAsia" w:ascii="宋体" w:hAnsi="宋体" w:eastAsia="宋体" w:cs="宋体"/>
          <w:color w:val="000000"/>
          <w:kern w:val="0"/>
          <w:szCs w:val="21"/>
          <w:highlight w:val="none"/>
          <w:lang w:val="en-US" w:eastAsia="zh-CN"/>
        </w:rPr>
        <w:t>3其他要求：</w:t>
      </w:r>
      <w:r>
        <w:rPr>
          <w:rFonts w:hint="eastAsia" w:ascii="宋体" w:hAnsi="宋体" w:eastAsia="宋体" w:cs="宋体"/>
          <w:color w:val="000000"/>
          <w:kern w:val="0"/>
          <w:szCs w:val="21"/>
          <w:highlight w:val="none"/>
        </w:rPr>
        <w:t>单位负责人为同一人或者存在直接控股、管理关系的不同供应商（投标人），不得参加同一合同项下的政府采购活动。</w:t>
      </w:r>
      <w:r>
        <w:rPr>
          <w:rFonts w:hint="eastAsia" w:ascii="宋体" w:hAnsi="宋体" w:eastAsia="宋体" w:cs="宋体"/>
          <w:color w:val="000000"/>
          <w:kern w:val="0"/>
          <w:szCs w:val="21"/>
          <w:highlight w:val="none"/>
          <w:lang w:eastAsia="zh-CN"/>
        </w:rPr>
        <w:t>【提供“国家企业信用信息公示系统”中查询打印的相关材料（需包含公司基础信息、股东及出资信息)；非企业性质的供应商无法在该公示系统查询的，则针对此项做出书面承诺，格式自拟并加盖公章】。</w:t>
      </w:r>
    </w:p>
    <w:p>
      <w:pPr>
        <w:pStyle w:val="13"/>
        <w:spacing w:line="500" w:lineRule="exact"/>
        <w:ind w:firstLine="424" w:firstLineChars="200"/>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三、获取招标文件</w:t>
      </w:r>
    </w:p>
    <w:p>
      <w:pPr>
        <w:pStyle w:val="12"/>
        <w:tabs>
          <w:tab w:val="left" w:pos="312"/>
        </w:tabs>
        <w:spacing w:line="500" w:lineRule="exact"/>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05</w:t>
      </w:r>
      <w:r>
        <w:rPr>
          <w:rFonts w:hint="eastAsia" w:ascii="宋体" w:hAnsi="宋体" w:eastAsia="宋体" w:cs="宋体"/>
          <w:color w:val="auto"/>
          <w:sz w:val="21"/>
          <w:szCs w:val="21"/>
          <w:highlight w:val="none"/>
        </w:rPr>
        <w:t>日至202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12</w:t>
      </w:r>
      <w:bookmarkStart w:id="303" w:name="_GoBack"/>
      <w:bookmarkEnd w:id="303"/>
      <w:r>
        <w:rPr>
          <w:rFonts w:hint="eastAsia" w:ascii="宋体" w:hAnsi="宋体" w:eastAsia="宋体" w:cs="宋体"/>
          <w:color w:val="auto"/>
          <w:sz w:val="21"/>
          <w:szCs w:val="21"/>
          <w:highlight w:val="none"/>
        </w:rPr>
        <w:t>日，每天上午00:00至12:00，下午12:00至23:59（北京时间，法定节假日除外。）</w:t>
      </w:r>
    </w:p>
    <w:p>
      <w:pPr>
        <w:pStyle w:val="12"/>
        <w:tabs>
          <w:tab w:val="left" w:pos="312"/>
        </w:tabs>
        <w:spacing w:line="500" w:lineRule="exact"/>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2、地点：</w:t>
      </w:r>
      <w:r>
        <w:rPr>
          <w:rFonts w:hint="eastAsia" w:ascii="宋体" w:hAnsi="宋体" w:eastAsia="宋体" w:cs="宋体"/>
          <w:sz w:val="21"/>
          <w:szCs w:val="21"/>
          <w:highlight w:val="none"/>
          <w:lang w:eastAsia="zh-CN"/>
        </w:rPr>
        <w:t>河南省公共资源交易中心网站</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http://www.hnggzy.net/</w:t>
      </w:r>
      <w:r>
        <w:rPr>
          <w:rFonts w:hint="eastAsia" w:ascii="宋体" w:hAnsi="宋体" w:eastAsia="宋体" w:cs="宋体"/>
          <w:sz w:val="21"/>
          <w:szCs w:val="21"/>
          <w:highlight w:val="none"/>
        </w:rPr>
        <w:t>）</w:t>
      </w:r>
    </w:p>
    <w:p>
      <w:pPr>
        <w:pStyle w:val="12"/>
        <w:tabs>
          <w:tab w:val="left" w:pos="312"/>
        </w:tabs>
        <w:spacing w:line="500" w:lineRule="exact"/>
        <w:ind w:firstLine="424" w:firstLineChars="20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3、方式：市场主体需要完成信息登记及 CA 数字证书办理，凭 CA 密钥登陆河南省公共资源交易中心市场主体系统并在规定时间内按网上提示下载招标（采购）文件，具体办理事宜请查阅河南省公共资源交易中心网站—公共服务—办事指南中的《新交易平台使用手册（培训资料）》</w:t>
      </w:r>
      <w:r>
        <w:rPr>
          <w:rFonts w:hint="eastAsia" w:ascii="宋体" w:hAnsi="宋体" w:eastAsia="宋体" w:cs="宋体"/>
          <w:color w:val="auto"/>
          <w:sz w:val="21"/>
          <w:szCs w:val="21"/>
          <w:highlight w:val="none"/>
        </w:rPr>
        <w:t>。</w:t>
      </w:r>
    </w:p>
    <w:p>
      <w:pPr>
        <w:pStyle w:val="12"/>
        <w:tabs>
          <w:tab w:val="left" w:pos="312"/>
        </w:tabs>
        <w:spacing w:line="500" w:lineRule="exact"/>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4、售价：0元</w:t>
      </w:r>
    </w:p>
    <w:p>
      <w:pPr>
        <w:pStyle w:val="12"/>
        <w:spacing w:line="500" w:lineRule="exact"/>
        <w:ind w:firstLine="424"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四、投标截止时间及地点</w:t>
      </w:r>
    </w:p>
    <w:p>
      <w:pPr>
        <w:pStyle w:val="12"/>
        <w:tabs>
          <w:tab w:val="left" w:pos="312"/>
        </w:tabs>
        <w:spacing w:line="500" w:lineRule="exact"/>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w:t>
      </w:r>
      <w:r>
        <w:rPr>
          <w:rFonts w:hint="eastAsia" w:ascii="宋体" w:hAnsi="宋体" w:eastAsia="宋体" w:cs="宋体"/>
          <w:color w:val="auto"/>
          <w:sz w:val="21"/>
          <w:szCs w:val="21"/>
          <w:highlight w:val="none"/>
          <w:lang w:eastAsia="zh-CN"/>
        </w:rPr>
        <w:t>2023年</w:t>
      </w:r>
      <w:r>
        <w:rPr>
          <w:rFonts w:hint="eastAsia"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月</w:t>
      </w:r>
      <w:r>
        <w:rPr>
          <w:rFonts w:hint="eastAsia"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日</w:t>
      </w:r>
      <w:r>
        <w:rPr>
          <w:rFonts w:hint="eastAsia"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时</w:t>
      </w:r>
      <w:r>
        <w:rPr>
          <w:rFonts w:hint="eastAsia"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（北京时间）</w:t>
      </w:r>
    </w:p>
    <w:p>
      <w:pPr>
        <w:pStyle w:val="12"/>
        <w:tabs>
          <w:tab w:val="left" w:pos="312"/>
        </w:tabs>
        <w:spacing w:line="500" w:lineRule="exact"/>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2、地点：河南省公共资源交易中心远程开标室(三)-5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郑州市经二路12号（经二路与纬四路向南50米路西），加密电子投标文件须在投标截止时间前上传至河南省公共资源交易中心交易系统指定位置；加密投标文件逾期上传，采购人不予受理。</w:t>
      </w:r>
    </w:p>
    <w:p>
      <w:pPr>
        <w:pStyle w:val="12"/>
        <w:spacing w:line="500" w:lineRule="exact"/>
        <w:ind w:firstLine="424"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五、开标时间及地点</w:t>
      </w:r>
    </w:p>
    <w:p>
      <w:pPr>
        <w:pStyle w:val="12"/>
        <w:spacing w:line="500" w:lineRule="exact"/>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w:t>
      </w:r>
      <w:r>
        <w:rPr>
          <w:rFonts w:hint="eastAsia" w:ascii="宋体" w:hAnsi="宋体" w:eastAsia="宋体" w:cs="宋体"/>
          <w:color w:val="auto"/>
          <w:sz w:val="21"/>
          <w:szCs w:val="21"/>
          <w:highlight w:val="none"/>
          <w:lang w:eastAsia="zh-CN"/>
        </w:rPr>
        <w:t>2023年</w:t>
      </w:r>
      <w:r>
        <w:rPr>
          <w:rFonts w:hint="eastAsia"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月</w:t>
      </w:r>
      <w:r>
        <w:rPr>
          <w:rFonts w:hint="eastAsia"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日</w:t>
      </w:r>
      <w:r>
        <w:rPr>
          <w:rFonts w:hint="eastAsia"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时</w:t>
      </w:r>
      <w:r>
        <w:rPr>
          <w:rFonts w:hint="eastAsia"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（北京时间）</w:t>
      </w:r>
    </w:p>
    <w:p>
      <w:pPr>
        <w:pStyle w:val="12"/>
        <w:spacing w:line="500" w:lineRule="exact"/>
        <w:ind w:firstLine="424"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2.地点：河南省公共资源交易中心远程开标室(三)-5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郑州市经二路12号（经二路与纬四路向南50米路西）</w:t>
      </w:r>
      <w:r>
        <w:rPr>
          <w:rFonts w:hint="eastAsia" w:ascii="宋体" w:hAnsi="宋体" w:eastAsia="宋体" w:cs="宋体"/>
          <w:color w:val="auto"/>
          <w:sz w:val="21"/>
          <w:szCs w:val="21"/>
          <w:highlight w:val="none"/>
          <w:lang w:eastAsia="zh-CN"/>
        </w:rPr>
        <w:t>，开启时，投标人必须持 CA 密钥对本单位的加密电子投标文件进行远程解密，逾期解密或超时解密将被拒绝。</w:t>
      </w:r>
    </w:p>
    <w:p>
      <w:pPr>
        <w:pStyle w:val="12"/>
        <w:spacing w:line="500" w:lineRule="exact"/>
        <w:ind w:firstLine="424"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六、发布公告的媒介及招标公告期限</w:t>
      </w:r>
    </w:p>
    <w:p>
      <w:pPr>
        <w:pStyle w:val="12"/>
        <w:spacing w:line="500" w:lineRule="exact"/>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公告在《河南省政府采购网》、《河南省公共资源交易中心网》发布。招标公告期限为五个工作日。</w:t>
      </w:r>
    </w:p>
    <w:p>
      <w:pPr>
        <w:pStyle w:val="12"/>
        <w:spacing w:line="500" w:lineRule="exact"/>
        <w:ind w:firstLine="424"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七、其他补充事宜</w:t>
      </w:r>
    </w:p>
    <w:p>
      <w:pPr>
        <w:pStyle w:val="12"/>
        <w:spacing w:line="500" w:lineRule="exact"/>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本项目需要落实的政府采购政策：</w:t>
      </w:r>
    </w:p>
    <w:p>
      <w:pPr>
        <w:pStyle w:val="12"/>
        <w:spacing w:line="500" w:lineRule="exact"/>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关于印发节能产品政府采购品目清单的通知（财库〔2019〕19号）；</w:t>
      </w:r>
    </w:p>
    <w:p>
      <w:pPr>
        <w:pStyle w:val="12"/>
        <w:spacing w:line="500" w:lineRule="exact"/>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2关于印发环境标志产品政府采购品目清单的通知（财库〔2019〕18号）；</w:t>
      </w:r>
    </w:p>
    <w:p>
      <w:pPr>
        <w:pStyle w:val="12"/>
        <w:spacing w:line="500" w:lineRule="exact"/>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政府采购促进中小企业发展管理办法 (财库〔2020〕46号）；</w:t>
      </w:r>
    </w:p>
    <w:p>
      <w:pPr>
        <w:pStyle w:val="12"/>
        <w:spacing w:line="500" w:lineRule="exact"/>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《财政部、司法部关于政府采购支持监狱企业发展有关问题的通知》（财库[2014]68号）；</w:t>
      </w:r>
    </w:p>
    <w:p>
      <w:pPr>
        <w:pStyle w:val="12"/>
        <w:spacing w:line="500" w:lineRule="exact"/>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《三部门联合发布关于促进残疾人就业政府采购政策的通知》（财库[2017]141号）。</w:t>
      </w:r>
    </w:p>
    <w:p>
      <w:pPr>
        <w:pStyle w:val="12"/>
        <w:spacing w:line="500" w:lineRule="exact"/>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本项目采用“远程不见面”开标方式，供应商无需到河南省公共资源交易中心现场参加开标会议及递交纸质标书，无需到达现场提交原件资料。</w:t>
      </w:r>
    </w:p>
    <w:p>
      <w:pPr>
        <w:pStyle w:val="12"/>
        <w:spacing w:line="500" w:lineRule="exact"/>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不见面服务的具体事宜请查阅河南省公共资源交易中心网站“办事指南”专区的《新交易平台使用手册（培训资料）》。</w:t>
      </w:r>
    </w:p>
    <w:p>
      <w:pPr>
        <w:pStyle w:val="12"/>
        <w:spacing w:line="500" w:lineRule="exact"/>
        <w:ind w:firstLine="424"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逾期上传/送达的或者未上传/未送达指定地点的响应文件，采购人不予受理</w:t>
      </w:r>
      <w:r>
        <w:rPr>
          <w:rFonts w:hint="eastAsia" w:ascii="宋体" w:hAnsi="宋体" w:eastAsia="宋体" w:cs="宋体"/>
          <w:color w:val="auto"/>
          <w:sz w:val="21"/>
          <w:szCs w:val="21"/>
          <w:highlight w:val="none"/>
          <w:lang w:eastAsia="zh-CN"/>
        </w:rPr>
        <w:t>。</w:t>
      </w:r>
    </w:p>
    <w:p>
      <w:pPr>
        <w:pStyle w:val="12"/>
        <w:spacing w:line="500" w:lineRule="exact"/>
        <w:ind w:firstLine="424"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八、凡对本次采购提出询问，请按照以下方式联系</w:t>
      </w:r>
    </w:p>
    <w:p>
      <w:pPr>
        <w:pStyle w:val="12"/>
        <w:keepNext w:val="0"/>
        <w:keepLines w:val="0"/>
        <w:pageBreakBefore w:val="0"/>
        <w:widowControl w:val="0"/>
        <w:kinsoku/>
        <w:wordWrap/>
        <w:overflowPunct/>
        <w:topLinePunct w:val="0"/>
        <w:autoSpaceDE w:val="0"/>
        <w:autoSpaceDN w:val="0"/>
        <w:bidi w:val="0"/>
        <w:adjustRightInd w:val="0"/>
        <w:snapToGrid/>
        <w:spacing w:line="48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pPr>
        <w:pStyle w:val="12"/>
        <w:keepNext w:val="0"/>
        <w:keepLines w:val="0"/>
        <w:pageBreakBefore w:val="0"/>
        <w:widowControl w:val="0"/>
        <w:kinsoku/>
        <w:wordWrap/>
        <w:overflowPunct/>
        <w:topLinePunct w:val="0"/>
        <w:autoSpaceDE w:val="0"/>
        <w:autoSpaceDN w:val="0"/>
        <w:bidi w:val="0"/>
        <w:adjustRightInd w:val="0"/>
        <w:snapToGrid/>
        <w:spacing w:line="480" w:lineRule="exact"/>
        <w:ind w:firstLine="424"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河南省锅炉压力容器检验技术科学研究院</w:t>
      </w:r>
    </w:p>
    <w:p>
      <w:pPr>
        <w:pStyle w:val="12"/>
        <w:keepNext w:val="0"/>
        <w:keepLines w:val="0"/>
        <w:pageBreakBefore w:val="0"/>
        <w:widowControl w:val="0"/>
        <w:kinsoku/>
        <w:wordWrap/>
        <w:overflowPunct/>
        <w:topLinePunct w:val="0"/>
        <w:autoSpaceDE w:val="0"/>
        <w:autoSpaceDN w:val="0"/>
        <w:bidi w:val="0"/>
        <w:adjustRightInd w:val="0"/>
        <w:snapToGrid/>
        <w:spacing w:line="480" w:lineRule="exact"/>
        <w:ind w:firstLine="424"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河南省郑州市经济技术开发区经南一路70号</w:t>
      </w:r>
    </w:p>
    <w:p>
      <w:pPr>
        <w:pStyle w:val="12"/>
        <w:keepNext w:val="0"/>
        <w:keepLines w:val="0"/>
        <w:pageBreakBefore w:val="0"/>
        <w:widowControl w:val="0"/>
        <w:kinsoku/>
        <w:wordWrap/>
        <w:overflowPunct/>
        <w:topLinePunct w:val="0"/>
        <w:autoSpaceDE w:val="0"/>
        <w:autoSpaceDN w:val="0"/>
        <w:bidi w:val="0"/>
        <w:adjustRightInd w:val="0"/>
        <w:snapToGrid/>
        <w:spacing w:line="480" w:lineRule="exact"/>
        <w:ind w:firstLine="424"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孙女士</w:t>
      </w:r>
    </w:p>
    <w:p>
      <w:pPr>
        <w:pStyle w:val="12"/>
        <w:keepNext w:val="0"/>
        <w:keepLines w:val="0"/>
        <w:pageBreakBefore w:val="0"/>
        <w:widowControl w:val="0"/>
        <w:kinsoku/>
        <w:wordWrap/>
        <w:overflowPunct/>
        <w:topLinePunct w:val="0"/>
        <w:autoSpaceDE w:val="0"/>
        <w:autoSpaceDN w:val="0"/>
        <w:bidi w:val="0"/>
        <w:adjustRightInd w:val="0"/>
        <w:snapToGrid/>
        <w:spacing w:line="480" w:lineRule="exact"/>
        <w:ind w:firstLine="424"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联系方式：</w:t>
      </w:r>
      <w:r>
        <w:rPr>
          <w:rFonts w:hint="eastAsia" w:cs="宋体"/>
          <w:color w:val="auto"/>
          <w:sz w:val="21"/>
          <w:szCs w:val="21"/>
          <w:highlight w:val="none"/>
          <w:lang w:eastAsia="zh-CN"/>
        </w:rPr>
        <w:t>0371-89933627</w:t>
      </w:r>
    </w:p>
    <w:p>
      <w:pPr>
        <w:pStyle w:val="12"/>
        <w:keepNext w:val="0"/>
        <w:keepLines w:val="0"/>
        <w:pageBreakBefore w:val="0"/>
        <w:widowControl w:val="0"/>
        <w:kinsoku/>
        <w:wordWrap/>
        <w:overflowPunct/>
        <w:topLinePunct w:val="0"/>
        <w:autoSpaceDE w:val="0"/>
        <w:autoSpaceDN w:val="0"/>
        <w:bidi w:val="0"/>
        <w:adjustRightInd w:val="0"/>
        <w:snapToGrid/>
        <w:spacing w:line="48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信息（如有）</w:t>
      </w:r>
    </w:p>
    <w:p>
      <w:pPr>
        <w:pStyle w:val="12"/>
        <w:keepNext w:val="0"/>
        <w:keepLines w:val="0"/>
        <w:pageBreakBefore w:val="0"/>
        <w:widowControl w:val="0"/>
        <w:kinsoku/>
        <w:wordWrap/>
        <w:overflowPunct/>
        <w:topLinePunct w:val="0"/>
        <w:autoSpaceDE w:val="0"/>
        <w:autoSpaceDN w:val="0"/>
        <w:bidi w:val="0"/>
        <w:adjustRightInd w:val="0"/>
        <w:snapToGrid/>
        <w:spacing w:line="480" w:lineRule="exact"/>
        <w:ind w:firstLine="424"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中鼎景宏工程管理有限公司</w:t>
      </w:r>
    </w:p>
    <w:p>
      <w:pPr>
        <w:pStyle w:val="12"/>
        <w:keepNext w:val="0"/>
        <w:keepLines w:val="0"/>
        <w:pageBreakBefore w:val="0"/>
        <w:widowControl w:val="0"/>
        <w:kinsoku/>
        <w:wordWrap/>
        <w:overflowPunct/>
        <w:topLinePunct w:val="0"/>
        <w:autoSpaceDE w:val="0"/>
        <w:autoSpaceDN w:val="0"/>
        <w:bidi w:val="0"/>
        <w:adjustRightInd w:val="0"/>
        <w:snapToGrid/>
        <w:spacing w:line="480" w:lineRule="exact"/>
        <w:ind w:firstLine="424"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郑州市经开区经南三路华美龙大厦1号楼8楼</w:t>
      </w:r>
    </w:p>
    <w:p>
      <w:pPr>
        <w:pStyle w:val="12"/>
        <w:keepNext w:val="0"/>
        <w:keepLines w:val="0"/>
        <w:pageBreakBefore w:val="0"/>
        <w:widowControl w:val="0"/>
        <w:kinsoku/>
        <w:wordWrap/>
        <w:overflowPunct/>
        <w:topLinePunct w:val="0"/>
        <w:autoSpaceDE w:val="0"/>
        <w:autoSpaceDN w:val="0"/>
        <w:bidi w:val="0"/>
        <w:adjustRightInd w:val="0"/>
        <w:snapToGrid/>
        <w:spacing w:line="480" w:lineRule="exact"/>
        <w:ind w:firstLine="424"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张玉杰</w:t>
      </w:r>
      <w:r>
        <w:rPr>
          <w:rFonts w:hint="eastAsia" w:ascii="宋体" w:hAnsi="宋体" w:eastAsia="宋体" w:cs="宋体"/>
          <w:color w:val="auto"/>
          <w:sz w:val="21"/>
          <w:szCs w:val="21"/>
          <w:highlight w:val="none"/>
          <w:lang w:val="en-US" w:eastAsia="zh-CN"/>
        </w:rPr>
        <w:t xml:space="preserve"> 王超杰</w:t>
      </w:r>
    </w:p>
    <w:p>
      <w:pPr>
        <w:pStyle w:val="12"/>
        <w:keepNext w:val="0"/>
        <w:keepLines w:val="0"/>
        <w:pageBreakBefore w:val="0"/>
        <w:widowControl w:val="0"/>
        <w:kinsoku/>
        <w:wordWrap/>
        <w:overflowPunct/>
        <w:topLinePunct w:val="0"/>
        <w:autoSpaceDE w:val="0"/>
        <w:autoSpaceDN w:val="0"/>
        <w:bidi w:val="0"/>
        <w:adjustRightInd w:val="0"/>
        <w:snapToGrid/>
        <w:spacing w:line="48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0371-67919603   17320188903</w:t>
      </w:r>
    </w:p>
    <w:p>
      <w:pPr>
        <w:pStyle w:val="12"/>
        <w:keepNext w:val="0"/>
        <w:keepLines w:val="0"/>
        <w:pageBreakBefore w:val="0"/>
        <w:widowControl w:val="0"/>
        <w:kinsoku/>
        <w:wordWrap/>
        <w:overflowPunct/>
        <w:topLinePunct w:val="0"/>
        <w:autoSpaceDE w:val="0"/>
        <w:autoSpaceDN w:val="0"/>
        <w:bidi w:val="0"/>
        <w:adjustRightInd w:val="0"/>
        <w:snapToGrid/>
        <w:spacing w:line="48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p>
    <w:p>
      <w:pPr>
        <w:pStyle w:val="12"/>
        <w:keepNext w:val="0"/>
        <w:keepLines w:val="0"/>
        <w:pageBreakBefore w:val="0"/>
        <w:widowControl w:val="0"/>
        <w:kinsoku/>
        <w:wordWrap/>
        <w:overflowPunct/>
        <w:topLinePunct w:val="0"/>
        <w:autoSpaceDE w:val="0"/>
        <w:autoSpaceDN w:val="0"/>
        <w:bidi w:val="0"/>
        <w:adjustRightInd w:val="0"/>
        <w:snapToGrid/>
        <w:spacing w:line="480" w:lineRule="exact"/>
        <w:ind w:firstLine="424"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张玉杰</w:t>
      </w:r>
      <w:r>
        <w:rPr>
          <w:rFonts w:hint="eastAsia" w:ascii="宋体" w:hAnsi="宋体" w:eastAsia="宋体" w:cs="宋体"/>
          <w:color w:val="auto"/>
          <w:sz w:val="21"/>
          <w:szCs w:val="21"/>
          <w:highlight w:val="none"/>
          <w:lang w:val="en-US" w:eastAsia="zh-CN"/>
        </w:rPr>
        <w:t xml:space="preserve"> 王超杰</w:t>
      </w:r>
    </w:p>
    <w:p>
      <w:pPr>
        <w:pStyle w:val="12"/>
        <w:keepNext w:val="0"/>
        <w:keepLines w:val="0"/>
        <w:pageBreakBefore w:val="0"/>
        <w:widowControl w:val="0"/>
        <w:kinsoku/>
        <w:wordWrap/>
        <w:overflowPunct/>
        <w:topLinePunct w:val="0"/>
        <w:autoSpaceDE w:val="0"/>
        <w:autoSpaceDN w:val="0"/>
        <w:bidi w:val="0"/>
        <w:adjustRightInd w:val="0"/>
        <w:snapToGrid/>
        <w:spacing w:line="48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0371-67919603   17320188903</w:t>
      </w:r>
      <w:r>
        <w:rPr>
          <w:rFonts w:hint="eastAsia" w:ascii="宋体" w:hAnsi="宋体" w:eastAsia="宋体" w:cs="宋体"/>
          <w:color w:val="auto"/>
          <w:sz w:val="21"/>
          <w:szCs w:val="21"/>
          <w:highlight w:val="none"/>
        </w:rPr>
        <w:t xml:space="preserve">  </w:t>
      </w:r>
    </w:p>
    <w:p>
      <w:pPr>
        <w:pStyle w:val="12"/>
        <w:spacing w:line="500" w:lineRule="exact"/>
        <w:ind w:firstLine="484" w:firstLineChars="200"/>
        <w:jc w:val="center"/>
        <w:rPr>
          <w:rFonts w:hint="eastAsia" w:ascii="宋体" w:hAnsi="宋体" w:eastAsia="宋体" w:cs="宋体"/>
          <w:b/>
          <w:sz w:val="36"/>
          <w:szCs w:val="36"/>
          <w:highlight w:val="none"/>
        </w:rPr>
      </w:pPr>
      <w:r>
        <w:rPr>
          <w:rFonts w:hint="eastAsia" w:ascii="宋体" w:hAnsi="宋体" w:eastAsia="宋体" w:cs="宋体"/>
          <w:b/>
          <w:highlight w:val="none"/>
        </w:rPr>
        <w:br w:type="page"/>
      </w:r>
      <w:r>
        <w:rPr>
          <w:rFonts w:hint="eastAsia" w:ascii="宋体" w:hAnsi="宋体" w:eastAsia="宋体" w:cs="宋体"/>
          <w:b/>
          <w:sz w:val="36"/>
          <w:szCs w:val="36"/>
          <w:highlight w:val="none"/>
        </w:rPr>
        <w:t>第二章  投标人须知</w:t>
      </w:r>
    </w:p>
    <w:p>
      <w:pPr>
        <w:pStyle w:val="3"/>
        <w:rPr>
          <w:rFonts w:hint="eastAsia" w:ascii="宋体" w:hAnsi="宋体" w:eastAsia="宋体" w:cs="宋体"/>
          <w:highlight w:val="none"/>
        </w:rPr>
      </w:pPr>
      <w:bookmarkStart w:id="9" w:name="_Toc8268"/>
      <w:bookmarkStart w:id="10" w:name="_Toc256363511"/>
      <w:r>
        <w:rPr>
          <w:rFonts w:hint="eastAsia" w:ascii="宋体" w:hAnsi="宋体" w:eastAsia="宋体" w:cs="宋体"/>
          <w:highlight w:val="none"/>
        </w:rPr>
        <w:t>投标人须知前附表</w:t>
      </w:r>
      <w:bookmarkEnd w:id="9"/>
      <w:bookmarkEnd w:id="10"/>
    </w:p>
    <w:tbl>
      <w:tblPr>
        <w:tblStyle w:val="34"/>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69"/>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条款号</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条款名称</w:t>
            </w:r>
          </w:p>
        </w:tc>
        <w:tc>
          <w:tcPr>
            <w:tcW w:w="649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1.1.2</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采购人</w:t>
            </w:r>
          </w:p>
        </w:tc>
        <w:tc>
          <w:tcPr>
            <w:tcW w:w="6494" w:type="dxa"/>
            <w:vAlign w:val="center"/>
          </w:tcPr>
          <w:p>
            <w:pPr>
              <w:pStyle w:val="51"/>
              <w:spacing w:line="360" w:lineRule="auto"/>
              <w:ind w:left="850" w:hanging="848" w:hangingChars="4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河南省锅炉压力容器检验技术科学研究院</w:t>
            </w:r>
          </w:p>
          <w:p>
            <w:pPr>
              <w:pStyle w:val="51"/>
              <w:spacing w:line="360" w:lineRule="auto"/>
              <w:ind w:left="850" w:hanging="848" w:hangingChars="4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河南省郑州市经济技术开发区经南一路70号</w:t>
            </w:r>
          </w:p>
          <w:p>
            <w:pPr>
              <w:pStyle w:val="51"/>
              <w:spacing w:line="360" w:lineRule="auto"/>
              <w:ind w:left="850" w:hanging="848" w:hangingChars="4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孙女士</w:t>
            </w:r>
          </w:p>
          <w:p>
            <w:pPr>
              <w:pStyle w:val="51"/>
              <w:spacing w:line="360" w:lineRule="auto"/>
              <w:ind w:left="850" w:hanging="848" w:hangingChars="4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联系方式：</w:t>
            </w:r>
            <w:r>
              <w:rPr>
                <w:rFonts w:hint="eastAsia" w:hAnsi="宋体" w:cs="宋体"/>
                <w:color w:val="auto"/>
                <w:sz w:val="21"/>
                <w:szCs w:val="21"/>
                <w:highlight w:val="none"/>
                <w:lang w:eastAsia="zh-CN"/>
              </w:rPr>
              <w:t>0371-89933627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1.1.3</w:t>
            </w:r>
          </w:p>
        </w:tc>
        <w:tc>
          <w:tcPr>
            <w:tcW w:w="1969" w:type="dxa"/>
            <w:vAlign w:val="center"/>
          </w:tcPr>
          <w:p>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采购代理机构</w:t>
            </w:r>
          </w:p>
        </w:tc>
        <w:tc>
          <w:tcPr>
            <w:tcW w:w="6494" w:type="dxa"/>
            <w:vAlign w:val="center"/>
          </w:tcPr>
          <w:p>
            <w:pPr>
              <w:pStyle w:val="51"/>
              <w:adjustRightInd/>
              <w:spacing w:line="360" w:lineRule="auto"/>
              <w:ind w:left="850" w:hanging="848" w:hangingChars="4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中鼎景宏工程管理有限公司</w:t>
            </w:r>
          </w:p>
          <w:p>
            <w:pPr>
              <w:pStyle w:val="51"/>
              <w:adjustRightInd/>
              <w:spacing w:line="360" w:lineRule="auto"/>
              <w:ind w:left="850" w:hanging="848" w:hangingChars="4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郑州市经开区经南三路华美龙大厦1号楼8楼</w:t>
            </w:r>
          </w:p>
          <w:p>
            <w:pPr>
              <w:pStyle w:val="51"/>
              <w:adjustRightInd/>
              <w:spacing w:line="360" w:lineRule="auto"/>
              <w:ind w:left="850" w:hanging="848" w:hangingChars="4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张玉杰</w:t>
            </w:r>
            <w:r>
              <w:rPr>
                <w:rFonts w:hint="eastAsia" w:ascii="宋体" w:hAnsi="宋体" w:eastAsia="宋体" w:cs="宋体"/>
                <w:color w:val="auto"/>
                <w:sz w:val="21"/>
                <w:szCs w:val="21"/>
                <w:highlight w:val="none"/>
                <w:lang w:val="en-US" w:eastAsia="zh-CN"/>
              </w:rPr>
              <w:t xml:space="preserve">  王超杰</w:t>
            </w:r>
          </w:p>
          <w:p>
            <w:pPr>
              <w:pStyle w:val="51"/>
              <w:adjustRightInd/>
              <w:spacing w:line="360" w:lineRule="auto"/>
              <w:ind w:left="850" w:hanging="848" w:hangingChars="4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eastAsia="zh-CN"/>
              </w:rPr>
              <w:t>0371-67919603   17320188903</w:t>
            </w:r>
          </w:p>
          <w:p>
            <w:pPr>
              <w:pStyle w:val="51"/>
              <w:adjustRightInd/>
              <w:spacing w:line="360" w:lineRule="auto"/>
              <w:ind w:left="850" w:hanging="848" w:hangingChars="4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邮  箱：</w:t>
            </w:r>
            <w:r>
              <w:rPr>
                <w:rFonts w:hint="eastAsia" w:ascii="宋体" w:hAnsi="宋体" w:eastAsia="宋体" w:cs="宋体"/>
                <w:color w:val="auto"/>
                <w:sz w:val="21"/>
                <w:szCs w:val="21"/>
                <w:highlight w:val="none"/>
                <w:lang w:eastAsia="zh-CN"/>
              </w:rPr>
              <w:t>zhongdingjinghong@163.com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1.1.4</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项目名称</w:t>
            </w:r>
          </w:p>
        </w:tc>
        <w:tc>
          <w:tcPr>
            <w:tcW w:w="6494" w:type="dxa"/>
            <w:vAlign w:val="center"/>
          </w:tcPr>
          <w:p>
            <w:pPr>
              <w:spacing w:line="400" w:lineRule="exact"/>
              <w:rPr>
                <w:rFonts w:hint="eastAsia" w:ascii="宋体" w:hAnsi="宋体" w:eastAsia="宋体" w:cs="宋体"/>
                <w:bCs/>
                <w:sz w:val="28"/>
                <w:szCs w:val="28"/>
                <w:highlight w:val="none"/>
                <w:lang w:eastAsia="zh-CN"/>
              </w:rPr>
            </w:pPr>
            <w:r>
              <w:rPr>
                <w:rFonts w:hint="eastAsia" w:ascii="宋体" w:hAnsi="宋体" w:eastAsia="宋体" w:cs="宋体"/>
                <w:highlight w:val="none"/>
                <w:lang w:eastAsia="zh-CN"/>
              </w:rPr>
              <w:t>河南省锅炉压力容器检验技术科学研究院2023年第三批检验检测设备采购项目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934" w:type="dxa"/>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1.1.5</w:t>
            </w:r>
          </w:p>
        </w:tc>
        <w:tc>
          <w:tcPr>
            <w:tcW w:w="1969" w:type="dxa"/>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设备品名和用途</w:t>
            </w:r>
          </w:p>
        </w:tc>
        <w:tc>
          <w:tcPr>
            <w:tcW w:w="6494" w:type="dxa"/>
            <w:vAlign w:val="center"/>
          </w:tcPr>
          <w:p>
            <w:pPr>
              <w:spacing w:line="400" w:lineRule="exact"/>
              <w:jc w:val="left"/>
              <w:rPr>
                <w:rFonts w:hint="eastAsia" w:ascii="宋体" w:hAnsi="宋体" w:eastAsia="宋体" w:cs="宋体"/>
                <w:szCs w:val="21"/>
                <w:highlight w:val="none"/>
              </w:rPr>
            </w:pPr>
            <w:r>
              <w:rPr>
                <w:rFonts w:hint="eastAsia" w:ascii="宋体" w:hAnsi="宋体" w:eastAsia="宋体" w:cs="宋体"/>
                <w:highlight w:val="none"/>
              </w:rPr>
              <w:t>具体内容见第</w:t>
            </w:r>
            <w:r>
              <w:rPr>
                <w:rFonts w:hint="eastAsia" w:ascii="宋体" w:hAnsi="宋体" w:eastAsia="宋体" w:cs="宋体"/>
                <w:highlight w:val="none"/>
                <w:lang w:val="en-US" w:eastAsia="zh-CN"/>
              </w:rPr>
              <w:t>七</w:t>
            </w:r>
            <w:r>
              <w:rPr>
                <w:rFonts w:hint="eastAsia" w:ascii="宋体" w:hAnsi="宋体" w:eastAsia="宋体" w:cs="宋体"/>
                <w:highlight w:val="none"/>
              </w:rPr>
              <w:t>章“货物需求及技术要求”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34" w:type="dxa"/>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1.1.6</w:t>
            </w:r>
          </w:p>
        </w:tc>
        <w:tc>
          <w:tcPr>
            <w:tcW w:w="1969" w:type="dxa"/>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rPr>
              <w:t>编号</w:t>
            </w:r>
          </w:p>
        </w:tc>
        <w:tc>
          <w:tcPr>
            <w:tcW w:w="6494" w:type="dxa"/>
            <w:vAlign w:val="center"/>
          </w:tcPr>
          <w:p>
            <w:pPr>
              <w:spacing w:line="400" w:lineRule="exact"/>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豫财招标采购-2023-1294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1.2.1</w:t>
            </w:r>
          </w:p>
        </w:tc>
        <w:tc>
          <w:tcPr>
            <w:tcW w:w="1969" w:type="dxa"/>
            <w:vAlign w:val="center"/>
          </w:tcPr>
          <w:p>
            <w:pPr>
              <w:spacing w:line="40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资金来源</w:t>
            </w:r>
          </w:p>
        </w:tc>
        <w:tc>
          <w:tcPr>
            <w:tcW w:w="6494" w:type="dxa"/>
            <w:vAlign w:val="center"/>
          </w:tcPr>
          <w:p>
            <w:pPr>
              <w:spacing w:line="400" w:lineRule="exact"/>
              <w:jc w:val="left"/>
              <w:rPr>
                <w:rFonts w:hint="eastAsia" w:ascii="宋体" w:hAnsi="宋体" w:eastAsia="宋体" w:cs="宋体"/>
                <w:highlight w:val="none"/>
                <w:lang w:val="en-US" w:eastAsia="zh-CN"/>
              </w:rPr>
            </w:pPr>
            <w:r>
              <w:rPr>
                <w:rFonts w:hint="eastAsia" w:ascii="宋体" w:hAnsi="宋体" w:eastAsia="宋体" w:cs="宋体"/>
                <w:highlight w:val="none"/>
              </w:rPr>
              <w:t>财政资金和自有资金</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1.2.2</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采购预算</w:t>
            </w:r>
          </w:p>
        </w:tc>
        <w:tc>
          <w:tcPr>
            <w:tcW w:w="6494" w:type="dxa"/>
            <w:vAlign w:val="center"/>
          </w:tcPr>
          <w:p>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包1：</w:t>
            </w:r>
            <w:r>
              <w:rPr>
                <w:rFonts w:hint="eastAsia" w:ascii="宋体" w:hAnsi="宋体" w:eastAsia="宋体" w:cs="宋体"/>
                <w:color w:val="auto"/>
                <w:szCs w:val="21"/>
                <w:highlight w:val="none"/>
                <w:lang w:val="en-US" w:eastAsia="zh-CN"/>
              </w:rPr>
              <w:t>42</w:t>
            </w:r>
            <w:r>
              <w:rPr>
                <w:rFonts w:hint="eastAsia" w:ascii="宋体" w:hAnsi="宋体" w:eastAsia="宋体" w:cs="宋体"/>
                <w:color w:val="auto"/>
                <w:szCs w:val="21"/>
                <w:highlight w:val="none"/>
                <w:lang w:eastAsia="zh-CN"/>
              </w:rPr>
              <w:t>0000.00</w:t>
            </w:r>
            <w:r>
              <w:rPr>
                <w:rFonts w:hint="eastAsia" w:ascii="宋体" w:hAnsi="宋体" w:eastAsia="宋体" w:cs="宋体"/>
                <w:color w:val="auto"/>
                <w:szCs w:val="21"/>
                <w:highlight w:val="none"/>
                <w:lang w:val="en-US" w:eastAsia="zh-CN"/>
              </w:rPr>
              <w:t>元</w:t>
            </w:r>
          </w:p>
          <w:p>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包</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870000.00元</w:t>
            </w:r>
          </w:p>
          <w:p>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包</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770000.00元</w:t>
            </w:r>
          </w:p>
          <w:p>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包</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480000.00元</w:t>
            </w:r>
          </w:p>
          <w:p>
            <w:pPr>
              <w:spacing w:line="400" w:lineRule="exact"/>
              <w:jc w:val="left"/>
              <w:rPr>
                <w:rFonts w:hint="eastAsia" w:ascii="宋体" w:hAnsi="宋体" w:eastAsia="宋体" w:cs="宋体"/>
                <w:highlight w:val="none"/>
                <w:lang w:val="en-US"/>
              </w:rPr>
            </w:pPr>
            <w:r>
              <w:rPr>
                <w:rFonts w:hint="eastAsia" w:ascii="宋体" w:hAnsi="宋体" w:eastAsia="宋体" w:cs="宋体"/>
                <w:color w:val="auto"/>
                <w:szCs w:val="21"/>
                <w:highlight w:val="none"/>
                <w:lang w:eastAsia="zh-CN"/>
              </w:rPr>
              <w:t>包</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410000.00元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1.2.3</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最高限价</w:t>
            </w:r>
          </w:p>
        </w:tc>
        <w:tc>
          <w:tcPr>
            <w:tcW w:w="6494" w:type="dxa"/>
            <w:vAlign w:val="center"/>
          </w:tcPr>
          <w:p>
            <w:pPr>
              <w:spacing w:line="400" w:lineRule="exact"/>
              <w:rPr>
                <w:rFonts w:hint="eastAsia" w:ascii="宋体" w:hAnsi="宋体" w:eastAsia="宋体" w:cs="宋体"/>
                <w:b/>
                <w:kern w:val="0"/>
                <w:szCs w:val="21"/>
                <w:highlight w:val="none"/>
                <w:lang w:eastAsia="zh-CN"/>
              </w:rPr>
            </w:pPr>
            <w:r>
              <w:rPr>
                <w:rFonts w:hint="eastAsia" w:ascii="宋体" w:hAnsi="宋体" w:eastAsia="宋体" w:cs="宋体"/>
                <w:b/>
                <w:kern w:val="0"/>
                <w:szCs w:val="21"/>
                <w:highlight w:val="none"/>
              </w:rPr>
              <w:t>包最高限价</w:t>
            </w:r>
            <w:r>
              <w:rPr>
                <w:rFonts w:hint="eastAsia" w:ascii="宋体" w:hAnsi="宋体" w:eastAsia="宋体" w:cs="宋体"/>
                <w:b/>
                <w:kern w:val="0"/>
                <w:szCs w:val="21"/>
                <w:highlight w:val="none"/>
                <w:lang w:eastAsia="zh-CN"/>
              </w:rPr>
              <w:t>：</w:t>
            </w:r>
          </w:p>
          <w:p>
            <w:pPr>
              <w:spacing w:line="400" w:lineRule="exact"/>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eastAsia="zh-CN"/>
              </w:rPr>
              <w:t>包1：</w:t>
            </w:r>
            <w:r>
              <w:rPr>
                <w:rFonts w:hint="eastAsia" w:ascii="宋体" w:hAnsi="宋体" w:eastAsia="宋体" w:cs="宋体"/>
                <w:b/>
                <w:bCs/>
                <w:color w:val="auto"/>
                <w:szCs w:val="21"/>
                <w:highlight w:val="none"/>
                <w:lang w:val="en-US" w:eastAsia="zh-CN"/>
              </w:rPr>
              <w:t>肆拾贰万元（￥42</w:t>
            </w:r>
            <w:r>
              <w:rPr>
                <w:rFonts w:hint="eastAsia" w:ascii="宋体" w:hAnsi="宋体" w:eastAsia="宋体" w:cs="宋体"/>
                <w:b/>
                <w:bCs/>
                <w:color w:val="auto"/>
                <w:szCs w:val="21"/>
                <w:highlight w:val="none"/>
                <w:lang w:eastAsia="zh-CN"/>
              </w:rPr>
              <w:t>0000.00</w:t>
            </w:r>
            <w:r>
              <w:rPr>
                <w:rFonts w:hint="eastAsia" w:ascii="宋体" w:hAnsi="宋体" w:eastAsia="宋体" w:cs="宋体"/>
                <w:b/>
                <w:bCs/>
                <w:color w:val="auto"/>
                <w:szCs w:val="21"/>
                <w:highlight w:val="none"/>
                <w:lang w:val="en-US" w:eastAsia="zh-CN"/>
              </w:rPr>
              <w:t>元）</w:t>
            </w:r>
          </w:p>
          <w:p>
            <w:pPr>
              <w:spacing w:line="400" w:lineRule="exact"/>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eastAsia="zh-CN"/>
              </w:rPr>
              <w:t>包</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捌拾柒万元（￥870000.00元）</w:t>
            </w:r>
          </w:p>
          <w:p>
            <w:pPr>
              <w:spacing w:line="400" w:lineRule="exact"/>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eastAsia="zh-CN"/>
              </w:rPr>
              <w:t>包</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柒拾柒万元（￥770000.00元）</w:t>
            </w:r>
          </w:p>
          <w:p>
            <w:pPr>
              <w:spacing w:line="400" w:lineRule="exact"/>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eastAsia="zh-CN"/>
              </w:rPr>
              <w:t>包</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肆拾捌万元（￥480000.00元）</w:t>
            </w:r>
          </w:p>
          <w:p>
            <w:pPr>
              <w:spacing w:line="400" w:lineRule="exact"/>
              <w:rPr>
                <w:rFonts w:hint="eastAsia" w:ascii="宋体" w:hAnsi="宋体" w:eastAsia="宋体" w:cs="宋体"/>
                <w:b/>
                <w:bCs/>
                <w:kern w:val="0"/>
                <w:szCs w:val="21"/>
                <w:highlight w:val="none"/>
              </w:rPr>
            </w:pPr>
            <w:r>
              <w:rPr>
                <w:rFonts w:hint="eastAsia" w:ascii="宋体" w:hAnsi="宋体" w:eastAsia="宋体" w:cs="宋体"/>
                <w:b/>
                <w:bCs/>
                <w:color w:val="auto"/>
                <w:szCs w:val="21"/>
                <w:highlight w:val="none"/>
                <w:lang w:eastAsia="zh-CN"/>
              </w:rPr>
              <w:t>包</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肆拾壹万元（￥410000.00元）</w:t>
            </w:r>
          </w:p>
          <w:p>
            <w:pPr>
              <w:spacing w:line="400" w:lineRule="exact"/>
              <w:rPr>
                <w:rFonts w:hint="eastAsia" w:ascii="宋体" w:hAnsi="宋体" w:eastAsia="宋体" w:cs="宋体"/>
                <w:highlight w:val="none"/>
              </w:rPr>
            </w:pPr>
            <w:r>
              <w:rPr>
                <w:rFonts w:hint="eastAsia" w:ascii="宋体" w:hAnsi="宋体" w:eastAsia="宋体" w:cs="宋体"/>
                <w:kern w:val="0"/>
                <w:szCs w:val="21"/>
                <w:highlight w:val="none"/>
              </w:rPr>
              <w:t>投标供应商报价超出最高限价的，按无效标处理。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2"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1.3.1</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采购内容</w:t>
            </w:r>
          </w:p>
        </w:tc>
        <w:tc>
          <w:tcPr>
            <w:tcW w:w="6494" w:type="dxa"/>
            <w:vAlign w:val="center"/>
          </w:tcPr>
          <w:tbl>
            <w:tblPr>
              <w:tblStyle w:val="34"/>
              <w:tblW w:w="6487" w:type="dxa"/>
              <w:tblInd w:w="-106" w:type="dxa"/>
              <w:tblLayout w:type="fixed"/>
              <w:tblCellMar>
                <w:top w:w="0" w:type="dxa"/>
                <w:left w:w="108" w:type="dxa"/>
                <w:bottom w:w="0" w:type="dxa"/>
                <w:right w:w="108" w:type="dxa"/>
              </w:tblCellMar>
            </w:tblPr>
            <w:tblGrid>
              <w:gridCol w:w="649"/>
              <w:gridCol w:w="3236"/>
              <w:gridCol w:w="902"/>
              <w:gridCol w:w="903"/>
              <w:gridCol w:w="797"/>
            </w:tblGrid>
            <w:tr>
              <w:tblPrEx>
                <w:tblCellMar>
                  <w:top w:w="0" w:type="dxa"/>
                  <w:left w:w="108" w:type="dxa"/>
                  <w:bottom w:w="0" w:type="dxa"/>
                  <w:right w:w="108" w:type="dxa"/>
                </w:tblCellMar>
              </w:tblPrEx>
              <w:trPr>
                <w:trHeight w:val="451"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包</w:t>
                  </w:r>
                  <w:r>
                    <w:rPr>
                      <w:rFonts w:hint="eastAsia" w:ascii="宋体" w:hAnsi="宋体" w:eastAsia="宋体" w:cs="宋体"/>
                      <w:color w:val="auto"/>
                      <w:szCs w:val="21"/>
                      <w:highlight w:val="none"/>
                    </w:rPr>
                    <w:t>号</w:t>
                  </w:r>
                </w:p>
              </w:tc>
              <w:tc>
                <w:tcPr>
                  <w:tcW w:w="2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en-US" w:eastAsia="zh-CN"/>
                    </w:rPr>
                    <w:t>设备</w:t>
                  </w:r>
                  <w:r>
                    <w:rPr>
                      <w:rFonts w:hint="eastAsia" w:ascii="宋体" w:hAnsi="宋体" w:eastAsia="宋体" w:cs="宋体"/>
                      <w:color w:val="auto"/>
                      <w:szCs w:val="21"/>
                      <w:highlight w:val="none"/>
                    </w:rPr>
                    <w:t>名称</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是否可投进口产品</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计量单位</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r>
            <w:tr>
              <w:tblPrEx>
                <w:tblCellMar>
                  <w:top w:w="0" w:type="dxa"/>
                  <w:left w:w="108" w:type="dxa"/>
                  <w:bottom w:w="0" w:type="dxa"/>
                  <w:right w:w="108" w:type="dxa"/>
                </w:tblCellMar>
              </w:tblPrEx>
              <w:trPr>
                <w:trHeight w:val="475" w:hRule="atLeast"/>
              </w:trPr>
              <w:tc>
                <w:tcPr>
                  <w:tcW w:w="500" w:type="pct"/>
                  <w:vMerge w:val="restart"/>
                  <w:tcBorders>
                    <w:top w:val="single" w:color="000000" w:sz="4" w:space="0"/>
                    <w:left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包</w:t>
                  </w:r>
                  <w:r>
                    <w:rPr>
                      <w:rFonts w:hint="eastAsia" w:ascii="宋体" w:hAnsi="宋体" w:eastAsia="宋体" w:cs="宋体"/>
                      <w:color w:val="auto"/>
                      <w:szCs w:val="21"/>
                      <w:highlight w:val="none"/>
                    </w:rPr>
                    <w:t>1</w:t>
                  </w:r>
                </w:p>
              </w:tc>
              <w:tc>
                <w:tcPr>
                  <w:tcW w:w="2494"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立式燃油（气）锅炉考培模拟机</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否</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tblPrEx>
                <w:tblCellMar>
                  <w:top w:w="0" w:type="dxa"/>
                  <w:left w:w="108" w:type="dxa"/>
                  <w:bottom w:w="0" w:type="dxa"/>
                  <w:right w:w="108" w:type="dxa"/>
                </w:tblCellMar>
              </w:tblPrEx>
              <w:trPr>
                <w:trHeight w:val="90" w:hRule="atLeast"/>
              </w:trPr>
              <w:tc>
                <w:tcPr>
                  <w:tcW w:w="500" w:type="pct"/>
                  <w:vMerge w:val="continue"/>
                  <w:tcBorders>
                    <w:left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eastAsia="zh-CN"/>
                    </w:rPr>
                  </w:pPr>
                </w:p>
              </w:tc>
              <w:tc>
                <w:tcPr>
                  <w:tcW w:w="2494"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卧式燃油（气）锅炉考培模拟机</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否</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台</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r>
            <w:tr>
              <w:tblPrEx>
                <w:tblCellMar>
                  <w:top w:w="0" w:type="dxa"/>
                  <w:left w:w="108" w:type="dxa"/>
                  <w:bottom w:w="0" w:type="dxa"/>
                  <w:right w:w="108" w:type="dxa"/>
                </w:tblCellMar>
              </w:tblPrEx>
              <w:trPr>
                <w:trHeight w:val="90" w:hRule="atLeast"/>
              </w:trPr>
              <w:tc>
                <w:tcPr>
                  <w:tcW w:w="500" w:type="pct"/>
                  <w:vMerge w:val="continue"/>
                  <w:tcBorders>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val="en-US" w:eastAsia="zh-CN"/>
                    </w:rPr>
                  </w:pPr>
                </w:p>
              </w:tc>
              <w:tc>
                <w:tcPr>
                  <w:tcW w:w="2494"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燃油（气）有机热载体锅炉考培模拟机</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否</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台</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r>
            <w:tr>
              <w:tblPrEx>
                <w:tblCellMar>
                  <w:top w:w="0" w:type="dxa"/>
                  <w:left w:w="108" w:type="dxa"/>
                  <w:bottom w:w="0" w:type="dxa"/>
                  <w:right w:w="108" w:type="dxa"/>
                </w:tblCellMar>
              </w:tblPrEx>
              <w:trPr>
                <w:trHeight w:val="90" w:hRule="atLeast"/>
              </w:trPr>
              <w:tc>
                <w:tcPr>
                  <w:tcW w:w="500" w:type="pct"/>
                  <w:vMerge w:val="restart"/>
                  <w:tcBorders>
                    <w:top w:val="single" w:color="000000" w:sz="4" w:space="0"/>
                    <w:left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包2</w:t>
                  </w:r>
                </w:p>
              </w:tc>
              <w:tc>
                <w:tcPr>
                  <w:tcW w:w="2494"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快开门式压力容器(灭菌器)考培模拟机</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否</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台</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r>
            <w:tr>
              <w:tblPrEx>
                <w:tblCellMar>
                  <w:top w:w="0" w:type="dxa"/>
                  <w:left w:w="108" w:type="dxa"/>
                  <w:bottom w:w="0" w:type="dxa"/>
                  <w:right w:w="108" w:type="dxa"/>
                </w:tblCellMar>
              </w:tblPrEx>
              <w:trPr>
                <w:trHeight w:val="90" w:hRule="atLeast"/>
              </w:trPr>
              <w:tc>
                <w:tcPr>
                  <w:tcW w:w="500" w:type="pct"/>
                  <w:vMerge w:val="continue"/>
                  <w:tcBorders>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val="en-US" w:eastAsia="zh-CN"/>
                    </w:rPr>
                  </w:pPr>
                </w:p>
              </w:tc>
              <w:tc>
                <w:tcPr>
                  <w:tcW w:w="2494"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快开门式压力容器(蒸压釜)考培模拟机</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否</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台</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r>
            <w:tr>
              <w:tblPrEx>
                <w:tblCellMar>
                  <w:top w:w="0" w:type="dxa"/>
                  <w:left w:w="108" w:type="dxa"/>
                  <w:bottom w:w="0" w:type="dxa"/>
                  <w:right w:w="108" w:type="dxa"/>
                </w:tblCellMar>
              </w:tblPrEx>
              <w:trPr>
                <w:trHeight w:val="90" w:hRule="atLeast"/>
              </w:trPr>
              <w:tc>
                <w:tcPr>
                  <w:tcW w:w="500" w:type="pct"/>
                  <w:vMerge w:val="restart"/>
                  <w:tcBorders>
                    <w:top w:val="single" w:color="000000" w:sz="4" w:space="0"/>
                    <w:left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包3</w:t>
                  </w:r>
                </w:p>
              </w:tc>
              <w:tc>
                <w:tcPr>
                  <w:tcW w:w="2494"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移动式压力容器（LNG槽车)考培模拟机</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否</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台</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r>
            <w:tr>
              <w:tblPrEx>
                <w:tblCellMar>
                  <w:top w:w="0" w:type="dxa"/>
                  <w:left w:w="108" w:type="dxa"/>
                  <w:bottom w:w="0" w:type="dxa"/>
                  <w:right w:w="108" w:type="dxa"/>
                </w:tblCellMar>
              </w:tblPrEx>
              <w:trPr>
                <w:trHeight w:val="90" w:hRule="atLeast"/>
              </w:trPr>
              <w:tc>
                <w:tcPr>
                  <w:tcW w:w="500" w:type="pct"/>
                  <w:vMerge w:val="continue"/>
                  <w:tcBorders>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val="en-US" w:eastAsia="zh-CN"/>
                    </w:rPr>
                  </w:pPr>
                </w:p>
              </w:tc>
              <w:tc>
                <w:tcPr>
                  <w:tcW w:w="2494"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移动式压力容器（LPG槽车)考培模拟机</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否</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台</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r>
            <w:tr>
              <w:tblPrEx>
                <w:tblCellMar>
                  <w:top w:w="0" w:type="dxa"/>
                  <w:left w:w="108" w:type="dxa"/>
                  <w:bottom w:w="0" w:type="dxa"/>
                  <w:right w:w="108" w:type="dxa"/>
                </w:tblCellMar>
              </w:tblPrEx>
              <w:trPr>
                <w:trHeight w:val="90" w:hRule="atLeast"/>
              </w:trPr>
              <w:tc>
                <w:tcPr>
                  <w:tcW w:w="500" w:type="pct"/>
                  <w:vMerge w:val="restart"/>
                  <w:tcBorders>
                    <w:top w:val="single" w:color="000000" w:sz="4" w:space="0"/>
                    <w:left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包4</w:t>
                  </w:r>
                </w:p>
              </w:tc>
              <w:tc>
                <w:tcPr>
                  <w:tcW w:w="2494"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液化石油气气瓶充装考培模拟机</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否</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台</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r>
            <w:tr>
              <w:tblPrEx>
                <w:tblCellMar>
                  <w:top w:w="0" w:type="dxa"/>
                  <w:left w:w="108" w:type="dxa"/>
                  <w:bottom w:w="0" w:type="dxa"/>
                  <w:right w:w="108" w:type="dxa"/>
                </w:tblCellMar>
              </w:tblPrEx>
              <w:trPr>
                <w:trHeight w:val="90" w:hRule="atLeast"/>
              </w:trPr>
              <w:tc>
                <w:tcPr>
                  <w:tcW w:w="500" w:type="pct"/>
                  <w:vMerge w:val="continue"/>
                  <w:tcBorders>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val="en-US" w:eastAsia="zh-CN"/>
                    </w:rPr>
                  </w:pPr>
                </w:p>
              </w:tc>
              <w:tc>
                <w:tcPr>
                  <w:tcW w:w="2494"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永久气体气瓶充装考培模拟机</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否</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台</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r>
            <w:tr>
              <w:tblPrEx>
                <w:tblCellMar>
                  <w:top w:w="0" w:type="dxa"/>
                  <w:left w:w="108" w:type="dxa"/>
                  <w:bottom w:w="0" w:type="dxa"/>
                  <w:right w:w="108" w:type="dxa"/>
                </w:tblCellMar>
              </w:tblPrEx>
              <w:trPr>
                <w:trHeight w:val="90" w:hRule="atLeast"/>
              </w:trPr>
              <w:tc>
                <w:tcPr>
                  <w:tcW w:w="500"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包5</w:t>
                  </w:r>
                </w:p>
              </w:tc>
              <w:tc>
                <w:tcPr>
                  <w:tcW w:w="2494"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气瓶充装考培模拟机组</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否</w:t>
                  </w:r>
                </w:p>
              </w:tc>
              <w:tc>
                <w:tcPr>
                  <w:tcW w:w="696"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台</w:t>
                  </w:r>
                </w:p>
              </w:tc>
              <w:tc>
                <w:tcPr>
                  <w:tcW w:w="614"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r>
          </w:tbl>
          <w:p>
            <w:pPr>
              <w:spacing w:line="400" w:lineRule="exact"/>
              <w:rPr>
                <w:rFonts w:hint="eastAsia" w:ascii="宋体" w:hAnsi="宋体" w:eastAsia="宋体" w:cs="宋体"/>
                <w:kern w:val="0"/>
                <w:szCs w:val="21"/>
                <w:highlight w:val="none"/>
              </w:rPr>
            </w:pPr>
            <w:r>
              <w:rPr>
                <w:rFonts w:hint="eastAsia" w:ascii="宋体" w:hAnsi="宋体" w:eastAsia="宋体" w:cs="宋体"/>
                <w:color w:val="auto"/>
                <w:szCs w:val="21"/>
                <w:highlight w:val="none"/>
              </w:rPr>
              <w:t>注：包括但不限于</w:t>
            </w:r>
            <w:r>
              <w:rPr>
                <w:rFonts w:hint="eastAsia" w:ascii="宋体" w:hAnsi="宋体" w:eastAsia="宋体" w:cs="宋体"/>
                <w:color w:val="000000"/>
                <w:kern w:val="0"/>
                <w:sz w:val="21"/>
                <w:szCs w:val="21"/>
                <w:highlight w:val="none"/>
                <w:lang w:eastAsia="zh-CN"/>
              </w:rPr>
              <w:t>设备的采购、供货、运输、保险、装卸、安装、检测、调试、试运行、验收交付、培训、技术支持、软件升级、售后服务及相关伴随服务等</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34" w:type="dxa"/>
            <w:vAlign w:val="center"/>
          </w:tcPr>
          <w:p>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rPr>
              <w:t>1.3.</w:t>
            </w:r>
            <w:r>
              <w:rPr>
                <w:rFonts w:hint="eastAsia" w:ascii="宋体" w:hAnsi="宋体" w:eastAsia="宋体" w:cs="宋体"/>
                <w:highlight w:val="none"/>
                <w:lang w:val="en-US" w:eastAsia="zh-CN"/>
              </w:rPr>
              <w:t>2</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质量要求</w:t>
            </w:r>
          </w:p>
        </w:tc>
        <w:tc>
          <w:tcPr>
            <w:tcW w:w="6494" w:type="dxa"/>
            <w:vAlign w:val="center"/>
          </w:tcPr>
          <w:p>
            <w:pPr>
              <w:spacing w:line="400" w:lineRule="exact"/>
              <w:rPr>
                <w:rFonts w:hint="eastAsia" w:ascii="宋体" w:hAnsi="宋体" w:eastAsia="宋体" w:cs="宋体"/>
                <w:kern w:val="0"/>
                <w:szCs w:val="21"/>
                <w:highlight w:val="none"/>
              </w:rPr>
            </w:pPr>
            <w:r>
              <w:rPr>
                <w:rFonts w:hint="eastAsia" w:ascii="宋体" w:hAnsi="宋体" w:eastAsia="宋体" w:cs="宋体"/>
                <w:highlight w:val="none"/>
                <w:lang w:eastAsia="zh-CN"/>
              </w:rPr>
              <w:t>符合国家相关行业合格标准且满足采购人需求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34" w:type="dxa"/>
            <w:vAlign w:val="center"/>
          </w:tcPr>
          <w:p>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rPr>
              <w:t>1.3.</w:t>
            </w:r>
            <w:r>
              <w:rPr>
                <w:rFonts w:hint="eastAsia" w:ascii="宋体" w:hAnsi="宋体" w:eastAsia="宋体" w:cs="宋体"/>
                <w:highlight w:val="none"/>
                <w:lang w:val="en-US" w:eastAsia="zh-CN"/>
              </w:rPr>
              <w:t>3</w:t>
            </w:r>
          </w:p>
        </w:tc>
        <w:tc>
          <w:tcPr>
            <w:tcW w:w="1969" w:type="dxa"/>
            <w:vAlign w:val="center"/>
          </w:tcPr>
          <w:p>
            <w:pPr>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交货期</w:t>
            </w:r>
          </w:p>
        </w:tc>
        <w:tc>
          <w:tcPr>
            <w:tcW w:w="6494" w:type="dxa"/>
            <w:vAlign w:val="center"/>
          </w:tcPr>
          <w:p>
            <w:pPr>
              <w:spacing w:line="400" w:lineRule="exact"/>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合同签订后30日历天内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34" w:type="dxa"/>
            <w:vAlign w:val="center"/>
          </w:tcPr>
          <w:p>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rPr>
              <w:t>1.3.</w:t>
            </w:r>
            <w:r>
              <w:rPr>
                <w:rFonts w:hint="eastAsia" w:ascii="宋体" w:hAnsi="宋体" w:eastAsia="宋体" w:cs="宋体"/>
                <w:highlight w:val="none"/>
                <w:lang w:val="en-US" w:eastAsia="zh-CN"/>
              </w:rPr>
              <w:t>4</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kern w:val="0"/>
                <w:szCs w:val="21"/>
                <w:highlight w:val="none"/>
              </w:rPr>
              <w:t>交货地点</w:t>
            </w:r>
          </w:p>
        </w:tc>
        <w:tc>
          <w:tcPr>
            <w:tcW w:w="6494" w:type="dxa"/>
            <w:vAlign w:val="center"/>
          </w:tcPr>
          <w:p>
            <w:pPr>
              <w:spacing w:line="400" w:lineRule="exact"/>
              <w:rPr>
                <w:rFonts w:hint="eastAsia" w:ascii="宋体" w:hAnsi="宋体" w:eastAsia="宋体" w:cs="宋体"/>
                <w:highlight w:val="none"/>
              </w:rPr>
            </w:pPr>
            <w:r>
              <w:rPr>
                <w:rFonts w:hint="eastAsia" w:ascii="宋体" w:hAnsi="宋体" w:eastAsia="宋体" w:cs="宋体"/>
                <w:kern w:val="0"/>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34" w:type="dxa"/>
            <w:vAlign w:val="center"/>
          </w:tcPr>
          <w:p>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rPr>
              <w:t>1.3.</w:t>
            </w:r>
            <w:r>
              <w:rPr>
                <w:rFonts w:hint="eastAsia" w:ascii="宋体" w:hAnsi="宋体" w:eastAsia="宋体" w:cs="宋体"/>
                <w:highlight w:val="none"/>
                <w:lang w:val="en-US" w:eastAsia="zh-CN"/>
              </w:rPr>
              <w:t>5</w:t>
            </w:r>
          </w:p>
        </w:tc>
        <w:tc>
          <w:tcPr>
            <w:tcW w:w="1969" w:type="dxa"/>
            <w:vAlign w:val="center"/>
          </w:tcPr>
          <w:p>
            <w:pPr>
              <w:spacing w:line="40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验收标准</w:t>
            </w:r>
          </w:p>
        </w:tc>
        <w:tc>
          <w:tcPr>
            <w:tcW w:w="6494" w:type="dxa"/>
            <w:vAlign w:val="center"/>
          </w:tcPr>
          <w:p>
            <w:pPr>
              <w:spacing w:line="400" w:lineRule="exact"/>
              <w:rPr>
                <w:rFonts w:hint="eastAsia" w:ascii="宋体" w:hAnsi="宋体" w:eastAsia="宋体" w:cs="宋体"/>
                <w:highlight w:val="none"/>
                <w:lang w:eastAsia="zh-CN"/>
              </w:rPr>
            </w:pPr>
            <w:r>
              <w:rPr>
                <w:rFonts w:hint="eastAsia" w:ascii="宋体" w:hAnsi="宋体" w:eastAsia="宋体" w:cs="宋体"/>
                <w:color w:val="000000"/>
                <w:kern w:val="0"/>
                <w:sz w:val="21"/>
                <w:szCs w:val="21"/>
                <w:highlight w:val="none"/>
                <w:lang w:eastAsia="zh-CN"/>
              </w:rPr>
              <w:t>满足采购人的验收标准及要求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34" w:type="dxa"/>
            <w:vAlign w:val="center"/>
          </w:tcPr>
          <w:p>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rPr>
              <w:t>1.3.</w:t>
            </w:r>
            <w:r>
              <w:rPr>
                <w:rFonts w:hint="eastAsia" w:ascii="宋体" w:hAnsi="宋体" w:eastAsia="宋体" w:cs="宋体"/>
                <w:highlight w:val="none"/>
                <w:lang w:val="en-US" w:eastAsia="zh-CN"/>
              </w:rPr>
              <w:t>6</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质保期</w:t>
            </w:r>
          </w:p>
        </w:tc>
        <w:tc>
          <w:tcPr>
            <w:tcW w:w="6494" w:type="dxa"/>
            <w:vAlign w:val="center"/>
          </w:tcPr>
          <w:p>
            <w:pPr>
              <w:spacing w:line="400" w:lineRule="exact"/>
              <w:rPr>
                <w:rFonts w:hint="eastAsia" w:ascii="宋体" w:hAnsi="宋体" w:eastAsia="宋体" w:cs="宋体"/>
                <w:highlight w:val="none"/>
                <w:lang w:eastAsia="zh-CN"/>
              </w:rPr>
            </w:pPr>
            <w:r>
              <w:rPr>
                <w:rFonts w:hint="eastAsia" w:ascii="宋体" w:hAnsi="宋体" w:eastAsia="宋体" w:cs="宋体"/>
                <w:kern w:val="0"/>
                <w:szCs w:val="21"/>
                <w:highlight w:val="none"/>
                <w:lang w:eastAsia="zh-CN"/>
              </w:rPr>
              <w:t>自验收合格之日一年，技术参数中有特殊规定的按其规定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1.4.1</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投标供应商资质条件、能力和信誉</w:t>
            </w:r>
          </w:p>
        </w:tc>
        <w:tc>
          <w:tcPr>
            <w:tcW w:w="6494" w:type="dxa"/>
            <w:vAlign w:val="center"/>
          </w:tcPr>
          <w:p>
            <w:pPr>
              <w:spacing w:line="400" w:lineRule="exact"/>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1</w:t>
            </w:r>
            <w:r>
              <w:rPr>
                <w:rFonts w:hint="eastAsia" w:ascii="宋体" w:hAnsi="宋体" w:eastAsia="宋体" w:cs="宋体"/>
                <w:bCs/>
                <w:color w:val="000000"/>
                <w:kern w:val="0"/>
                <w:szCs w:val="21"/>
                <w:highlight w:val="none"/>
                <w:lang w:eastAsia="zh-CN"/>
              </w:rPr>
              <w:t>、</w:t>
            </w:r>
            <w:r>
              <w:rPr>
                <w:rFonts w:hint="eastAsia" w:ascii="宋体" w:hAnsi="宋体" w:eastAsia="宋体" w:cs="宋体"/>
                <w:bCs/>
                <w:color w:val="000000"/>
                <w:kern w:val="0"/>
                <w:szCs w:val="21"/>
                <w:highlight w:val="none"/>
                <w:lang w:val="en-US" w:eastAsia="zh-CN"/>
              </w:rPr>
              <w:t>符合《中华人民共和国政府采购法》第二十二条规定</w:t>
            </w:r>
          </w:p>
          <w:p>
            <w:pPr>
              <w:spacing w:line="400" w:lineRule="exact"/>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lang w:val="en-US" w:eastAsia="zh-CN"/>
              </w:rPr>
              <w:t>（1）</w:t>
            </w:r>
            <w:r>
              <w:rPr>
                <w:rFonts w:hint="eastAsia" w:ascii="宋体" w:hAnsi="宋体" w:eastAsia="宋体" w:cs="宋体"/>
                <w:bCs/>
                <w:color w:val="000000"/>
                <w:kern w:val="0"/>
                <w:szCs w:val="21"/>
                <w:highlight w:val="none"/>
              </w:rPr>
              <w:t>具有独立承担民事责任的能力</w:t>
            </w:r>
            <w:r>
              <w:rPr>
                <w:rFonts w:hint="eastAsia" w:ascii="宋体" w:hAnsi="宋体" w:eastAsia="宋体" w:cs="宋体"/>
                <w:bCs/>
                <w:color w:val="000000"/>
                <w:kern w:val="0"/>
                <w:szCs w:val="21"/>
                <w:highlight w:val="none"/>
                <w:lang w:eastAsia="zh-CN"/>
              </w:rPr>
              <w:t>：提供有效的法人或者其他组织的营业执照等证明文件</w:t>
            </w:r>
            <w:r>
              <w:rPr>
                <w:rFonts w:hint="eastAsia" w:ascii="宋体" w:hAnsi="宋体" w:eastAsia="宋体" w:cs="宋体"/>
                <w:bCs/>
                <w:color w:val="000000"/>
                <w:kern w:val="0"/>
                <w:szCs w:val="21"/>
                <w:highlight w:val="none"/>
              </w:rPr>
              <w:t>；</w:t>
            </w:r>
          </w:p>
          <w:p>
            <w:pPr>
              <w:spacing w:line="400" w:lineRule="exact"/>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lang w:val="en-US" w:eastAsia="zh-CN"/>
              </w:rPr>
              <w:t>（2）</w:t>
            </w:r>
            <w:r>
              <w:rPr>
                <w:rFonts w:hint="eastAsia" w:ascii="宋体" w:hAnsi="宋体" w:eastAsia="宋体" w:cs="宋体"/>
                <w:bCs/>
                <w:color w:val="000000"/>
                <w:kern w:val="0"/>
                <w:szCs w:val="21"/>
                <w:highlight w:val="none"/>
              </w:rPr>
              <w:t>具有健全的财务制度</w:t>
            </w:r>
            <w:r>
              <w:rPr>
                <w:rFonts w:hint="eastAsia" w:ascii="宋体" w:hAnsi="宋体" w:eastAsia="宋体" w:cs="宋体"/>
                <w:bCs/>
                <w:color w:val="000000"/>
                <w:kern w:val="0"/>
                <w:szCs w:val="21"/>
                <w:highlight w:val="none"/>
                <w:lang w:eastAsia="zh-CN"/>
              </w:rPr>
              <w:t>：提供2022年度经第三方会计师事务所或审计机构出具的财务审计报告，成立不足一年的按实际提供，或提供银行出具的资信证明</w:t>
            </w:r>
            <w:r>
              <w:rPr>
                <w:rFonts w:hint="eastAsia" w:ascii="宋体" w:hAnsi="宋体" w:eastAsia="宋体" w:cs="宋体"/>
                <w:bCs/>
                <w:color w:val="000000"/>
                <w:kern w:val="0"/>
                <w:szCs w:val="21"/>
                <w:highlight w:val="none"/>
              </w:rPr>
              <w:t>；</w:t>
            </w:r>
          </w:p>
          <w:p>
            <w:pPr>
              <w:spacing w:line="400" w:lineRule="exact"/>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lang w:val="en-US" w:eastAsia="zh-CN"/>
              </w:rPr>
              <w:t>（3）</w:t>
            </w:r>
            <w:r>
              <w:rPr>
                <w:rFonts w:hint="eastAsia" w:ascii="宋体" w:hAnsi="宋体" w:eastAsia="宋体" w:cs="宋体"/>
                <w:bCs/>
                <w:color w:val="000000"/>
                <w:kern w:val="0"/>
                <w:szCs w:val="21"/>
                <w:highlight w:val="none"/>
                <w:lang w:eastAsia="zh-CN"/>
              </w:rPr>
              <w:t>具有依法缴纳税收和社会保障资金的良好记录：提供</w:t>
            </w:r>
            <w:r>
              <w:rPr>
                <w:rFonts w:hint="eastAsia" w:ascii="宋体" w:hAnsi="宋体" w:eastAsia="宋体" w:cs="宋体"/>
                <w:bCs/>
                <w:color w:val="000000"/>
                <w:kern w:val="0"/>
                <w:szCs w:val="21"/>
                <w:highlight w:val="none"/>
              </w:rPr>
              <w:t>202</w:t>
            </w:r>
            <w:r>
              <w:rPr>
                <w:rFonts w:hint="eastAsia" w:ascii="宋体" w:hAnsi="宋体" w:eastAsia="宋体" w:cs="宋体"/>
                <w:bCs/>
                <w:color w:val="000000"/>
                <w:kern w:val="0"/>
                <w:szCs w:val="21"/>
                <w:highlight w:val="none"/>
                <w:lang w:val="en-US" w:eastAsia="zh-CN"/>
              </w:rPr>
              <w:t>3</w:t>
            </w:r>
            <w:r>
              <w:rPr>
                <w:rFonts w:hint="eastAsia" w:ascii="宋体" w:hAnsi="宋体" w:eastAsia="宋体" w:cs="宋体"/>
                <w:bCs/>
                <w:color w:val="000000"/>
                <w:kern w:val="0"/>
                <w:szCs w:val="21"/>
                <w:highlight w:val="none"/>
              </w:rPr>
              <w:t>年1月1日以来至少一个月的依法缴纳税收和社会保障资金的相关证明；</w:t>
            </w:r>
          </w:p>
          <w:p>
            <w:pPr>
              <w:spacing w:line="400" w:lineRule="exact"/>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lang w:val="en-US" w:eastAsia="zh-CN"/>
              </w:rPr>
              <w:t>（4）</w:t>
            </w:r>
            <w:r>
              <w:rPr>
                <w:rFonts w:hint="eastAsia" w:ascii="宋体" w:hAnsi="宋体" w:eastAsia="宋体" w:cs="宋体"/>
                <w:bCs/>
                <w:color w:val="000000"/>
                <w:kern w:val="0"/>
                <w:szCs w:val="21"/>
                <w:highlight w:val="none"/>
                <w:lang w:eastAsia="zh-CN"/>
              </w:rPr>
              <w:t>具有履行合同所必需的设备和专业技术能力：提供可充分满足履行合同所需设备和专业技术能力的证明材料或出具书面承诺（加盖单位公章）</w:t>
            </w:r>
            <w:r>
              <w:rPr>
                <w:rFonts w:hint="eastAsia" w:ascii="宋体" w:hAnsi="宋体" w:eastAsia="宋体" w:cs="宋体"/>
                <w:bCs/>
                <w:color w:val="000000"/>
                <w:kern w:val="0"/>
                <w:szCs w:val="21"/>
                <w:highlight w:val="none"/>
              </w:rPr>
              <w:t>；</w:t>
            </w:r>
          </w:p>
          <w:p>
            <w:pPr>
              <w:spacing w:line="400" w:lineRule="exact"/>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lang w:val="en-US" w:eastAsia="zh-CN"/>
              </w:rPr>
              <w:t>（5）</w:t>
            </w:r>
            <w:r>
              <w:rPr>
                <w:rFonts w:hint="eastAsia" w:ascii="宋体" w:hAnsi="宋体" w:eastAsia="宋体" w:cs="宋体"/>
                <w:bCs/>
                <w:color w:val="000000"/>
                <w:kern w:val="0"/>
                <w:szCs w:val="21"/>
                <w:highlight w:val="none"/>
              </w:rPr>
              <w:t>具有良好的商业信誉，在参加本次政府采购活动前三年内，在经营活动中没有重大违法记录的书面声明或证明材料，提供声明函；</w:t>
            </w:r>
          </w:p>
          <w:p>
            <w:pPr>
              <w:spacing w:line="400" w:lineRule="exact"/>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lang w:val="en-US" w:eastAsia="zh-CN"/>
              </w:rPr>
              <w:t>2、信誉要求：</w:t>
            </w:r>
            <w:r>
              <w:rPr>
                <w:rFonts w:hint="eastAsia" w:ascii="宋体" w:hAnsi="宋体" w:eastAsia="宋体" w:cs="宋体"/>
                <w:bCs/>
                <w:color w:val="000000"/>
                <w:kern w:val="0"/>
                <w:szCs w:val="21"/>
                <w:highlight w:val="none"/>
              </w:rPr>
              <w:t>根据《关于在政府采购活动中查询及使用信用记录有关问题的通知》(财库[2016]125号)的规定，对列入失信被执行人、重大税收违法失信主体、政府采购严重违法失信行为记录名单的供应商，拒绝参与本项目政府采购活动；采购人或代理机构查询渠道：通过“信用中国”网站（http://www.creditchina.gov.cn/）“信用服务”→“失信被执行人”→跳转至“中国执行信息公开网（http://zxgk.court.gov.cn/shixin/）”查询企业，通过“信用中国”网站（http://www.creditchina.gov.cn/）“信用服务”→“重大税收违法失信主体”查询企业，通过“中国政府采购网”网站（www.ccgp.gov.cn）中查询“政府采购严重违法（资格审查时，由采购人或采购代理机构查询，查询结果截图随采购文件存档，并以此次查询结果为准，其他均不作评审依据）；</w:t>
            </w:r>
          </w:p>
          <w:p>
            <w:pPr>
              <w:spacing w:line="400" w:lineRule="exact"/>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lang w:val="en-US" w:eastAsia="zh-CN"/>
              </w:rPr>
              <w:t>3、其他要求：</w:t>
            </w:r>
            <w:r>
              <w:rPr>
                <w:rFonts w:hint="eastAsia" w:ascii="宋体" w:hAnsi="宋体" w:eastAsia="宋体" w:cs="宋体"/>
                <w:bCs/>
                <w:color w:val="000000"/>
                <w:kern w:val="0"/>
                <w:szCs w:val="21"/>
                <w:highlight w:val="none"/>
              </w:rPr>
              <w:t>单位负责人为同一人或者存在直接控股、管理关系的不同供应商（投标人），不得参加同一合同项下的政府采购活动。</w:t>
            </w:r>
            <w:r>
              <w:rPr>
                <w:rFonts w:hint="eastAsia" w:ascii="宋体" w:hAnsi="宋体" w:eastAsia="宋体" w:cs="宋体"/>
                <w:bCs/>
                <w:color w:val="000000"/>
                <w:kern w:val="0"/>
                <w:szCs w:val="21"/>
                <w:highlight w:val="none"/>
                <w:lang w:eastAsia="zh-CN"/>
              </w:rPr>
              <w:t>【提供“国家企业信用信息公示系统”中查询打印的相关材料（需包含公司基础信息、股东及出资信息)；非企业性质的供应商无法在该公示系统查询的，则针对此项做出书面承诺，格式自拟并加盖公章】。</w:t>
            </w:r>
          </w:p>
          <w:p>
            <w:pPr>
              <w:spacing w:line="400" w:lineRule="exact"/>
              <w:rPr>
                <w:rFonts w:hint="eastAsia" w:ascii="宋体" w:hAnsi="宋体" w:eastAsia="宋体" w:cs="宋体"/>
                <w:bCs/>
                <w:color w:val="000000"/>
                <w:kern w:val="0"/>
                <w:szCs w:val="21"/>
                <w:highlight w:val="none"/>
              </w:rPr>
            </w:pPr>
          </w:p>
          <w:p>
            <w:pPr>
              <w:spacing w:line="400" w:lineRule="exact"/>
              <w:rPr>
                <w:rFonts w:hint="eastAsia" w:ascii="宋体" w:hAnsi="宋体" w:eastAsia="宋体" w:cs="宋体"/>
                <w:highlight w:val="none"/>
              </w:rPr>
            </w:pPr>
            <w:r>
              <w:rPr>
                <w:rFonts w:hint="eastAsia" w:ascii="宋体" w:hAnsi="宋体" w:eastAsia="宋体" w:cs="宋体"/>
                <w:szCs w:val="21"/>
                <w:highlight w:val="none"/>
              </w:rPr>
              <w:t>注：鉴于目前河南省公共资源交易中心开标评标系统的要求，请各投标人务必将投标文件中的所有资格材料上传至 “投标文件-资格审查材料”中。</w:t>
            </w:r>
            <w:r>
              <w:rPr>
                <w:rFonts w:hint="eastAsia" w:ascii="宋体" w:hAnsi="宋体" w:eastAsia="宋体" w:cs="宋体"/>
                <w:b/>
                <w:bCs/>
                <w:szCs w:val="21"/>
                <w:highlight w:val="none"/>
              </w:rPr>
              <w:t>开标后在采购人或</w:t>
            </w:r>
            <w:r>
              <w:rPr>
                <w:rFonts w:hint="eastAsia" w:ascii="宋体" w:hAnsi="宋体" w:eastAsia="宋体" w:cs="宋体"/>
                <w:b/>
                <w:bCs/>
                <w:szCs w:val="21"/>
                <w:highlight w:val="none"/>
                <w:lang w:eastAsia="zh-CN"/>
              </w:rPr>
              <w:t>采购代理机构</w:t>
            </w:r>
            <w:r>
              <w:rPr>
                <w:rFonts w:hint="eastAsia" w:ascii="宋体" w:hAnsi="宋体" w:eastAsia="宋体" w:cs="宋体"/>
                <w:b/>
                <w:bCs/>
                <w:szCs w:val="21"/>
                <w:highlight w:val="none"/>
              </w:rPr>
              <w:t>审查投标文件的资格情况时，仅能查阅到 “投标文件-资格审查材料”，故若投标人的资格审查材料中缺失相关材料或没有相关材料，将视为不符合招标文件资格要求。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1.4.2</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是否接受联合体</w:t>
            </w:r>
          </w:p>
          <w:p>
            <w:pPr>
              <w:spacing w:line="400" w:lineRule="exact"/>
              <w:jc w:val="center"/>
              <w:rPr>
                <w:rFonts w:hint="eastAsia" w:ascii="宋体" w:hAnsi="宋体" w:eastAsia="宋体" w:cs="宋体"/>
                <w:highlight w:val="none"/>
              </w:rPr>
            </w:pPr>
            <w:r>
              <w:rPr>
                <w:rFonts w:hint="eastAsia" w:ascii="宋体" w:hAnsi="宋体" w:eastAsia="宋体" w:cs="宋体"/>
                <w:highlight w:val="none"/>
              </w:rPr>
              <w:t>投标</w:t>
            </w:r>
          </w:p>
        </w:tc>
        <w:tc>
          <w:tcPr>
            <w:tcW w:w="6494" w:type="dxa"/>
            <w:vAlign w:val="center"/>
          </w:tcPr>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1.9</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踏勘现场</w:t>
            </w:r>
          </w:p>
        </w:tc>
        <w:tc>
          <w:tcPr>
            <w:tcW w:w="6494" w:type="dxa"/>
            <w:vAlign w:val="center"/>
          </w:tcPr>
          <w:p>
            <w:pPr>
              <w:spacing w:line="400" w:lineRule="exact"/>
              <w:jc w:val="left"/>
              <w:rPr>
                <w:rFonts w:hint="eastAsia" w:ascii="宋体" w:hAnsi="宋体" w:eastAsia="宋体" w:cs="宋体"/>
                <w:highlight w:val="none"/>
              </w:rPr>
            </w:pPr>
            <w:r>
              <w:rPr>
                <w:rFonts w:hint="eastAsia" w:ascii="宋体" w:hAnsi="宋体" w:eastAsia="宋体" w:cs="宋体"/>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1.10.1</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投标预备会</w:t>
            </w:r>
          </w:p>
        </w:tc>
        <w:tc>
          <w:tcPr>
            <w:tcW w:w="6494" w:type="dxa"/>
            <w:vAlign w:val="center"/>
          </w:tcPr>
          <w:p>
            <w:pPr>
              <w:spacing w:line="400" w:lineRule="exact"/>
              <w:jc w:val="left"/>
              <w:rPr>
                <w:rFonts w:hint="eastAsia" w:ascii="宋体" w:hAnsi="宋体" w:eastAsia="宋体" w:cs="宋体"/>
                <w:highlight w:val="none"/>
              </w:rPr>
            </w:pPr>
            <w:r>
              <w:rPr>
                <w:rFonts w:hint="eastAsia" w:ascii="宋体" w:hAnsi="宋体" w:eastAsia="宋体" w:cs="宋体"/>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1.11</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分包</w:t>
            </w:r>
          </w:p>
        </w:tc>
        <w:tc>
          <w:tcPr>
            <w:tcW w:w="6494" w:type="dxa"/>
            <w:vAlign w:val="center"/>
          </w:tcPr>
          <w:p>
            <w:pPr>
              <w:spacing w:line="400" w:lineRule="exact"/>
              <w:jc w:val="left"/>
              <w:rPr>
                <w:rFonts w:hint="eastAsia" w:ascii="宋体" w:hAnsi="宋体" w:eastAsia="宋体" w:cs="宋体"/>
                <w:highlight w:val="none"/>
              </w:rPr>
            </w:pPr>
            <w:r>
              <w:rPr>
                <w:rFonts w:hint="eastAsia" w:ascii="宋体" w:hAnsi="宋体" w:eastAsia="宋体" w:cs="宋体"/>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2.1</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构成招标文件的</w:t>
            </w:r>
          </w:p>
          <w:p>
            <w:pPr>
              <w:spacing w:line="400" w:lineRule="exact"/>
              <w:jc w:val="center"/>
              <w:rPr>
                <w:rFonts w:hint="eastAsia" w:ascii="宋体" w:hAnsi="宋体" w:eastAsia="宋体" w:cs="宋体"/>
                <w:highlight w:val="none"/>
              </w:rPr>
            </w:pPr>
            <w:r>
              <w:rPr>
                <w:rFonts w:hint="eastAsia" w:ascii="宋体" w:hAnsi="宋体" w:eastAsia="宋体" w:cs="宋体"/>
                <w:highlight w:val="none"/>
              </w:rPr>
              <w:t>其他材料</w:t>
            </w:r>
          </w:p>
        </w:tc>
        <w:tc>
          <w:tcPr>
            <w:tcW w:w="6494" w:type="dxa"/>
            <w:vAlign w:val="center"/>
          </w:tcPr>
          <w:p>
            <w:pPr>
              <w:spacing w:line="400" w:lineRule="exact"/>
              <w:jc w:val="left"/>
              <w:rPr>
                <w:rFonts w:hint="eastAsia" w:ascii="宋体" w:hAnsi="宋体" w:eastAsia="宋体" w:cs="宋体"/>
                <w:highlight w:val="none"/>
              </w:rPr>
            </w:pPr>
            <w:r>
              <w:rPr>
                <w:rFonts w:hint="eastAsia" w:ascii="宋体" w:hAnsi="宋体" w:eastAsia="宋体" w:cs="宋体"/>
                <w:szCs w:val="21"/>
                <w:highlight w:val="none"/>
              </w:rPr>
              <w:t>招标文件的补充文件（如有）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2.2.1</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投标供应商提出问题的截止时间</w:t>
            </w:r>
          </w:p>
        </w:tc>
        <w:tc>
          <w:tcPr>
            <w:tcW w:w="6494" w:type="dxa"/>
            <w:vAlign w:val="center"/>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获取招标文件或招标公告期限届满之日起七个工作日内，在河南省公共资源交易平台上提出；并将纸质原件的扫描件和Word电子版以电子邮件形式发送至邮箱：</w:t>
            </w:r>
            <w:r>
              <w:rPr>
                <w:rFonts w:hint="eastAsia" w:ascii="宋体" w:hAnsi="宋体" w:eastAsia="宋体" w:cs="宋体"/>
                <w:szCs w:val="21"/>
                <w:highlight w:val="none"/>
                <w:lang w:eastAsia="zh-CN"/>
              </w:rPr>
              <w:t>zhongdingjinghong@163.com</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2.2.2</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投标截止时间</w:t>
            </w:r>
          </w:p>
        </w:tc>
        <w:tc>
          <w:tcPr>
            <w:tcW w:w="6494" w:type="dxa"/>
            <w:vAlign w:val="center"/>
          </w:tcPr>
          <w:p>
            <w:pPr>
              <w:spacing w:line="400" w:lineRule="exact"/>
              <w:rPr>
                <w:rFonts w:hint="eastAsia" w:ascii="宋体" w:hAnsi="宋体" w:eastAsia="宋体" w:cs="宋体"/>
                <w:highlight w:val="none"/>
              </w:rPr>
            </w:pPr>
            <w:r>
              <w:rPr>
                <w:rFonts w:hint="eastAsia" w:ascii="宋体" w:hAnsi="宋体" w:eastAsia="宋体" w:cs="宋体"/>
                <w:highlight w:val="none"/>
                <w:u w:val="single"/>
              </w:rPr>
              <w:t>202</w:t>
            </w:r>
            <w:r>
              <w:rPr>
                <w:rFonts w:hint="eastAsia" w:ascii="宋体" w:hAnsi="宋体" w:eastAsia="宋体" w:cs="宋体"/>
                <w:highlight w:val="none"/>
                <w:u w:val="single"/>
                <w:lang w:val="en-US" w:eastAsia="zh-CN"/>
              </w:rPr>
              <w:t>3</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cs="宋体"/>
                <w:highlight w:val="none"/>
                <w:u w:val="single"/>
                <w:lang w:val="en-US" w:eastAsia="zh-CN"/>
              </w:rPr>
              <w:t>12</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cs="宋体"/>
                <w:highlight w:val="none"/>
                <w:u w:val="single"/>
                <w:lang w:val="en-US" w:eastAsia="zh-CN"/>
              </w:rPr>
              <w:t>25</w:t>
            </w:r>
            <w:r>
              <w:rPr>
                <w:rFonts w:hint="eastAsia" w:ascii="宋体" w:hAnsi="宋体" w:eastAsia="宋体" w:cs="宋体"/>
                <w:highlight w:val="none"/>
                <w:u w:val="single"/>
              </w:rPr>
              <w:t xml:space="preserve"> </w:t>
            </w:r>
            <w:r>
              <w:rPr>
                <w:rFonts w:hint="eastAsia" w:ascii="宋体" w:hAnsi="宋体" w:eastAsia="宋体" w:cs="宋体"/>
                <w:highlight w:val="none"/>
              </w:rPr>
              <w:t>日</w:t>
            </w:r>
            <w:r>
              <w:rPr>
                <w:rFonts w:hint="eastAsia" w:ascii="宋体" w:hAnsi="宋体" w:eastAsia="宋体" w:cs="宋体"/>
                <w:highlight w:val="none"/>
                <w:u w:val="single"/>
              </w:rPr>
              <w:t xml:space="preserve"> </w:t>
            </w:r>
            <w:r>
              <w:rPr>
                <w:rFonts w:hint="eastAsia" w:ascii="宋体" w:hAnsi="宋体" w:cs="宋体"/>
                <w:highlight w:val="none"/>
                <w:u w:val="single"/>
                <w:lang w:val="en-US" w:eastAsia="zh-CN"/>
              </w:rPr>
              <w:t>09</w:t>
            </w:r>
            <w:r>
              <w:rPr>
                <w:rFonts w:hint="eastAsia" w:ascii="宋体" w:hAnsi="宋体" w:eastAsia="宋体" w:cs="宋体"/>
                <w:highlight w:val="none"/>
                <w:u w:val="single"/>
              </w:rPr>
              <w:t xml:space="preserve"> </w:t>
            </w:r>
            <w:r>
              <w:rPr>
                <w:rFonts w:hint="eastAsia" w:ascii="宋体" w:hAnsi="宋体" w:eastAsia="宋体" w:cs="宋体"/>
                <w:highlight w:val="none"/>
              </w:rPr>
              <w:t>时</w:t>
            </w:r>
            <w:r>
              <w:rPr>
                <w:rFonts w:hint="eastAsia" w:ascii="宋体" w:hAnsi="宋体" w:eastAsia="宋体" w:cs="宋体"/>
                <w:highlight w:val="none"/>
                <w:u w:val="single"/>
              </w:rPr>
              <w:t xml:space="preserve"> </w:t>
            </w:r>
            <w:r>
              <w:rPr>
                <w:rFonts w:hint="eastAsia" w:ascii="宋体" w:hAnsi="宋体" w:cs="宋体"/>
                <w:highlight w:val="none"/>
                <w:u w:val="single"/>
                <w:lang w:val="en-US" w:eastAsia="zh-CN"/>
              </w:rPr>
              <w:t>00</w:t>
            </w:r>
            <w:r>
              <w:rPr>
                <w:rFonts w:hint="eastAsia" w:ascii="宋体" w:hAnsi="宋体" w:eastAsia="宋体" w:cs="宋体"/>
                <w:highlight w:val="none"/>
                <w:u w:val="single"/>
              </w:rPr>
              <w:t xml:space="preserve"> </w:t>
            </w:r>
            <w:r>
              <w:rPr>
                <w:rFonts w:hint="eastAsia" w:ascii="宋体" w:hAnsi="宋体" w:eastAsia="宋体" w:cs="宋体"/>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2.2.3</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投标供应商确认收到招标文件澄清的时间</w:t>
            </w:r>
          </w:p>
        </w:tc>
        <w:tc>
          <w:tcPr>
            <w:tcW w:w="6494" w:type="dxa"/>
            <w:vAlign w:val="center"/>
          </w:tcPr>
          <w:p>
            <w:pPr>
              <w:spacing w:line="400" w:lineRule="exact"/>
              <w:rPr>
                <w:rFonts w:hint="eastAsia" w:ascii="宋体" w:hAnsi="宋体" w:eastAsia="宋体" w:cs="宋体"/>
                <w:highlight w:val="none"/>
              </w:rPr>
            </w:pPr>
            <w:r>
              <w:rPr>
                <w:rFonts w:hint="eastAsia" w:ascii="宋体" w:hAnsi="宋体" w:eastAsia="宋体" w:cs="宋体"/>
                <w:highlight w:val="none"/>
              </w:rPr>
              <w:t>在收到相应澄清文件后</w:t>
            </w:r>
            <w:r>
              <w:rPr>
                <w:rFonts w:hint="eastAsia" w:ascii="宋体" w:hAnsi="宋体" w:eastAsia="宋体" w:cs="宋体"/>
                <w:highlight w:val="none"/>
                <w:u w:val="single"/>
              </w:rPr>
              <w:t xml:space="preserve"> 24 </w:t>
            </w:r>
            <w:r>
              <w:rPr>
                <w:rFonts w:hint="eastAsia" w:ascii="宋体" w:hAnsi="宋体" w:eastAsia="宋体" w:cs="宋体"/>
                <w:highlight w:val="none"/>
              </w:rPr>
              <w:t>小时内</w:t>
            </w:r>
          </w:p>
          <w:p>
            <w:pPr>
              <w:spacing w:line="400" w:lineRule="exact"/>
              <w:jc w:val="left"/>
              <w:rPr>
                <w:rFonts w:hint="eastAsia" w:ascii="宋体" w:hAnsi="宋体" w:eastAsia="宋体" w:cs="宋体"/>
                <w:highlight w:val="none"/>
              </w:rPr>
            </w:pPr>
            <w:r>
              <w:rPr>
                <w:rFonts w:hint="eastAsia" w:ascii="宋体" w:hAnsi="宋体" w:eastAsia="宋体" w:cs="宋体"/>
                <w:highlight w:val="none"/>
              </w:rPr>
              <w:t>所有澄清均通过“河南省公共资源交易中心”电子交易平台发布，一经发布即视为投标人已收到并确认，请各投标人及时关注本项目通过“河南省公共资源交易中心”电子交易平台发出的通知，如有遗漏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2.3.2</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投标供应商确认收到招标文件修改的时间</w:t>
            </w:r>
          </w:p>
        </w:tc>
        <w:tc>
          <w:tcPr>
            <w:tcW w:w="6494" w:type="dxa"/>
            <w:vAlign w:val="center"/>
          </w:tcPr>
          <w:p>
            <w:pPr>
              <w:spacing w:line="400" w:lineRule="exact"/>
              <w:rPr>
                <w:rFonts w:hint="eastAsia" w:ascii="宋体" w:hAnsi="宋体" w:eastAsia="宋体" w:cs="宋体"/>
                <w:highlight w:val="none"/>
              </w:rPr>
            </w:pPr>
            <w:r>
              <w:rPr>
                <w:rFonts w:hint="eastAsia" w:ascii="宋体" w:hAnsi="宋体" w:eastAsia="宋体" w:cs="宋体"/>
                <w:highlight w:val="none"/>
              </w:rPr>
              <w:t>在收到相应修改文件后</w:t>
            </w:r>
            <w:r>
              <w:rPr>
                <w:rFonts w:hint="eastAsia" w:ascii="宋体" w:hAnsi="宋体" w:eastAsia="宋体" w:cs="宋体"/>
                <w:highlight w:val="none"/>
                <w:u w:val="single"/>
              </w:rPr>
              <w:t xml:space="preserve"> 24 </w:t>
            </w:r>
            <w:r>
              <w:rPr>
                <w:rFonts w:hint="eastAsia" w:ascii="宋体" w:hAnsi="宋体" w:eastAsia="宋体" w:cs="宋体"/>
                <w:highlight w:val="none"/>
              </w:rPr>
              <w:t>小时内</w:t>
            </w:r>
          </w:p>
          <w:p>
            <w:pPr>
              <w:pStyle w:val="32"/>
              <w:ind w:firstLine="0" w:firstLineChars="0"/>
              <w:rPr>
                <w:rFonts w:hint="eastAsia" w:ascii="宋体" w:hAnsi="宋体" w:eastAsia="宋体" w:cs="宋体"/>
                <w:highlight w:val="none"/>
              </w:rPr>
            </w:pPr>
            <w:r>
              <w:rPr>
                <w:rFonts w:hint="eastAsia" w:ascii="宋体" w:hAnsi="宋体" w:eastAsia="宋体" w:cs="宋体"/>
                <w:highlight w:val="none"/>
              </w:rPr>
              <w:t>所有澄清均通过“河南省公共资源交易中心”电子交易平台发布，一经发布即视为投标人已收到并确认，请各投标人及时关注本项目通过“河南省公共资源交易中心”电子交易平台发出的通知，如有遗漏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3.1.1</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构成投标文件的</w:t>
            </w:r>
          </w:p>
          <w:p>
            <w:pPr>
              <w:spacing w:line="400" w:lineRule="exact"/>
              <w:jc w:val="center"/>
              <w:rPr>
                <w:rFonts w:hint="eastAsia" w:ascii="宋体" w:hAnsi="宋体" w:eastAsia="宋体" w:cs="宋体"/>
                <w:highlight w:val="none"/>
              </w:rPr>
            </w:pPr>
            <w:r>
              <w:rPr>
                <w:rFonts w:hint="eastAsia" w:ascii="宋体" w:hAnsi="宋体" w:eastAsia="宋体" w:cs="宋体"/>
                <w:highlight w:val="none"/>
              </w:rPr>
              <w:t>其他材料</w:t>
            </w:r>
          </w:p>
        </w:tc>
        <w:tc>
          <w:tcPr>
            <w:tcW w:w="6494" w:type="dxa"/>
            <w:vAlign w:val="center"/>
          </w:tcPr>
          <w:p>
            <w:pPr>
              <w:spacing w:line="400" w:lineRule="exact"/>
              <w:rPr>
                <w:rFonts w:hint="eastAsia" w:ascii="宋体" w:hAnsi="宋体" w:eastAsia="宋体" w:cs="宋体"/>
                <w:highlight w:val="none"/>
              </w:rPr>
            </w:pPr>
            <w:r>
              <w:rPr>
                <w:rFonts w:hint="eastAsia" w:ascii="宋体" w:hAnsi="宋体" w:eastAsia="宋体" w:cs="宋体"/>
                <w:highlight w:val="none"/>
              </w:rPr>
              <w:t>招标文件中要求提交的其他资料以及投标供应商认为有利于其投标的其他资料。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3.2.2</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投标报价</w:t>
            </w:r>
          </w:p>
        </w:tc>
        <w:tc>
          <w:tcPr>
            <w:tcW w:w="6494" w:type="dxa"/>
            <w:vAlign w:val="center"/>
          </w:tcPr>
          <w:p>
            <w:pPr>
              <w:spacing w:line="400" w:lineRule="exact"/>
              <w:rPr>
                <w:rFonts w:hint="eastAsia" w:ascii="宋体" w:hAnsi="宋体" w:eastAsia="宋体" w:cs="宋体"/>
                <w:highlight w:val="none"/>
                <w:lang w:eastAsia="zh-CN"/>
              </w:rPr>
            </w:pPr>
            <w:r>
              <w:rPr>
                <w:rFonts w:hint="eastAsia" w:ascii="宋体" w:hAnsi="宋体" w:eastAsia="宋体" w:cs="宋体"/>
                <w:highlight w:val="none"/>
              </w:rPr>
              <w:t>验收合格正式交付采购人使用前所发生的一切费用</w:t>
            </w:r>
            <w:r>
              <w:rPr>
                <w:rFonts w:hint="eastAsia" w:ascii="宋体" w:hAnsi="宋体" w:eastAsia="宋体" w:cs="宋体"/>
                <w:highlight w:val="none"/>
                <w:lang w:eastAsia="zh-CN"/>
              </w:rPr>
              <w:t>，</w:t>
            </w:r>
            <w:r>
              <w:rPr>
                <w:rFonts w:hint="eastAsia" w:ascii="宋体" w:hAnsi="宋体" w:eastAsia="宋体" w:cs="宋体"/>
                <w:highlight w:val="none"/>
                <w:lang w:val="en-US" w:eastAsia="zh-CN"/>
              </w:rPr>
              <w:t>以及</w:t>
            </w:r>
            <w:r>
              <w:rPr>
                <w:rFonts w:hint="eastAsia" w:ascii="宋体" w:hAnsi="宋体" w:eastAsia="宋体" w:cs="宋体"/>
                <w:highlight w:val="none"/>
                <w:lang w:eastAsia="zh-CN"/>
              </w:rPr>
              <w:t>售后服</w:t>
            </w:r>
          </w:p>
          <w:p>
            <w:pPr>
              <w:spacing w:line="400" w:lineRule="exact"/>
              <w:rPr>
                <w:rFonts w:hint="eastAsia" w:ascii="宋体" w:hAnsi="宋体" w:eastAsia="宋体" w:cs="宋体"/>
                <w:highlight w:val="none"/>
                <w:lang w:eastAsia="zh-CN"/>
              </w:rPr>
            </w:pPr>
            <w:r>
              <w:rPr>
                <w:rFonts w:hint="eastAsia" w:ascii="宋体" w:hAnsi="宋体" w:eastAsia="宋体" w:cs="宋体"/>
                <w:highlight w:val="none"/>
                <w:lang w:eastAsia="zh-CN"/>
              </w:rPr>
              <w:t>务、维保等相关伴随服务</w:t>
            </w:r>
            <w:r>
              <w:rPr>
                <w:rFonts w:hint="eastAsia" w:ascii="宋体" w:hAnsi="宋体" w:eastAsia="宋体" w:cs="宋体"/>
                <w:highlight w:val="none"/>
                <w:lang w:val="en-US" w:eastAsia="zh-CN"/>
              </w:rPr>
              <w:t>的全部费用</w:t>
            </w:r>
            <w:r>
              <w:rPr>
                <w:rFonts w:hint="eastAsia" w:ascii="宋体" w:hAnsi="宋体" w:eastAsia="宋体" w:cs="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3.3.1</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投标有效期</w:t>
            </w:r>
          </w:p>
        </w:tc>
        <w:tc>
          <w:tcPr>
            <w:tcW w:w="6494" w:type="dxa"/>
            <w:vAlign w:val="center"/>
          </w:tcPr>
          <w:p>
            <w:pPr>
              <w:spacing w:line="400" w:lineRule="exact"/>
              <w:jc w:val="left"/>
              <w:rPr>
                <w:rFonts w:hint="eastAsia" w:ascii="宋体" w:hAnsi="宋体" w:eastAsia="宋体" w:cs="宋体"/>
                <w:highlight w:val="none"/>
              </w:rPr>
            </w:pPr>
            <w:r>
              <w:rPr>
                <w:rFonts w:hint="eastAsia" w:ascii="宋体" w:hAnsi="宋体" w:eastAsia="宋体" w:cs="宋体"/>
                <w:highlight w:val="none"/>
              </w:rPr>
              <w:t>投标截止时间</w:t>
            </w:r>
            <w:r>
              <w:rPr>
                <w:rFonts w:hint="eastAsia" w:ascii="宋体" w:hAnsi="宋体" w:eastAsia="宋体" w:cs="宋体"/>
                <w:highlight w:val="none"/>
                <w:lang w:val="en-US" w:eastAsia="zh-CN"/>
              </w:rPr>
              <w:t>起</w:t>
            </w:r>
            <w:r>
              <w:rPr>
                <w:rFonts w:hint="eastAsia" w:ascii="宋体" w:hAnsi="宋体" w:eastAsia="宋体" w:cs="宋体"/>
                <w:highlight w:val="none"/>
                <w:u w:val="single"/>
                <w:lang w:val="en-US" w:eastAsia="zh-CN"/>
              </w:rPr>
              <w:t>90</w:t>
            </w:r>
            <w:r>
              <w:rPr>
                <w:rFonts w:hint="eastAsia" w:ascii="宋体" w:hAnsi="宋体" w:eastAsia="宋体" w:cs="宋体"/>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3.4</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投标保证金</w:t>
            </w:r>
          </w:p>
        </w:tc>
        <w:tc>
          <w:tcPr>
            <w:tcW w:w="6494" w:type="dxa"/>
            <w:vAlign w:val="center"/>
          </w:tcPr>
          <w:p>
            <w:pPr>
              <w:spacing w:line="400" w:lineRule="exact"/>
              <w:rPr>
                <w:rFonts w:hint="eastAsia" w:ascii="宋体" w:hAnsi="宋体" w:eastAsia="宋体" w:cs="宋体"/>
                <w:highlight w:val="none"/>
              </w:rPr>
            </w:pPr>
            <w:r>
              <w:rPr>
                <w:rFonts w:hint="eastAsia" w:ascii="宋体" w:hAnsi="宋体" w:eastAsia="宋体" w:cs="宋体"/>
                <w:highlight w:val="none"/>
              </w:rPr>
              <w:t>根据豫财购{2019}4号文规定，本项目不再收取保证金。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3.6</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是否允许递交备选投标方案</w:t>
            </w:r>
          </w:p>
        </w:tc>
        <w:tc>
          <w:tcPr>
            <w:tcW w:w="6494" w:type="dxa"/>
            <w:vAlign w:val="center"/>
          </w:tcPr>
          <w:p>
            <w:pPr>
              <w:spacing w:line="400" w:lineRule="exact"/>
              <w:jc w:val="left"/>
              <w:rPr>
                <w:rFonts w:hint="eastAsia" w:ascii="宋体" w:hAnsi="宋体" w:eastAsia="宋体" w:cs="宋体"/>
                <w:highlight w:val="none"/>
                <w:u w:val="single"/>
              </w:rPr>
            </w:pPr>
            <w:r>
              <w:rPr>
                <w:rFonts w:hint="eastAsia" w:ascii="宋体" w:hAnsi="宋体" w:eastAsia="宋体" w:cs="宋体"/>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3.7.3</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签字和（或）盖章要求</w:t>
            </w:r>
          </w:p>
        </w:tc>
        <w:tc>
          <w:tcPr>
            <w:tcW w:w="6494" w:type="dxa"/>
            <w:vAlign w:val="center"/>
          </w:tcPr>
          <w:p>
            <w:pPr>
              <w:spacing w:line="400" w:lineRule="exact"/>
              <w:jc w:val="left"/>
              <w:rPr>
                <w:rFonts w:hint="eastAsia" w:ascii="宋体" w:hAnsi="宋体" w:eastAsia="宋体" w:cs="宋体"/>
                <w:highlight w:val="none"/>
              </w:rPr>
            </w:pPr>
            <w:r>
              <w:rPr>
                <w:rFonts w:hint="eastAsia" w:ascii="宋体" w:hAnsi="宋体" w:eastAsia="宋体" w:cs="宋体"/>
                <w:highlight w:val="none"/>
              </w:rPr>
              <w:t>电子投标文件签章要求</w:t>
            </w:r>
          </w:p>
          <w:p>
            <w:pPr>
              <w:spacing w:line="400" w:lineRule="exact"/>
              <w:jc w:val="left"/>
              <w:rPr>
                <w:rFonts w:hint="eastAsia" w:ascii="宋体" w:hAnsi="宋体" w:eastAsia="宋体" w:cs="宋体"/>
                <w:highlight w:val="none"/>
              </w:rPr>
            </w:pPr>
            <w:r>
              <w:rPr>
                <w:rFonts w:hint="eastAsia" w:ascii="宋体" w:hAnsi="宋体" w:eastAsia="宋体" w:cs="宋体"/>
                <w:highlight w:val="none"/>
              </w:rPr>
              <w:t>1、电子投标文件</w:t>
            </w:r>
          </w:p>
          <w:p>
            <w:pPr>
              <w:spacing w:line="400" w:lineRule="exact"/>
              <w:jc w:val="left"/>
              <w:rPr>
                <w:rFonts w:hint="eastAsia" w:ascii="宋体" w:hAnsi="宋体" w:eastAsia="宋体" w:cs="宋体"/>
                <w:highlight w:val="none"/>
              </w:rPr>
            </w:pPr>
            <w:r>
              <w:rPr>
                <w:rFonts w:hint="eastAsia" w:ascii="宋体" w:hAnsi="宋体" w:eastAsia="宋体" w:cs="宋体"/>
                <w:highlight w:val="none"/>
              </w:rPr>
              <w:t>（1）所有要求投标供应商加盖公章的地方都应用投标供应商单位的CA 印章。</w:t>
            </w:r>
          </w:p>
          <w:p>
            <w:pPr>
              <w:spacing w:line="400" w:lineRule="exact"/>
              <w:jc w:val="left"/>
              <w:rPr>
                <w:rFonts w:hint="eastAsia" w:ascii="宋体" w:hAnsi="宋体" w:eastAsia="宋体" w:cs="宋体"/>
                <w:highlight w:val="none"/>
              </w:rPr>
            </w:pPr>
            <w:r>
              <w:rPr>
                <w:rFonts w:hint="eastAsia" w:ascii="宋体" w:hAnsi="宋体" w:eastAsia="宋体" w:cs="宋体"/>
                <w:highlight w:val="none"/>
              </w:rPr>
              <w:t>（2）所有要求法定代表人签字的地方都应用法定代表人的CA 印章（根据办理形式的不同，法定代表人CA签字及法定代表人CA印章均予以认可）。若有委托代理人，且委托代理人没有CA锁，则投标文件需上传有手写签名的扫描件。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3.7.4</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投标所需相关的资质、证明等资料要求</w:t>
            </w:r>
          </w:p>
        </w:tc>
        <w:tc>
          <w:tcPr>
            <w:tcW w:w="6494" w:type="dxa"/>
            <w:vAlign w:val="center"/>
          </w:tcPr>
          <w:p>
            <w:pPr>
              <w:spacing w:line="400" w:lineRule="exact"/>
              <w:jc w:val="left"/>
              <w:rPr>
                <w:rFonts w:hint="eastAsia" w:ascii="宋体" w:hAnsi="宋体" w:eastAsia="宋体" w:cs="宋体"/>
                <w:highlight w:val="none"/>
              </w:rPr>
            </w:pPr>
            <w:r>
              <w:rPr>
                <w:rFonts w:hint="eastAsia" w:ascii="宋体" w:hAnsi="宋体" w:eastAsia="宋体" w:cs="宋体"/>
                <w:szCs w:val="21"/>
                <w:highlight w:val="none"/>
              </w:rPr>
              <w:t>投标所需相关的资质、证明等资料均需先上传至河南省公共资源交易中心</w:t>
            </w:r>
            <w:r>
              <w:rPr>
                <w:rFonts w:hint="eastAsia" w:ascii="宋体" w:hAnsi="宋体" w:eastAsia="宋体" w:cs="宋体"/>
                <w:szCs w:val="21"/>
                <w:highlight w:val="none"/>
                <w:lang w:eastAsia="zh-CN"/>
              </w:rPr>
              <w:t>主体库</w:t>
            </w:r>
            <w:r>
              <w:rPr>
                <w:rFonts w:hint="eastAsia" w:ascii="宋体" w:hAnsi="宋体" w:eastAsia="宋体" w:cs="宋体"/>
                <w:szCs w:val="21"/>
                <w:highlight w:val="none"/>
              </w:rPr>
              <w:t>并经核验，投标供应商制作投标文件时所需资料须从</w:t>
            </w:r>
            <w:r>
              <w:rPr>
                <w:rFonts w:hint="eastAsia" w:ascii="宋体" w:hAnsi="宋体" w:eastAsia="宋体" w:cs="宋体"/>
                <w:szCs w:val="21"/>
                <w:highlight w:val="none"/>
                <w:lang w:eastAsia="zh-CN"/>
              </w:rPr>
              <w:t>主体库</w:t>
            </w:r>
            <w:r>
              <w:rPr>
                <w:rFonts w:hint="eastAsia" w:ascii="宋体" w:hAnsi="宋体" w:eastAsia="宋体" w:cs="宋体"/>
                <w:szCs w:val="21"/>
                <w:highlight w:val="none"/>
              </w:rPr>
              <w:t>中提取。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4.2.1</w:t>
            </w:r>
          </w:p>
        </w:tc>
        <w:tc>
          <w:tcPr>
            <w:tcW w:w="1969" w:type="dxa"/>
            <w:vAlign w:val="center"/>
          </w:tcPr>
          <w:p>
            <w:pPr>
              <w:spacing w:line="400" w:lineRule="exact"/>
              <w:jc w:val="center"/>
              <w:rPr>
                <w:rFonts w:hint="eastAsia" w:ascii="宋体" w:hAnsi="宋体" w:eastAsia="宋体" w:cs="宋体"/>
                <w:bCs/>
                <w:highlight w:val="none"/>
              </w:rPr>
            </w:pPr>
            <w:r>
              <w:rPr>
                <w:rFonts w:hint="eastAsia" w:ascii="宋体" w:hAnsi="宋体" w:eastAsia="宋体" w:cs="宋体"/>
                <w:bCs/>
                <w:highlight w:val="none"/>
              </w:rPr>
              <w:t>投标文件的递交</w:t>
            </w:r>
          </w:p>
        </w:tc>
        <w:tc>
          <w:tcPr>
            <w:tcW w:w="6494" w:type="dxa"/>
            <w:vAlign w:val="center"/>
          </w:tcPr>
          <w:p>
            <w:pPr>
              <w:spacing w:line="40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a、各投标供应商应在投标截止时间前上传加密的电子投标文件（</w:t>
            </w:r>
            <w:r>
              <w:rPr>
                <w:rFonts w:hint="eastAsia" w:ascii="宋体" w:hAnsi="宋体" w:cs="宋体"/>
                <w:szCs w:val="21"/>
                <w:highlight w:val="none"/>
                <w:lang w:val="en-US" w:eastAsia="zh-CN"/>
              </w:rPr>
              <w:t>*</w:t>
            </w:r>
            <w:r>
              <w:rPr>
                <w:rFonts w:hint="eastAsia" w:ascii="宋体" w:hAnsi="宋体" w:eastAsia="宋体" w:cs="宋体"/>
                <w:szCs w:val="21"/>
                <w:highlight w:val="none"/>
                <w:lang w:eastAsia="zh-CN"/>
              </w:rPr>
              <w:t>.hntf）到会员系统的指定位置。上传时必须得到电脑“上传成功”的确认回复。请投标供应商在上传时认真检查上传投标文件是否完整、正确。</w:t>
            </w:r>
          </w:p>
          <w:p>
            <w:pPr>
              <w:spacing w:line="400" w:lineRule="exact"/>
              <w:jc w:val="left"/>
              <w:rPr>
                <w:rFonts w:hint="eastAsia" w:ascii="宋体" w:hAnsi="宋体" w:eastAsia="宋体" w:cs="宋体"/>
                <w:highlight w:val="none"/>
              </w:rPr>
            </w:pPr>
            <w:r>
              <w:rPr>
                <w:rFonts w:hint="eastAsia" w:ascii="宋体" w:hAnsi="宋体" w:eastAsia="宋体" w:cs="宋体"/>
                <w:szCs w:val="21"/>
                <w:highlight w:val="none"/>
                <w:lang w:eastAsia="zh-CN"/>
              </w:rPr>
              <w:t>b、投标供应商因交易中心投标系统问题无法上传电子投标文件时，请在工作时间与河南省公共资源交易中心联系，新点技术服务电话：400-998-0000  0371-65915501。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4.2.2</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bCs/>
                <w:highlight w:val="none"/>
              </w:rPr>
              <w:t>远程开标机位</w:t>
            </w:r>
            <w:r>
              <w:rPr>
                <w:rFonts w:hint="eastAsia" w:ascii="宋体" w:hAnsi="宋体" w:eastAsia="宋体" w:cs="宋体"/>
                <w:highlight w:val="none"/>
              </w:rPr>
              <w:t>地点</w:t>
            </w:r>
          </w:p>
        </w:tc>
        <w:tc>
          <w:tcPr>
            <w:tcW w:w="6494" w:type="dxa"/>
            <w:vAlign w:val="center"/>
          </w:tcPr>
          <w:p>
            <w:pPr>
              <w:spacing w:line="400" w:lineRule="exact"/>
              <w:jc w:val="left"/>
              <w:rPr>
                <w:rFonts w:hint="eastAsia" w:ascii="宋体" w:hAnsi="宋体" w:eastAsia="宋体" w:cs="宋体"/>
                <w:highlight w:val="none"/>
              </w:rPr>
            </w:pPr>
            <w:r>
              <w:rPr>
                <w:rFonts w:hint="eastAsia" w:ascii="宋体" w:hAnsi="宋体" w:eastAsia="宋体" w:cs="宋体"/>
                <w:bCs/>
                <w:highlight w:val="none"/>
              </w:rPr>
              <w:t>河南省公共资源交易中心远程开标室(三)-5</w:t>
            </w:r>
            <w:r>
              <w:rPr>
                <w:rFonts w:hint="eastAsia" w:ascii="宋体" w:hAnsi="宋体" w:eastAsia="宋体" w:cs="宋体"/>
                <w:bCs/>
                <w:highlight w:val="none"/>
                <w:lang w:eastAsia="zh-CN"/>
              </w:rPr>
              <w:t>，</w:t>
            </w:r>
            <w:r>
              <w:rPr>
                <w:rFonts w:hint="eastAsia" w:ascii="宋体" w:hAnsi="宋体" w:eastAsia="宋体" w:cs="宋体"/>
                <w:bCs/>
                <w:highlight w:val="none"/>
              </w:rPr>
              <w:t>郑州市经二路12号（经二路与纬四路向南50米路西）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4.2.3</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是否退还投标文件</w:t>
            </w:r>
          </w:p>
        </w:tc>
        <w:tc>
          <w:tcPr>
            <w:tcW w:w="6494" w:type="dxa"/>
            <w:vAlign w:val="center"/>
          </w:tcPr>
          <w:p>
            <w:pPr>
              <w:spacing w:line="400" w:lineRule="exact"/>
              <w:jc w:val="left"/>
              <w:rPr>
                <w:rFonts w:hint="eastAsia" w:ascii="宋体" w:hAnsi="宋体" w:eastAsia="宋体" w:cs="宋体"/>
                <w:highlight w:val="none"/>
                <w:u w:val="single"/>
              </w:rPr>
            </w:pPr>
            <w:r>
              <w:rPr>
                <w:rFonts w:hint="eastAsia" w:ascii="宋体" w:hAnsi="宋体" w:eastAsia="宋体" w:cs="宋体"/>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5.1</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开标时间和地点</w:t>
            </w:r>
          </w:p>
        </w:tc>
        <w:tc>
          <w:tcPr>
            <w:tcW w:w="6494" w:type="dxa"/>
            <w:vAlign w:val="center"/>
          </w:tcPr>
          <w:p>
            <w:pPr>
              <w:spacing w:line="400" w:lineRule="exact"/>
              <w:rPr>
                <w:rFonts w:hint="eastAsia" w:ascii="宋体" w:hAnsi="宋体" w:eastAsia="宋体" w:cs="宋体"/>
                <w:highlight w:val="none"/>
              </w:rPr>
            </w:pPr>
            <w:r>
              <w:rPr>
                <w:rFonts w:hint="eastAsia" w:ascii="宋体" w:hAnsi="宋体" w:eastAsia="宋体" w:cs="宋体"/>
                <w:bCs/>
                <w:highlight w:val="none"/>
              </w:rPr>
              <w:t>本项目采用“远程不见面”开标方式，远程开标大厅网址为</w:t>
            </w:r>
            <w:r>
              <w:rPr>
                <w:rFonts w:hint="eastAsia" w:ascii="宋体" w:hAnsi="宋体" w:eastAsia="宋体" w:cs="宋体"/>
                <w:bCs/>
                <w:highlight w:val="none"/>
                <w:lang w:eastAsia="zh-CN"/>
              </w:rPr>
              <w:t>（http://www.hnggzy.net/）</w:t>
            </w:r>
            <w:r>
              <w:rPr>
                <w:rFonts w:hint="eastAsia" w:ascii="宋体" w:hAnsi="宋体" w:eastAsia="宋体" w:cs="宋体"/>
                <w:bCs/>
                <w:highlight w:val="none"/>
              </w:rPr>
              <w:t>，投标供应商无需到河南省公共资源交易中心现场参加开标会议，无需到达现场提交原件资料。投标供应商应在投标截止时间前，登录远程开标大厅，在线准时参加开标活动并进行文件解密等。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5.2</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开标程序</w:t>
            </w:r>
          </w:p>
        </w:tc>
        <w:tc>
          <w:tcPr>
            <w:tcW w:w="6494" w:type="dxa"/>
            <w:vAlign w:val="center"/>
          </w:tcPr>
          <w:p>
            <w:pPr>
              <w:spacing w:line="400" w:lineRule="exact"/>
              <w:rPr>
                <w:rFonts w:hint="eastAsia" w:ascii="宋体" w:hAnsi="宋体" w:eastAsia="宋体" w:cs="宋体"/>
                <w:bCs/>
                <w:highlight w:val="none"/>
              </w:rPr>
            </w:pPr>
            <w:r>
              <w:rPr>
                <w:rFonts w:hint="eastAsia" w:ascii="宋体" w:hAnsi="宋体" w:eastAsia="宋体" w:cs="宋体"/>
                <w:bCs/>
                <w:highlight w:val="none"/>
              </w:rPr>
              <w:t>本项目采用远程电子开标，投标供应商须在投标截止时间前登录远程开标大厅，在线准时参加开标活动并进行文件解密等。</w:t>
            </w:r>
          </w:p>
          <w:p>
            <w:pPr>
              <w:spacing w:line="400" w:lineRule="exact"/>
              <w:rPr>
                <w:rFonts w:hint="eastAsia" w:ascii="宋体" w:hAnsi="宋体" w:eastAsia="宋体" w:cs="宋体"/>
                <w:highlight w:val="none"/>
                <w:lang w:eastAsia="zh-CN"/>
              </w:rPr>
            </w:pPr>
            <w:r>
              <w:rPr>
                <w:rFonts w:hint="eastAsia" w:ascii="宋体" w:hAnsi="宋体" w:eastAsia="宋体" w:cs="宋体"/>
                <w:bCs/>
                <w:highlight w:val="none"/>
              </w:rPr>
              <w:t>按《河南省公共资源“智慧交易”平台</w:t>
            </w:r>
            <w:r>
              <w:rPr>
                <w:rFonts w:hint="eastAsia" w:ascii="宋体" w:hAnsi="宋体" w:eastAsia="宋体" w:cs="宋体"/>
                <w:bCs/>
                <w:highlight w:val="none"/>
                <w:lang w:val="en-US" w:eastAsia="zh-CN"/>
              </w:rPr>
              <w:t>不见面</w:t>
            </w:r>
            <w:r>
              <w:rPr>
                <w:rFonts w:hint="eastAsia" w:ascii="宋体" w:hAnsi="宋体" w:eastAsia="宋体" w:cs="宋体"/>
                <w:bCs/>
                <w:highlight w:val="none"/>
              </w:rPr>
              <w:t>开标大厅-代理操作手册》、《河南省公共资源“智慧交易”平台</w:t>
            </w:r>
            <w:r>
              <w:rPr>
                <w:rFonts w:hint="eastAsia" w:ascii="宋体" w:hAnsi="宋体" w:eastAsia="宋体" w:cs="宋体"/>
                <w:bCs/>
                <w:highlight w:val="none"/>
                <w:lang w:val="en-US" w:eastAsia="zh-CN"/>
              </w:rPr>
              <w:t>不见面</w:t>
            </w:r>
            <w:r>
              <w:rPr>
                <w:rFonts w:hint="eastAsia" w:ascii="宋体" w:hAnsi="宋体" w:eastAsia="宋体" w:cs="宋体"/>
                <w:bCs/>
                <w:highlight w:val="none"/>
              </w:rPr>
              <w:t>开标大厅-投标人操作手册》开标程序执行</w:t>
            </w:r>
            <w:r>
              <w:rPr>
                <w:rFonts w:hint="eastAsia" w:ascii="宋体" w:hAnsi="宋体" w:eastAsia="宋体" w:cs="宋体"/>
                <w:bCs/>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6.2.1</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评标委员会的组建</w:t>
            </w:r>
          </w:p>
        </w:tc>
        <w:tc>
          <w:tcPr>
            <w:tcW w:w="6494" w:type="dxa"/>
            <w:vAlign w:val="center"/>
          </w:tcPr>
          <w:p>
            <w:pPr>
              <w:spacing w:line="400" w:lineRule="exact"/>
              <w:rPr>
                <w:rFonts w:hint="eastAsia" w:ascii="宋体" w:hAnsi="宋体" w:eastAsia="宋体" w:cs="宋体"/>
                <w:bCs/>
                <w:highlight w:val="none"/>
              </w:rPr>
            </w:pPr>
            <w:r>
              <w:rPr>
                <w:rFonts w:hint="eastAsia" w:ascii="宋体" w:hAnsi="宋体" w:eastAsia="宋体" w:cs="宋体"/>
                <w:bCs/>
                <w:highlight w:val="none"/>
              </w:rPr>
              <w:t>评标委员会构成：</w:t>
            </w:r>
            <w:r>
              <w:rPr>
                <w:rFonts w:hint="eastAsia" w:ascii="宋体" w:hAnsi="宋体" w:eastAsia="宋体" w:cs="宋体"/>
                <w:bCs/>
                <w:highlight w:val="none"/>
                <w:u w:val="single"/>
              </w:rPr>
              <w:t>5</w:t>
            </w:r>
            <w:r>
              <w:rPr>
                <w:rFonts w:hint="eastAsia" w:ascii="宋体" w:hAnsi="宋体" w:eastAsia="宋体" w:cs="宋体"/>
                <w:bCs/>
                <w:highlight w:val="none"/>
              </w:rPr>
              <w:t>人，其中采购人代表</w:t>
            </w:r>
            <w:r>
              <w:rPr>
                <w:rFonts w:hint="eastAsia" w:ascii="宋体" w:hAnsi="宋体" w:eastAsia="宋体" w:cs="宋体"/>
                <w:bCs/>
                <w:highlight w:val="none"/>
                <w:u w:val="single"/>
              </w:rPr>
              <w:t>1</w:t>
            </w:r>
            <w:r>
              <w:rPr>
                <w:rFonts w:hint="eastAsia" w:ascii="宋体" w:hAnsi="宋体" w:eastAsia="宋体" w:cs="宋体"/>
                <w:bCs/>
                <w:highlight w:val="none"/>
              </w:rPr>
              <w:t>人，有关经济、技术专家</w:t>
            </w:r>
            <w:r>
              <w:rPr>
                <w:rFonts w:hint="eastAsia" w:ascii="宋体" w:hAnsi="宋体" w:eastAsia="宋体" w:cs="宋体"/>
                <w:bCs/>
                <w:highlight w:val="none"/>
                <w:u w:val="single"/>
              </w:rPr>
              <w:t>4</w:t>
            </w:r>
            <w:r>
              <w:rPr>
                <w:rFonts w:hint="eastAsia" w:ascii="宋体" w:hAnsi="宋体" w:eastAsia="宋体" w:cs="宋体"/>
                <w:bCs/>
                <w:highlight w:val="none"/>
              </w:rPr>
              <w:t>人；</w:t>
            </w:r>
          </w:p>
          <w:p>
            <w:pPr>
              <w:spacing w:line="400" w:lineRule="exact"/>
              <w:rPr>
                <w:rFonts w:hint="eastAsia" w:ascii="宋体" w:hAnsi="宋体" w:eastAsia="宋体" w:cs="宋体"/>
                <w:highlight w:val="none"/>
              </w:rPr>
            </w:pPr>
            <w:r>
              <w:rPr>
                <w:rFonts w:hint="eastAsia" w:ascii="宋体" w:hAnsi="宋体" w:eastAsia="宋体" w:cs="宋体"/>
                <w:bCs/>
                <w:highlight w:val="none"/>
              </w:rPr>
              <w:t>有关经济、技术专家确定方式：从政府采购专家库中随机抽取。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4" w:type="dxa"/>
            <w:vAlign w:val="center"/>
          </w:tcPr>
          <w:p>
            <w:pPr>
              <w:spacing w:line="40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6.3.4</w:t>
            </w:r>
          </w:p>
        </w:tc>
        <w:tc>
          <w:tcPr>
            <w:tcW w:w="1969" w:type="dxa"/>
            <w:vAlign w:val="center"/>
          </w:tcPr>
          <w:p>
            <w:pPr>
              <w:spacing w:line="40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本次评标采用的评标方法</w:t>
            </w:r>
          </w:p>
        </w:tc>
        <w:tc>
          <w:tcPr>
            <w:tcW w:w="6494" w:type="dxa"/>
            <w:vAlign w:val="center"/>
          </w:tcPr>
          <w:p>
            <w:pPr>
              <w:spacing w:line="400" w:lineRule="exact"/>
              <w:rPr>
                <w:rFonts w:hint="eastAsia" w:ascii="宋体" w:hAnsi="宋体" w:eastAsia="宋体" w:cs="宋体"/>
                <w:bCs/>
                <w:szCs w:val="21"/>
                <w:highlight w:val="none"/>
                <w:lang w:val="en-US" w:eastAsia="zh-CN"/>
              </w:rPr>
            </w:pPr>
            <w:r>
              <w:rPr>
                <w:rFonts w:hint="eastAsia" w:ascii="宋体" w:hAnsi="宋体" w:eastAsia="宋体" w:cs="宋体"/>
                <w:bCs/>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7.1</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是否授权评标委员会确定中标供应商</w:t>
            </w:r>
          </w:p>
        </w:tc>
        <w:tc>
          <w:tcPr>
            <w:tcW w:w="6494" w:type="dxa"/>
            <w:vAlign w:val="center"/>
          </w:tcPr>
          <w:p>
            <w:pPr>
              <w:spacing w:line="400" w:lineRule="exact"/>
              <w:rPr>
                <w:rFonts w:hint="eastAsia" w:ascii="宋体" w:hAnsi="宋体" w:eastAsia="宋体" w:cs="宋体"/>
                <w:highlight w:val="none"/>
              </w:rPr>
            </w:pPr>
            <w:r>
              <w:rPr>
                <w:rFonts w:hint="eastAsia" w:ascii="宋体" w:hAnsi="宋体" w:eastAsia="宋体" w:cs="宋体"/>
                <w:highlight w:val="none"/>
              </w:rPr>
              <w:t>否，推荐的中标候选人数：</w:t>
            </w:r>
            <w:r>
              <w:rPr>
                <w:rFonts w:hint="eastAsia" w:ascii="宋体" w:hAnsi="宋体" w:eastAsia="宋体" w:cs="宋体"/>
                <w:highlight w:val="none"/>
                <w:u w:val="single"/>
              </w:rPr>
              <w:t xml:space="preserve"> 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97" w:type="dxa"/>
            <w:gridSpan w:val="3"/>
            <w:vAlign w:val="center"/>
          </w:tcPr>
          <w:p>
            <w:pPr>
              <w:spacing w:line="400" w:lineRule="exact"/>
              <w:rPr>
                <w:rFonts w:hint="eastAsia" w:ascii="宋体" w:hAnsi="宋体" w:eastAsia="宋体" w:cs="宋体"/>
                <w:sz w:val="24"/>
                <w:highlight w:val="none"/>
              </w:rPr>
            </w:pPr>
            <w:r>
              <w:rPr>
                <w:rFonts w:hint="eastAsia" w:ascii="宋体" w:hAnsi="宋体" w:eastAsia="宋体" w:cs="宋体"/>
                <w:sz w:val="24"/>
                <w:highlight w:val="none"/>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10.1</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对中标供应商的要求</w:t>
            </w:r>
          </w:p>
        </w:tc>
        <w:tc>
          <w:tcPr>
            <w:tcW w:w="6494" w:type="dxa"/>
            <w:vAlign w:val="center"/>
          </w:tcPr>
          <w:p>
            <w:pPr>
              <w:spacing w:line="400" w:lineRule="exact"/>
              <w:ind w:left="23" w:leftChars="11" w:firstLine="1"/>
              <w:rPr>
                <w:rFonts w:hint="eastAsia" w:ascii="宋体" w:hAnsi="宋体" w:eastAsia="宋体" w:cs="宋体"/>
                <w:szCs w:val="21"/>
                <w:highlight w:val="none"/>
              </w:rPr>
            </w:pPr>
            <w:r>
              <w:rPr>
                <w:rFonts w:hint="eastAsia" w:ascii="宋体" w:hAnsi="宋体" w:eastAsia="宋体" w:cs="宋体"/>
                <w:szCs w:val="21"/>
                <w:highlight w:val="none"/>
              </w:rPr>
              <w:t>1.投标供应商所投货物的所有部件均应为全新的合格产品。</w:t>
            </w:r>
          </w:p>
          <w:p>
            <w:pPr>
              <w:spacing w:line="400" w:lineRule="exact"/>
              <w:ind w:left="23" w:leftChars="11" w:firstLine="1"/>
              <w:rPr>
                <w:rFonts w:hint="eastAsia" w:ascii="宋体" w:hAnsi="宋体" w:eastAsia="宋体" w:cs="宋体"/>
                <w:szCs w:val="21"/>
                <w:highlight w:val="none"/>
              </w:rPr>
            </w:pPr>
            <w:r>
              <w:rPr>
                <w:rFonts w:hint="eastAsia" w:ascii="宋体" w:hAnsi="宋体" w:eastAsia="宋体" w:cs="宋体"/>
                <w:szCs w:val="21"/>
                <w:highlight w:val="none"/>
              </w:rPr>
              <w:t>2.证明投标货物符合招标文件技术要求的文件：</w:t>
            </w:r>
          </w:p>
          <w:p>
            <w:pPr>
              <w:spacing w:line="400" w:lineRule="exact"/>
              <w:ind w:left="23" w:leftChars="11"/>
              <w:rPr>
                <w:rFonts w:hint="eastAsia" w:ascii="宋体" w:hAnsi="宋体" w:eastAsia="宋体" w:cs="宋体"/>
                <w:szCs w:val="21"/>
                <w:highlight w:val="none"/>
              </w:rPr>
            </w:pPr>
            <w:r>
              <w:rPr>
                <w:rFonts w:hint="eastAsia" w:ascii="宋体" w:hAnsi="宋体" w:eastAsia="宋体" w:cs="宋体"/>
                <w:szCs w:val="21"/>
                <w:highlight w:val="none"/>
              </w:rPr>
              <w:t>投标供应商必须保证投标文件对投标货物技术参数和性能的描述与投标货物真实的技术参数和性能一致。</w:t>
            </w:r>
          </w:p>
          <w:p>
            <w:pPr>
              <w:spacing w:line="400" w:lineRule="exact"/>
              <w:ind w:left="23" w:leftChars="11" w:firstLine="1"/>
              <w:rPr>
                <w:rFonts w:hint="eastAsia" w:ascii="宋体" w:hAnsi="宋体" w:eastAsia="宋体" w:cs="宋体"/>
                <w:szCs w:val="21"/>
                <w:highlight w:val="none"/>
              </w:rPr>
            </w:pPr>
            <w:r>
              <w:rPr>
                <w:rFonts w:hint="eastAsia" w:ascii="宋体" w:hAnsi="宋体" w:eastAsia="宋体" w:cs="宋体"/>
                <w:szCs w:val="21"/>
                <w:highlight w:val="none"/>
              </w:rPr>
              <w:t>3.中标供应商对合同义务全面</w:t>
            </w:r>
            <w:r>
              <w:rPr>
                <w:rFonts w:hint="eastAsia" w:ascii="宋体" w:hAnsi="宋体" w:eastAsia="宋体" w:cs="宋体"/>
                <w:szCs w:val="21"/>
                <w:highlight w:val="none"/>
                <w:lang w:val="en-US" w:eastAsia="zh-CN"/>
              </w:rPr>
              <w:t>负</w:t>
            </w:r>
            <w:r>
              <w:rPr>
                <w:rFonts w:hint="eastAsia" w:ascii="宋体" w:hAnsi="宋体" w:eastAsia="宋体" w:cs="宋体"/>
                <w:szCs w:val="21"/>
                <w:highlight w:val="none"/>
              </w:rPr>
              <w:t>责；对本项目供货范围内的设备的采购、供货、运输、保险、装卸、安装、检测、调试、试运行、验收交付、培训、技术支持、软件升级、售后服务及相关伴随服务等全面负责。</w:t>
            </w:r>
          </w:p>
          <w:p>
            <w:pPr>
              <w:spacing w:line="400" w:lineRule="exact"/>
              <w:ind w:left="23" w:leftChars="11" w:firstLine="1"/>
              <w:rPr>
                <w:rFonts w:hint="eastAsia" w:ascii="宋体" w:hAnsi="宋体" w:eastAsia="宋体" w:cs="宋体"/>
                <w:szCs w:val="21"/>
                <w:highlight w:val="none"/>
              </w:rPr>
            </w:pPr>
            <w:r>
              <w:rPr>
                <w:rFonts w:hint="eastAsia" w:ascii="宋体" w:hAnsi="宋体" w:eastAsia="宋体" w:cs="宋体"/>
                <w:szCs w:val="21"/>
                <w:highlight w:val="none"/>
              </w:rPr>
              <w:t>4.采购人应在中标通知书发</w:t>
            </w:r>
            <w:r>
              <w:rPr>
                <w:rFonts w:hint="eastAsia" w:ascii="宋体" w:hAnsi="宋体" w:eastAsia="宋体" w:cs="宋体"/>
                <w:szCs w:val="21"/>
                <w:highlight w:val="none"/>
                <w:lang w:val="en-US" w:eastAsia="zh-CN"/>
              </w:rPr>
              <w:t>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30</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日内与中标供应商签订政府采购合同（合同模板详见“合同格式及合同</w:t>
            </w:r>
            <w:r>
              <w:rPr>
                <w:rFonts w:hint="eastAsia" w:ascii="宋体" w:hAnsi="宋体" w:eastAsia="宋体" w:cs="宋体"/>
                <w:szCs w:val="21"/>
                <w:highlight w:val="none"/>
                <w:lang w:val="en-US" w:eastAsia="zh-CN"/>
              </w:rPr>
              <w:t>主要</w:t>
            </w:r>
            <w:r>
              <w:rPr>
                <w:rFonts w:hint="eastAsia" w:ascii="宋体" w:hAnsi="宋体" w:eastAsia="宋体" w:cs="宋体"/>
                <w:szCs w:val="21"/>
                <w:highlight w:val="none"/>
              </w:rPr>
              <w:t>条款”），如中标供应商无正当理由拒签合同的，采购人取消其中标资格。给采购人造成的实质性损失的，中标供应商还应当对采购人的损失予以赔偿。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4" w:type="dxa"/>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10.2</w:t>
            </w:r>
          </w:p>
        </w:tc>
        <w:tc>
          <w:tcPr>
            <w:tcW w:w="1969"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6494" w:type="dxa"/>
            <w:vAlign w:val="center"/>
          </w:tcPr>
          <w:p>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签订合同后，支付合同金额的40%；设备安装调试、验收合格后，支付合同金额的60%。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4" w:type="dxa"/>
            <w:vAlign w:val="center"/>
          </w:tcPr>
          <w:p>
            <w:pPr>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10.3</w:t>
            </w:r>
          </w:p>
        </w:tc>
        <w:tc>
          <w:tcPr>
            <w:tcW w:w="1969"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履约保证金</w:t>
            </w:r>
          </w:p>
        </w:tc>
        <w:tc>
          <w:tcPr>
            <w:tcW w:w="6494" w:type="dxa"/>
            <w:vAlign w:val="center"/>
          </w:tcPr>
          <w:p>
            <w:pPr>
              <w:spacing w:line="40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见合同付款要求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4" w:type="dxa"/>
            <w:vAlign w:val="center"/>
          </w:tcPr>
          <w:p>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rPr>
              <w:t>10.</w:t>
            </w:r>
            <w:r>
              <w:rPr>
                <w:rFonts w:hint="eastAsia" w:ascii="宋体" w:hAnsi="宋体" w:eastAsia="宋体" w:cs="宋体"/>
                <w:highlight w:val="none"/>
                <w:lang w:val="en-US" w:eastAsia="zh-CN"/>
              </w:rPr>
              <w:t>4</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投标费用</w:t>
            </w:r>
          </w:p>
        </w:tc>
        <w:tc>
          <w:tcPr>
            <w:tcW w:w="6494" w:type="dxa"/>
            <w:vAlign w:val="center"/>
          </w:tcPr>
          <w:p>
            <w:pPr>
              <w:numPr>
                <w:ilvl w:val="0"/>
                <w:numId w:val="2"/>
              </w:num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投标供应商准备和参加投标活动发生的费用自理。在任何情况下采购人和</w:t>
            </w:r>
            <w:r>
              <w:rPr>
                <w:rFonts w:hint="eastAsia" w:ascii="宋体" w:hAnsi="宋体" w:eastAsia="宋体" w:cs="宋体"/>
                <w:szCs w:val="21"/>
                <w:highlight w:val="none"/>
                <w:lang w:eastAsia="zh-CN"/>
              </w:rPr>
              <w:t>采购代理机构</w:t>
            </w:r>
            <w:r>
              <w:rPr>
                <w:rFonts w:hint="eastAsia" w:ascii="宋体" w:hAnsi="宋体" w:eastAsia="宋体" w:cs="宋体"/>
                <w:szCs w:val="21"/>
                <w:highlight w:val="none"/>
              </w:rPr>
              <w:t>对上述费用均不承担任何责任。</w:t>
            </w:r>
          </w:p>
          <w:p>
            <w:pPr>
              <w:numPr>
                <w:ilvl w:val="0"/>
                <w:numId w:val="0"/>
              </w:num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本项目采购代理服务费</w:t>
            </w:r>
            <w:r>
              <w:rPr>
                <w:rFonts w:hint="eastAsia" w:ascii="宋体" w:hAnsi="宋体" w:eastAsia="宋体" w:cs="宋体"/>
                <w:szCs w:val="21"/>
                <w:highlight w:val="none"/>
                <w:lang w:eastAsia="zh-CN"/>
              </w:rPr>
              <w:t>：</w:t>
            </w:r>
            <w:r>
              <w:rPr>
                <w:rFonts w:hint="eastAsia" w:ascii="宋体" w:hAnsi="宋体" w:eastAsia="宋体" w:cs="宋体"/>
                <w:sz w:val="21"/>
                <w:szCs w:val="21"/>
                <w:highlight w:val="none"/>
                <w:lang w:val="en-US" w:eastAsia="zh-CN" w:bidi="ar-SA"/>
              </w:rPr>
              <w:t>本项目的代理服务费参照豫招协【2023】002号《河南省招标投标协会关于印发河南省招标代理服务收费指导意见的通知》文件标准，由成交人向招标代理机构一次性支付招标代理服务费，按标段成交价为基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4" w:type="dxa"/>
            <w:vAlign w:val="center"/>
          </w:tcPr>
          <w:p>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rPr>
              <w:t>10.</w:t>
            </w:r>
            <w:r>
              <w:rPr>
                <w:rFonts w:hint="eastAsia" w:ascii="宋体" w:hAnsi="宋体" w:eastAsia="宋体" w:cs="宋体"/>
                <w:highlight w:val="none"/>
                <w:lang w:val="en-US" w:eastAsia="zh-CN"/>
              </w:rPr>
              <w:t>5</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“暗标”评审</w:t>
            </w:r>
          </w:p>
        </w:tc>
        <w:tc>
          <w:tcPr>
            <w:tcW w:w="6494" w:type="dxa"/>
            <w:vAlign w:val="center"/>
          </w:tcPr>
          <w:p>
            <w:pPr>
              <w:spacing w:line="400" w:lineRule="exact"/>
              <w:jc w:val="left"/>
              <w:rPr>
                <w:rFonts w:hint="eastAsia" w:ascii="宋体" w:hAnsi="宋体" w:eastAsia="宋体" w:cs="宋体"/>
                <w:highlight w:val="none"/>
              </w:rPr>
            </w:pPr>
            <w:r>
              <w:rPr>
                <w:rFonts w:hint="eastAsia" w:ascii="宋体" w:hAnsi="宋体" w:eastAsia="宋体" w:cs="宋体"/>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4" w:type="dxa"/>
            <w:vAlign w:val="center"/>
          </w:tcPr>
          <w:p>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rPr>
              <w:t>10.</w:t>
            </w:r>
            <w:r>
              <w:rPr>
                <w:rFonts w:hint="eastAsia" w:ascii="宋体" w:hAnsi="宋体" w:eastAsia="宋体" w:cs="宋体"/>
                <w:highlight w:val="none"/>
                <w:lang w:val="en-US" w:eastAsia="zh-CN"/>
              </w:rPr>
              <w:t>6</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中标结果公告</w:t>
            </w:r>
          </w:p>
        </w:tc>
        <w:tc>
          <w:tcPr>
            <w:tcW w:w="6494" w:type="dxa"/>
            <w:vAlign w:val="center"/>
          </w:tcPr>
          <w:p>
            <w:pPr>
              <w:spacing w:line="400" w:lineRule="exact"/>
              <w:jc w:val="left"/>
              <w:rPr>
                <w:rFonts w:hint="eastAsia" w:ascii="宋体" w:hAnsi="宋体" w:eastAsia="宋体" w:cs="宋体"/>
                <w:highlight w:val="none"/>
              </w:rPr>
            </w:pPr>
            <w:r>
              <w:rPr>
                <w:rFonts w:hint="eastAsia" w:ascii="宋体" w:hAnsi="宋体" w:eastAsia="宋体" w:cs="宋体"/>
                <w:highlight w:val="none"/>
              </w:rPr>
              <w:t>采购人或者</w:t>
            </w:r>
            <w:r>
              <w:rPr>
                <w:rFonts w:hint="eastAsia" w:ascii="宋体" w:hAnsi="宋体" w:eastAsia="宋体" w:cs="宋体"/>
                <w:highlight w:val="none"/>
                <w:lang w:eastAsia="zh-CN"/>
              </w:rPr>
              <w:t>采购代理机构</w:t>
            </w:r>
            <w:r>
              <w:rPr>
                <w:rFonts w:hint="eastAsia" w:ascii="宋体" w:hAnsi="宋体" w:eastAsia="宋体" w:cs="宋体"/>
                <w:highlight w:val="none"/>
              </w:rPr>
              <w:t>自中标人确定之日起2个工作日内，在招标公告发布的同一媒介公告中标结果，中标公告期限为1个工作日。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4" w:type="dxa"/>
            <w:vAlign w:val="center"/>
          </w:tcPr>
          <w:p>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rPr>
              <w:t>10.</w:t>
            </w:r>
            <w:r>
              <w:rPr>
                <w:rFonts w:hint="eastAsia" w:ascii="宋体" w:hAnsi="宋体" w:eastAsia="宋体" w:cs="宋体"/>
                <w:highlight w:val="none"/>
                <w:lang w:val="en-US" w:eastAsia="zh-CN"/>
              </w:rPr>
              <w:t>7</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知识产权</w:t>
            </w:r>
          </w:p>
        </w:tc>
        <w:tc>
          <w:tcPr>
            <w:tcW w:w="6494" w:type="dxa"/>
            <w:vAlign w:val="center"/>
          </w:tcPr>
          <w:p>
            <w:pPr>
              <w:spacing w:line="400" w:lineRule="exact"/>
              <w:jc w:val="left"/>
              <w:rPr>
                <w:rFonts w:hint="eastAsia" w:ascii="宋体" w:hAnsi="宋体" w:eastAsia="宋体" w:cs="宋体"/>
                <w:highlight w:val="none"/>
              </w:rPr>
            </w:pPr>
            <w:r>
              <w:rPr>
                <w:rFonts w:hint="eastAsia" w:ascii="宋体" w:hAnsi="宋体" w:eastAsia="宋体" w:cs="宋体"/>
                <w:highlight w:val="none"/>
              </w:rPr>
              <w:t>构成本招标文件各个组成部分的文件，未经采购人书面同意，投标供应商不得擅自复印和用于非本招标项目所需的其他目的。采购人全部或者部分使用未中标供应商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4" w:type="dxa"/>
            <w:vAlign w:val="center"/>
          </w:tcPr>
          <w:p>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rPr>
              <w:t>10.</w:t>
            </w:r>
            <w:r>
              <w:rPr>
                <w:rFonts w:hint="eastAsia" w:ascii="宋体" w:hAnsi="宋体" w:eastAsia="宋体" w:cs="宋体"/>
                <w:highlight w:val="none"/>
                <w:lang w:val="en-US" w:eastAsia="zh-CN"/>
              </w:rPr>
              <w:t>8</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重新确定中标供应商</w:t>
            </w:r>
          </w:p>
        </w:tc>
        <w:tc>
          <w:tcPr>
            <w:tcW w:w="6494" w:type="dxa"/>
            <w:vAlign w:val="center"/>
          </w:tcPr>
          <w:p>
            <w:pPr>
              <w:spacing w:line="400" w:lineRule="exact"/>
              <w:jc w:val="left"/>
              <w:rPr>
                <w:rFonts w:hint="eastAsia" w:ascii="宋体" w:hAnsi="宋体" w:eastAsia="宋体" w:cs="宋体"/>
                <w:highlight w:val="none"/>
              </w:rPr>
            </w:pPr>
            <w:r>
              <w:rPr>
                <w:rFonts w:hint="eastAsia" w:ascii="宋体" w:hAnsi="宋体" w:eastAsia="宋体" w:cs="宋体"/>
                <w:bCs/>
                <w:highlight w:val="none"/>
              </w:rPr>
              <w:t>按照投标人须知第7.1条规定的情形确定的中标候选人出现下述情况：排名第一的中标候选人放弃中标 / 或者因不可抗力不能履行合同 / 或者不按要求提交履约保证金 /或者被查实存在影响中标结果的违法行为等情形，采购人可以按照评标委员会提出的中标候选人名单排序依次确定其他中标候选人为中标供应商，也可以重新招标。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4" w:type="dxa"/>
            <w:vAlign w:val="center"/>
          </w:tcPr>
          <w:p>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rPr>
              <w:t>10.</w:t>
            </w:r>
            <w:r>
              <w:rPr>
                <w:rFonts w:hint="eastAsia" w:ascii="宋体" w:hAnsi="宋体" w:eastAsia="宋体" w:cs="宋体"/>
                <w:highlight w:val="none"/>
                <w:lang w:val="en-US" w:eastAsia="zh-CN"/>
              </w:rPr>
              <w:t>9</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重新招标的其他情形</w:t>
            </w:r>
          </w:p>
        </w:tc>
        <w:tc>
          <w:tcPr>
            <w:tcW w:w="6494" w:type="dxa"/>
            <w:vAlign w:val="center"/>
          </w:tcPr>
          <w:p>
            <w:pPr>
              <w:spacing w:line="400" w:lineRule="exact"/>
              <w:jc w:val="left"/>
              <w:rPr>
                <w:rFonts w:hint="eastAsia" w:ascii="宋体" w:hAnsi="宋体" w:eastAsia="宋体" w:cs="宋体"/>
                <w:highlight w:val="none"/>
              </w:rPr>
            </w:pPr>
            <w:r>
              <w:rPr>
                <w:rFonts w:hint="eastAsia" w:ascii="宋体" w:hAnsi="宋体" w:eastAsia="宋体" w:cs="宋体"/>
                <w:highlight w:val="none"/>
              </w:rPr>
              <w:t>除投标人须知正文第8条规定的情形外，同意延长投标有效期的投标供应商少于三家的，采购人应当依法重新招标。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34" w:type="dxa"/>
            <w:vAlign w:val="center"/>
          </w:tcPr>
          <w:p>
            <w:pPr>
              <w:spacing w:line="400" w:lineRule="exact"/>
              <w:jc w:val="center"/>
              <w:rPr>
                <w:rFonts w:hint="eastAsia" w:ascii="宋体" w:hAnsi="宋体" w:eastAsia="宋体" w:cs="宋体"/>
                <w:highlight w:val="none"/>
                <w:lang w:val="en-US" w:eastAsia="zh-CN"/>
              </w:rPr>
            </w:pPr>
            <w:r>
              <w:rPr>
                <w:rFonts w:hint="eastAsia" w:ascii="宋体" w:hAnsi="宋体" w:eastAsia="宋体" w:cs="宋体"/>
                <w:highlight w:val="none"/>
              </w:rPr>
              <w:t>10.</w:t>
            </w:r>
            <w:r>
              <w:rPr>
                <w:rFonts w:hint="eastAsia" w:ascii="宋体" w:hAnsi="宋体" w:eastAsia="宋体" w:cs="宋体"/>
                <w:highlight w:val="none"/>
                <w:lang w:val="en-US" w:eastAsia="zh-CN"/>
              </w:rPr>
              <w:t>10</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同义词语</w:t>
            </w:r>
          </w:p>
        </w:tc>
        <w:tc>
          <w:tcPr>
            <w:tcW w:w="6494" w:type="dxa"/>
            <w:vAlign w:val="center"/>
          </w:tcPr>
          <w:p>
            <w:pPr>
              <w:spacing w:line="400" w:lineRule="exact"/>
              <w:jc w:val="left"/>
              <w:rPr>
                <w:rFonts w:hint="eastAsia" w:ascii="宋体" w:hAnsi="宋体" w:eastAsia="宋体" w:cs="宋体"/>
                <w:highlight w:val="none"/>
              </w:rPr>
            </w:pPr>
            <w:r>
              <w:rPr>
                <w:rFonts w:hint="eastAsia" w:ascii="宋体" w:hAnsi="宋体" w:eastAsia="宋体" w:cs="宋体"/>
                <w:bCs/>
                <w:highlight w:val="none"/>
              </w:rPr>
              <w:t>构成招标文件组成部分的“合同条款及格式”、“技术要求及货物清单”等章节中出现的措辞“发包人”和“承包人”，在招标投标阶段应当分别按“采购人”和“投标供应商”、“中标供应商”进行理解。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4" w:type="dxa"/>
            <w:vAlign w:val="center"/>
          </w:tcPr>
          <w:p>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rPr>
              <w:t>10.1</w:t>
            </w:r>
            <w:r>
              <w:rPr>
                <w:rFonts w:hint="eastAsia" w:ascii="宋体" w:hAnsi="宋体" w:eastAsia="宋体" w:cs="宋体"/>
                <w:highlight w:val="none"/>
                <w:lang w:val="en-US" w:eastAsia="zh-CN"/>
              </w:rPr>
              <w:t>1</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 xml:space="preserve">其他要求             </w:t>
            </w:r>
          </w:p>
        </w:tc>
        <w:tc>
          <w:tcPr>
            <w:tcW w:w="6494" w:type="dxa"/>
            <w:vAlign w:val="center"/>
          </w:tcPr>
          <w:p>
            <w:pPr>
              <w:spacing w:line="400" w:lineRule="exact"/>
              <w:jc w:val="left"/>
              <w:rPr>
                <w:rFonts w:hint="eastAsia" w:ascii="宋体" w:hAnsi="宋体" w:eastAsia="宋体" w:cs="宋体"/>
                <w:highlight w:val="none"/>
              </w:rPr>
            </w:pPr>
            <w:r>
              <w:rPr>
                <w:rFonts w:hint="eastAsia" w:ascii="宋体" w:hAnsi="宋体" w:eastAsia="宋体" w:cs="宋体"/>
                <w:highlight w:val="none"/>
              </w:rPr>
              <w:t>提供相同品牌产品且通过资格审查、符合性审查的不同投标供应商参加同一合同项下投标的，按一家投标供应商计算：评审后得分最高的同品牌投标供应商获得中标供应商推荐资格；评审得分相同的，技术部分得分高的获得中标供应商推荐资格；技术部分得分相同的，投标报价低的获得中标供应商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4" w:type="dxa"/>
            <w:vAlign w:val="center"/>
          </w:tcPr>
          <w:p>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rPr>
              <w:t>10.1</w:t>
            </w:r>
            <w:r>
              <w:rPr>
                <w:rFonts w:hint="eastAsia" w:ascii="宋体" w:hAnsi="宋体" w:eastAsia="宋体" w:cs="宋体"/>
                <w:highlight w:val="none"/>
                <w:lang w:val="en-US" w:eastAsia="zh-CN"/>
              </w:rPr>
              <w:t>2</w:t>
            </w:r>
          </w:p>
        </w:tc>
        <w:tc>
          <w:tcPr>
            <w:tcW w:w="1969"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解释权</w:t>
            </w:r>
          </w:p>
        </w:tc>
        <w:tc>
          <w:tcPr>
            <w:tcW w:w="6494" w:type="dxa"/>
            <w:vAlign w:val="center"/>
          </w:tcPr>
          <w:p>
            <w:pPr>
              <w:spacing w:line="400" w:lineRule="exact"/>
              <w:jc w:val="left"/>
              <w:rPr>
                <w:rFonts w:hint="eastAsia" w:ascii="宋体" w:hAnsi="宋体" w:eastAsia="宋体" w:cs="宋体"/>
                <w:bCs/>
                <w:highlight w:val="none"/>
              </w:rPr>
            </w:pPr>
            <w:r>
              <w:rPr>
                <w:rFonts w:hint="eastAsia" w:ascii="宋体" w:hAnsi="宋体" w:eastAsia="宋体" w:cs="宋体"/>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4" w:type="dxa"/>
            <w:vAlign w:val="center"/>
          </w:tcPr>
          <w:p>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rPr>
              <w:t>10.1</w:t>
            </w:r>
            <w:r>
              <w:rPr>
                <w:rFonts w:hint="eastAsia" w:ascii="宋体" w:hAnsi="宋体" w:eastAsia="宋体" w:cs="宋体"/>
                <w:highlight w:val="none"/>
                <w:lang w:val="en-US" w:eastAsia="zh-CN"/>
              </w:rPr>
              <w:t>3</w:t>
            </w:r>
          </w:p>
        </w:tc>
        <w:tc>
          <w:tcPr>
            <w:tcW w:w="1969" w:type="dxa"/>
            <w:vAlign w:val="center"/>
          </w:tcPr>
          <w:p>
            <w:pPr>
              <w:spacing w:line="400" w:lineRule="exact"/>
              <w:jc w:val="center"/>
              <w:rPr>
                <w:rFonts w:hint="eastAsia" w:ascii="宋体" w:hAnsi="宋体" w:eastAsia="宋体" w:cs="宋体"/>
                <w:b w:val="0"/>
                <w:bCs w:val="0"/>
                <w:highlight w:val="none"/>
              </w:rPr>
            </w:pPr>
            <w:r>
              <w:rPr>
                <w:rFonts w:hint="eastAsia" w:ascii="宋体" w:hAnsi="宋体" w:eastAsia="宋体" w:cs="宋体"/>
                <w:b w:val="0"/>
                <w:bCs w:val="0"/>
                <w:highlight w:val="none"/>
              </w:rPr>
              <w:t>特别提醒</w:t>
            </w:r>
          </w:p>
        </w:tc>
        <w:tc>
          <w:tcPr>
            <w:tcW w:w="6494" w:type="dxa"/>
            <w:vAlign w:val="center"/>
          </w:tcPr>
          <w:p>
            <w:pPr>
              <w:spacing w:line="400" w:lineRule="exact"/>
              <w:jc w:val="left"/>
              <w:rPr>
                <w:rFonts w:hint="eastAsia" w:ascii="宋体" w:hAnsi="宋体" w:eastAsia="宋体" w:cs="宋体"/>
                <w:b w:val="0"/>
                <w:bCs w:val="0"/>
                <w:highlight w:val="none"/>
              </w:rPr>
            </w:pPr>
            <w:r>
              <w:rPr>
                <w:rFonts w:hint="eastAsia" w:ascii="宋体" w:hAnsi="宋体" w:eastAsia="宋体" w:cs="宋体"/>
                <w:b w:val="0"/>
                <w:bCs w:val="0"/>
                <w:highlight w:val="none"/>
              </w:rPr>
              <w:t>1.采购人和</w:t>
            </w:r>
            <w:r>
              <w:rPr>
                <w:rFonts w:hint="eastAsia" w:ascii="宋体" w:hAnsi="宋体" w:eastAsia="宋体" w:cs="宋体"/>
                <w:b w:val="0"/>
                <w:bCs w:val="0"/>
                <w:highlight w:val="none"/>
                <w:lang w:eastAsia="zh-CN"/>
              </w:rPr>
              <w:t>采购代理机构</w:t>
            </w:r>
            <w:r>
              <w:rPr>
                <w:rFonts w:hint="eastAsia" w:ascii="宋体" w:hAnsi="宋体" w:eastAsia="宋体" w:cs="宋体"/>
                <w:b w:val="0"/>
                <w:bCs w:val="0"/>
                <w:highlight w:val="none"/>
              </w:rPr>
              <w:t>对已发出的招标文件进行的澄清、更正或更改，澄清、更正或更改的内容将作为招标文件组成部分。</w:t>
            </w:r>
            <w:r>
              <w:rPr>
                <w:rFonts w:hint="eastAsia" w:ascii="宋体" w:hAnsi="宋体" w:eastAsia="宋体" w:cs="宋体"/>
                <w:b w:val="0"/>
                <w:bCs w:val="0"/>
                <w:highlight w:val="none"/>
                <w:lang w:eastAsia="zh-CN"/>
              </w:rPr>
              <w:t>采购代理机构</w:t>
            </w:r>
            <w:r>
              <w:rPr>
                <w:rFonts w:hint="eastAsia" w:ascii="宋体" w:hAnsi="宋体" w:eastAsia="宋体" w:cs="宋体"/>
                <w:b w:val="0"/>
                <w:bCs w:val="0"/>
                <w:highlight w:val="none"/>
              </w:rPr>
              <w:t>将通过网站“变更公告”和系统内部“答疑文件”告知投标供应商，对于各项目中已经成功报名并下载招标文件的项目投标供应商，系统将通过第三方短信群发方式提醒投标供应商进行查询。各投标供应商须重新下载最新的招标文件及答疑文件，以此编制投标文件。投标供应商注册时所留手机联系方式要保持畅通，因联系方式变更而未及时更新系统内联系方式的，将会造成收不到短信。此短信仅系友情提示，并具有任何约束性和必要性，采购人和</w:t>
            </w:r>
            <w:r>
              <w:rPr>
                <w:rFonts w:hint="eastAsia" w:ascii="宋体" w:hAnsi="宋体" w:eastAsia="宋体" w:cs="宋体"/>
                <w:b w:val="0"/>
                <w:bCs w:val="0"/>
                <w:highlight w:val="none"/>
                <w:lang w:eastAsia="zh-CN"/>
              </w:rPr>
              <w:t>采购代理机构</w:t>
            </w:r>
            <w:r>
              <w:rPr>
                <w:rFonts w:hint="eastAsia" w:ascii="宋体" w:hAnsi="宋体" w:eastAsia="宋体" w:cs="宋体"/>
                <w:b w:val="0"/>
                <w:bCs w:val="0"/>
                <w:highlight w:val="none"/>
              </w:rPr>
              <w:t>不承担投标供应商未收到短信而引起的一切后果和法律责任。</w:t>
            </w:r>
          </w:p>
          <w:p>
            <w:pPr>
              <w:spacing w:line="400" w:lineRule="exact"/>
              <w:jc w:val="left"/>
              <w:rPr>
                <w:rFonts w:hint="eastAsia" w:ascii="宋体" w:hAnsi="宋体" w:eastAsia="宋体" w:cs="宋体"/>
                <w:b w:val="0"/>
                <w:bCs w:val="0"/>
                <w:highlight w:val="none"/>
              </w:rPr>
            </w:pPr>
            <w:r>
              <w:rPr>
                <w:rFonts w:hint="eastAsia" w:ascii="宋体" w:hAnsi="宋体" w:eastAsia="宋体" w:cs="宋体"/>
                <w:b w:val="0"/>
                <w:bCs w:val="0"/>
                <w:highlight w:val="none"/>
              </w:rPr>
              <w:t>2.因河南省公共资源交易中心平台在开标前具有保密性，投标供应商在投标文件递交截止时间前须自行查看项目进展、变更通知、澄清及回复，因投标供应商未及时查看而造成的后果自负。</w:t>
            </w:r>
          </w:p>
          <w:p>
            <w:pPr>
              <w:spacing w:line="400" w:lineRule="exact"/>
              <w:jc w:val="left"/>
              <w:rPr>
                <w:rFonts w:hint="eastAsia" w:ascii="宋体" w:hAnsi="宋体" w:eastAsia="宋体" w:cs="宋体"/>
                <w:b w:val="0"/>
                <w:bCs w:val="0"/>
                <w:highlight w:val="none"/>
              </w:rPr>
            </w:pPr>
            <w:r>
              <w:rPr>
                <w:rFonts w:hint="eastAsia" w:ascii="宋体" w:hAnsi="宋体" w:eastAsia="宋体" w:cs="宋体"/>
                <w:b w:val="0"/>
                <w:bCs w:val="0"/>
                <w:highlight w:val="none"/>
              </w:rPr>
              <w:t>3.本项目采用“远程不见面”开标方式，远程开标大厅网址为</w:t>
            </w:r>
            <w:r>
              <w:rPr>
                <w:rFonts w:hint="eastAsia" w:ascii="宋体" w:hAnsi="宋体" w:eastAsia="宋体" w:cs="宋体"/>
                <w:b w:val="0"/>
                <w:bCs w:val="0"/>
                <w:highlight w:val="none"/>
                <w:lang w:eastAsia="zh-CN"/>
              </w:rPr>
              <w:t>（http://www.hnggzy.net/）</w:t>
            </w:r>
            <w:r>
              <w:rPr>
                <w:rFonts w:hint="eastAsia" w:ascii="宋体" w:hAnsi="宋体" w:eastAsia="宋体" w:cs="宋体"/>
                <w:b w:val="0"/>
                <w:bCs w:val="0"/>
                <w:highlight w:val="none"/>
              </w:rPr>
              <w:t>，投标供应商无需到河南省公共资源交易中心现场参加开标会议，无需到达现场提交原件资料。投标供应商应当在投标截止时间前，登录远程开标大厅，在线准时参加开标活动并进行投标文件解密等</w:t>
            </w:r>
          </w:p>
          <w:p>
            <w:pPr>
              <w:spacing w:line="400" w:lineRule="exact"/>
              <w:jc w:val="left"/>
              <w:rPr>
                <w:rFonts w:hint="eastAsia" w:ascii="宋体" w:hAnsi="宋体" w:eastAsia="宋体" w:cs="宋体"/>
                <w:b w:val="0"/>
                <w:bCs w:val="0"/>
                <w:highlight w:val="none"/>
              </w:rPr>
            </w:pPr>
            <w:r>
              <w:rPr>
                <w:rFonts w:hint="eastAsia" w:ascii="宋体" w:hAnsi="宋体" w:eastAsia="宋体" w:cs="宋体"/>
                <w:b w:val="0"/>
                <w:bCs w:val="0"/>
                <w:kern w:val="2"/>
                <w:sz w:val="21"/>
                <w:szCs w:val="21"/>
                <w:highlight w:val="none"/>
                <w:lang w:val="en-US" w:eastAsia="zh-CN" w:bidi="ar-SA"/>
              </w:rPr>
              <w:t>注：根据《河南省公共资源交易中心关于实现自动抓取评委认定的人员、业绩等信息到中标候选人公示模板中的通知》的要求，投标人在主体库中上传项目相关人员、业绩等信息，投标人须保证主体库中企业信息准确，并及时更新，以免影响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10.13</w:t>
            </w:r>
          </w:p>
        </w:tc>
        <w:tc>
          <w:tcPr>
            <w:tcW w:w="1969" w:type="dxa"/>
            <w:vAlign w:val="center"/>
          </w:tcPr>
          <w:p>
            <w:pPr>
              <w:autoSpaceDE w:val="0"/>
              <w:autoSpaceDN w:val="0"/>
              <w:adjustRightInd w:val="0"/>
              <w:spacing w:line="400" w:lineRule="exact"/>
              <w:jc w:val="center"/>
              <w:rPr>
                <w:rFonts w:hint="eastAsia" w:ascii="宋体" w:hAnsi="宋体" w:eastAsia="宋体" w:cs="宋体"/>
                <w:b w:val="0"/>
                <w:bCs w:val="0"/>
                <w:highlight w:val="none"/>
              </w:rPr>
            </w:pPr>
            <w:r>
              <w:rPr>
                <w:rFonts w:hint="eastAsia" w:ascii="宋体" w:hAnsi="宋体" w:eastAsia="宋体" w:cs="宋体"/>
                <w:b w:val="0"/>
                <w:bCs w:val="0"/>
                <w:kern w:val="0"/>
                <w:szCs w:val="21"/>
                <w:highlight w:val="none"/>
              </w:rPr>
              <w:t>信用查询</w:t>
            </w:r>
          </w:p>
        </w:tc>
        <w:tc>
          <w:tcPr>
            <w:tcW w:w="6494" w:type="dxa"/>
            <w:vAlign w:val="center"/>
          </w:tcPr>
          <w:p>
            <w:pPr>
              <w:pStyle w:val="72"/>
              <w:spacing w:line="400" w:lineRule="exact"/>
              <w:ind w:firstLine="0" w:firstLineChars="0"/>
              <w:rPr>
                <w:rFonts w:hint="eastAsia" w:ascii="宋体" w:hAnsi="宋体" w:eastAsia="宋体" w:cs="宋体"/>
                <w:b w:val="0"/>
                <w:bCs w:val="0"/>
                <w:highlight w:val="none"/>
              </w:rPr>
            </w:pPr>
            <w:r>
              <w:rPr>
                <w:rFonts w:hint="eastAsia" w:ascii="宋体" w:hAnsi="宋体" w:eastAsia="宋体" w:cs="宋体"/>
                <w:b w:val="0"/>
                <w:bCs w:val="0"/>
                <w:highlight w:val="none"/>
              </w:rPr>
              <w:t>根据财库【2016】125号文的要求，</w:t>
            </w:r>
            <w:r>
              <w:rPr>
                <w:rFonts w:hint="eastAsia" w:ascii="宋体" w:hAnsi="宋体" w:eastAsia="宋体" w:cs="宋体"/>
                <w:b w:val="0"/>
                <w:bCs w:val="0"/>
                <w:highlight w:val="none"/>
                <w:lang w:val="en-US" w:eastAsia="zh-CN"/>
              </w:rPr>
              <w:t>采购人</w:t>
            </w:r>
            <w:r>
              <w:rPr>
                <w:rFonts w:hint="eastAsia" w:ascii="宋体" w:hAnsi="宋体" w:eastAsia="宋体" w:cs="宋体"/>
                <w:b w:val="0"/>
                <w:bCs w:val="0"/>
                <w:highlight w:val="none"/>
              </w:rPr>
              <w:t>或</w:t>
            </w:r>
            <w:r>
              <w:rPr>
                <w:rFonts w:hint="eastAsia" w:ascii="宋体" w:hAnsi="宋体" w:eastAsia="宋体" w:cs="宋体"/>
                <w:b w:val="0"/>
                <w:bCs w:val="0"/>
                <w:highlight w:val="none"/>
                <w:lang w:val="en-US" w:eastAsia="zh-CN"/>
              </w:rPr>
              <w:t>采购代理机构</w:t>
            </w:r>
            <w:r>
              <w:rPr>
                <w:rFonts w:hint="eastAsia" w:ascii="宋体" w:hAnsi="宋体" w:eastAsia="宋体" w:cs="宋体"/>
                <w:b w:val="0"/>
                <w:bCs w:val="0"/>
                <w:highlight w:val="none"/>
              </w:rPr>
              <w:t>将查询供应商信用记录。</w:t>
            </w:r>
          </w:p>
          <w:p>
            <w:pPr>
              <w:pStyle w:val="72"/>
              <w:spacing w:line="400" w:lineRule="exact"/>
              <w:ind w:firstLine="0" w:firstLineChars="0"/>
              <w:rPr>
                <w:rFonts w:hint="eastAsia" w:ascii="宋体" w:hAnsi="宋体" w:eastAsia="宋体" w:cs="宋体"/>
                <w:b w:val="0"/>
                <w:bCs w:val="0"/>
                <w:highlight w:val="none"/>
              </w:rPr>
            </w:pPr>
            <w:r>
              <w:rPr>
                <w:rFonts w:hint="eastAsia" w:ascii="宋体" w:hAnsi="宋体" w:eastAsia="宋体" w:cs="宋体"/>
                <w:b w:val="0"/>
                <w:bCs w:val="0"/>
                <w:highlight w:val="none"/>
              </w:rPr>
              <w:t>1、查询渠道：</w:t>
            </w:r>
          </w:p>
          <w:p>
            <w:pPr>
              <w:pStyle w:val="72"/>
              <w:spacing w:line="400" w:lineRule="exact"/>
              <w:ind w:firstLine="0" w:firstLineChars="0"/>
              <w:rPr>
                <w:rFonts w:hint="eastAsia" w:ascii="宋体" w:hAnsi="宋体" w:eastAsia="宋体" w:cs="宋体"/>
                <w:b w:val="0"/>
                <w:bCs w:val="0"/>
                <w:highlight w:val="none"/>
              </w:rPr>
            </w:pPr>
            <w:r>
              <w:rPr>
                <w:rFonts w:hint="eastAsia" w:ascii="宋体" w:hAnsi="宋体" w:eastAsia="宋体" w:cs="宋体"/>
                <w:b w:val="0"/>
                <w:bCs w:val="0"/>
                <w:highlight w:val="none"/>
              </w:rPr>
              <w:t>失信被执行人通过“中国执行信息公开网”网站查询；</w:t>
            </w:r>
          </w:p>
          <w:p>
            <w:pPr>
              <w:pStyle w:val="72"/>
              <w:spacing w:line="400" w:lineRule="exact"/>
              <w:ind w:firstLine="0" w:firstLineChars="0"/>
              <w:rPr>
                <w:rFonts w:hint="eastAsia" w:ascii="宋体" w:hAnsi="宋体" w:eastAsia="宋体" w:cs="宋体"/>
                <w:b w:val="0"/>
                <w:bCs w:val="0"/>
                <w:highlight w:val="none"/>
              </w:rPr>
            </w:pPr>
            <w:r>
              <w:rPr>
                <w:rFonts w:hint="eastAsia" w:ascii="宋体" w:hAnsi="宋体" w:eastAsia="宋体" w:cs="宋体"/>
                <w:b w:val="0"/>
                <w:bCs w:val="0"/>
                <w:highlight w:val="none"/>
              </w:rPr>
              <w:t>重大税收违法失信主体通过“信用中国”网站查询；</w:t>
            </w:r>
          </w:p>
          <w:p>
            <w:pPr>
              <w:pStyle w:val="72"/>
              <w:spacing w:line="400" w:lineRule="exact"/>
              <w:ind w:firstLine="0" w:firstLineChars="0"/>
              <w:rPr>
                <w:rFonts w:hint="eastAsia" w:ascii="宋体" w:hAnsi="宋体" w:eastAsia="宋体" w:cs="宋体"/>
                <w:b w:val="0"/>
                <w:bCs w:val="0"/>
                <w:highlight w:val="none"/>
              </w:rPr>
            </w:pPr>
            <w:r>
              <w:rPr>
                <w:rFonts w:hint="eastAsia" w:ascii="宋体" w:hAnsi="宋体" w:eastAsia="宋体" w:cs="宋体"/>
                <w:b w:val="0"/>
                <w:bCs w:val="0"/>
                <w:highlight w:val="none"/>
              </w:rPr>
              <w:t xml:space="preserve">政府采购严重违法失信行为通过“中国政府采购网”查询； </w:t>
            </w:r>
          </w:p>
          <w:p>
            <w:pPr>
              <w:pStyle w:val="72"/>
              <w:spacing w:line="400" w:lineRule="exact"/>
              <w:ind w:firstLine="0" w:firstLineChars="0"/>
              <w:rPr>
                <w:rFonts w:hint="eastAsia" w:ascii="宋体" w:hAnsi="宋体" w:eastAsia="宋体" w:cs="宋体"/>
                <w:b w:val="0"/>
                <w:bCs w:val="0"/>
                <w:highlight w:val="none"/>
              </w:rPr>
            </w:pPr>
            <w:r>
              <w:rPr>
                <w:rFonts w:hint="eastAsia" w:ascii="宋体" w:hAnsi="宋体" w:eastAsia="宋体" w:cs="宋体"/>
                <w:b w:val="0"/>
                <w:bCs w:val="0"/>
                <w:highlight w:val="none"/>
              </w:rPr>
              <w:t>2、信用信息查询时间：资格审查时，由采购人或</w:t>
            </w:r>
            <w:r>
              <w:rPr>
                <w:rFonts w:hint="eastAsia" w:ascii="宋体" w:hAnsi="宋体" w:eastAsia="宋体" w:cs="宋体"/>
                <w:b w:val="0"/>
                <w:bCs w:val="0"/>
                <w:highlight w:val="none"/>
                <w:lang w:eastAsia="zh-CN"/>
              </w:rPr>
              <w:t>采购代理机构</w:t>
            </w:r>
            <w:r>
              <w:rPr>
                <w:rFonts w:hint="eastAsia" w:ascii="宋体" w:hAnsi="宋体" w:eastAsia="宋体" w:cs="宋体"/>
                <w:b w:val="0"/>
                <w:bCs w:val="0"/>
                <w:highlight w:val="none"/>
              </w:rPr>
              <w:t xml:space="preserve">查询供应商的信用信息记录。 </w:t>
            </w:r>
          </w:p>
          <w:p>
            <w:pPr>
              <w:pStyle w:val="72"/>
              <w:spacing w:line="400" w:lineRule="exact"/>
              <w:ind w:firstLine="0" w:firstLineChars="0"/>
              <w:rPr>
                <w:rFonts w:hint="eastAsia" w:ascii="宋体" w:hAnsi="宋体" w:eastAsia="宋体" w:cs="宋体"/>
                <w:b w:val="0"/>
                <w:bCs w:val="0"/>
                <w:highlight w:val="none"/>
              </w:rPr>
            </w:pPr>
            <w:r>
              <w:rPr>
                <w:rFonts w:hint="eastAsia" w:ascii="宋体" w:hAnsi="宋体" w:eastAsia="宋体" w:cs="宋体"/>
                <w:b w:val="0"/>
                <w:bCs w:val="0"/>
                <w:highlight w:val="none"/>
              </w:rPr>
              <w:t>3、信用信息查询记录和证据留存的具体方式：网页截图或打印件，在评标时作为评审依据进行资格审查，评审结束后与其他采购文件一并保存。</w:t>
            </w:r>
          </w:p>
          <w:p>
            <w:pPr>
              <w:pStyle w:val="72"/>
              <w:spacing w:line="400" w:lineRule="exact"/>
              <w:ind w:firstLine="0" w:firstLineChars="0"/>
              <w:jc w:val="left"/>
              <w:rPr>
                <w:rFonts w:hint="eastAsia" w:ascii="宋体" w:hAnsi="宋体" w:eastAsia="宋体" w:cs="宋体"/>
                <w:b w:val="0"/>
                <w:bCs w:val="0"/>
                <w:highlight w:val="none"/>
              </w:rPr>
            </w:pPr>
            <w:r>
              <w:rPr>
                <w:rFonts w:hint="eastAsia" w:ascii="宋体" w:hAnsi="宋体" w:eastAsia="宋体" w:cs="宋体"/>
                <w:b w:val="0"/>
                <w:bCs w:val="0"/>
                <w:highlight w:val="none"/>
              </w:rPr>
              <w:t>4、信用信息的使用规则：如供应商</w:t>
            </w:r>
            <w:r>
              <w:rPr>
                <w:rFonts w:hint="eastAsia" w:ascii="宋体" w:hAnsi="宋体" w:eastAsia="宋体" w:cs="宋体"/>
                <w:b w:val="0"/>
                <w:bCs w:val="0"/>
                <w:highlight w:val="none"/>
                <w:lang w:val="en-US" w:eastAsia="zh-CN"/>
              </w:rPr>
              <w:t>在</w:t>
            </w:r>
            <w:r>
              <w:rPr>
                <w:rFonts w:hint="eastAsia" w:ascii="宋体" w:hAnsi="宋体" w:eastAsia="宋体" w:cs="宋体"/>
                <w:b w:val="0"/>
                <w:bCs w:val="0"/>
                <w:highlight w:val="none"/>
              </w:rPr>
              <w:t>“中国执行信息公开网”网站中列入失信被执行人</w:t>
            </w:r>
            <w:r>
              <w:rPr>
                <w:rFonts w:hint="eastAsia" w:ascii="宋体" w:hAnsi="宋体" w:eastAsia="宋体" w:cs="宋体"/>
                <w:b w:val="0"/>
                <w:bCs w:val="0"/>
                <w:highlight w:val="none"/>
                <w:lang w:val="en-US" w:eastAsia="zh-CN"/>
              </w:rPr>
              <w:t>或在</w:t>
            </w:r>
            <w:r>
              <w:rPr>
                <w:rFonts w:hint="eastAsia" w:ascii="宋体" w:hAnsi="宋体" w:eastAsia="宋体" w:cs="宋体"/>
                <w:b w:val="0"/>
                <w:bCs w:val="0"/>
                <w:highlight w:val="none"/>
              </w:rPr>
              <w:t>“信用中国”网站（www.creditchina.gov.cn ）中列入重大税收违法失信主体名单的供应商，或</w:t>
            </w:r>
            <w:r>
              <w:rPr>
                <w:rFonts w:hint="eastAsia" w:ascii="宋体" w:hAnsi="宋体" w:eastAsia="宋体" w:cs="宋体"/>
                <w:b w:val="0"/>
                <w:bCs w:val="0"/>
                <w:highlight w:val="none"/>
                <w:lang w:val="en-US" w:eastAsia="zh-CN"/>
              </w:rPr>
              <w:t>在</w:t>
            </w:r>
            <w:r>
              <w:rPr>
                <w:rFonts w:hint="eastAsia" w:ascii="宋体" w:hAnsi="宋体" w:eastAsia="宋体" w:cs="宋体"/>
                <w:b w:val="0"/>
                <w:bCs w:val="0"/>
                <w:highlight w:val="none"/>
              </w:rPr>
              <w:t>中国政府采购网（www.ccgp.gov.cn）政府采购严重违法失信行为记录名单中被财政部门禁止参加政府采购活动的供应商，则其投标文件将被拒绝。</w:t>
            </w:r>
          </w:p>
          <w:p>
            <w:pPr>
              <w:pStyle w:val="72"/>
              <w:spacing w:line="400" w:lineRule="exact"/>
              <w:ind w:firstLine="0" w:firstLineChars="0"/>
              <w:rPr>
                <w:rFonts w:hint="eastAsia" w:ascii="宋体" w:hAnsi="宋体" w:eastAsia="宋体" w:cs="宋体"/>
                <w:b w:val="0"/>
                <w:bCs w:val="0"/>
                <w:highlight w:val="none"/>
              </w:rPr>
            </w:pPr>
            <w:r>
              <w:rPr>
                <w:rFonts w:hint="eastAsia" w:ascii="宋体" w:hAnsi="宋体" w:eastAsia="宋体" w:cs="宋体"/>
                <w:b w:val="0"/>
                <w:bCs w:val="0"/>
                <w:highlight w:val="none"/>
              </w:rPr>
              <w:t>采购人或</w:t>
            </w:r>
            <w:r>
              <w:rPr>
                <w:rFonts w:hint="eastAsia" w:ascii="宋体" w:hAnsi="宋体" w:eastAsia="宋体" w:cs="宋体"/>
                <w:b w:val="0"/>
                <w:bCs w:val="0"/>
                <w:highlight w:val="none"/>
                <w:lang w:eastAsia="zh-CN"/>
              </w:rPr>
              <w:t>采购代理机构</w:t>
            </w:r>
            <w:r>
              <w:rPr>
                <w:rFonts w:hint="eastAsia" w:ascii="宋体" w:hAnsi="宋体" w:eastAsia="宋体" w:cs="宋体"/>
                <w:b w:val="0"/>
                <w:bCs w:val="0"/>
                <w:highlight w:val="none"/>
              </w:rPr>
              <w:t>查询之后，网站信息发生的任何变更均不再作为评审依据，供应商自行提供的查询结果及其他证明材料亦不作为评审依据。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shd w:val="clear" w:color="auto" w:fill="auto"/>
            <w:vAlign w:val="center"/>
          </w:tcPr>
          <w:p>
            <w:pPr>
              <w:spacing w:line="360" w:lineRule="auto"/>
              <w:jc w:val="center"/>
              <w:rPr>
                <w:rFonts w:hint="eastAsia" w:ascii="宋体" w:hAnsi="宋体" w:eastAsia="宋体" w:cs="宋体"/>
                <w:b w:val="0"/>
                <w:bCs w:val="0"/>
                <w:kern w:val="2"/>
                <w:sz w:val="21"/>
                <w:szCs w:val="24"/>
                <w:highlight w:val="none"/>
                <w:lang w:val="en-US" w:eastAsia="zh-CN" w:bidi="ar-SA"/>
              </w:rPr>
            </w:pPr>
            <w:bookmarkStart w:id="11" w:name="_Toc345178448"/>
            <w:bookmarkStart w:id="12" w:name="_Toc184635071"/>
            <w:bookmarkStart w:id="13" w:name="_Toc20145"/>
            <w:r>
              <w:rPr>
                <w:rFonts w:hint="eastAsia" w:ascii="宋体" w:hAnsi="宋体" w:eastAsia="宋体" w:cs="宋体"/>
                <w:b w:val="0"/>
                <w:bCs w:val="0"/>
                <w:kern w:val="2"/>
                <w:sz w:val="21"/>
                <w:szCs w:val="24"/>
                <w:highlight w:val="none"/>
                <w:lang w:val="en-US" w:eastAsia="zh-CN" w:bidi="ar-SA"/>
              </w:rPr>
              <w:t>10.14</w:t>
            </w:r>
          </w:p>
        </w:tc>
        <w:tc>
          <w:tcPr>
            <w:tcW w:w="1969" w:type="dxa"/>
            <w:shd w:val="clear" w:color="auto" w:fill="auto"/>
            <w:vAlign w:val="center"/>
          </w:tcPr>
          <w:p>
            <w:pPr>
              <w:autoSpaceDE w:val="0"/>
              <w:autoSpaceDN w:val="0"/>
              <w:adjustRightInd w:val="0"/>
              <w:jc w:val="center"/>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是否为“中小企业预留采购份额”项目</w:t>
            </w:r>
          </w:p>
        </w:tc>
        <w:tc>
          <w:tcPr>
            <w:tcW w:w="6494" w:type="dxa"/>
            <w:shd w:val="clear" w:color="auto" w:fill="auto"/>
            <w:vAlign w:val="center"/>
          </w:tcPr>
          <w:p>
            <w:pPr>
              <w:rPr>
                <w:rFonts w:hint="default" w:ascii="宋体" w:hAnsi="宋体" w:eastAsia="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shd w:val="clear" w:color="auto" w:fill="auto"/>
            <w:vAlign w:val="center"/>
          </w:tcPr>
          <w:p>
            <w:pPr>
              <w:spacing w:line="360" w:lineRule="auto"/>
              <w:jc w:val="center"/>
              <w:rPr>
                <w:rFonts w:hint="default"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10.15</w:t>
            </w:r>
          </w:p>
        </w:tc>
        <w:tc>
          <w:tcPr>
            <w:tcW w:w="1969" w:type="dxa"/>
            <w:shd w:val="clear" w:color="auto" w:fill="auto"/>
            <w:vAlign w:val="center"/>
          </w:tcPr>
          <w:p>
            <w:pPr>
              <w:autoSpaceDE w:val="0"/>
              <w:autoSpaceDN w:val="0"/>
              <w:adjustRightInd w:val="0"/>
              <w:jc w:val="center"/>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核心产品</w:t>
            </w:r>
          </w:p>
        </w:tc>
        <w:tc>
          <w:tcPr>
            <w:tcW w:w="6494" w:type="dxa"/>
            <w:shd w:val="clear" w:color="auto" w:fill="auto"/>
            <w:vAlign w:val="center"/>
          </w:tcPr>
          <w:p>
            <w:pPr>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见各包采购说明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Align w:val="center"/>
          </w:tcPr>
          <w:p>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rPr>
              <w:t>10.1</w:t>
            </w:r>
            <w:r>
              <w:rPr>
                <w:rFonts w:hint="eastAsia" w:ascii="宋体" w:hAnsi="宋体" w:eastAsia="宋体" w:cs="宋体"/>
                <w:highlight w:val="none"/>
                <w:lang w:val="en-US" w:eastAsia="zh-CN"/>
              </w:rPr>
              <w:t>6</w:t>
            </w:r>
          </w:p>
        </w:tc>
        <w:tc>
          <w:tcPr>
            <w:tcW w:w="1969" w:type="dxa"/>
            <w:vAlign w:val="center"/>
          </w:tcPr>
          <w:p>
            <w:pPr>
              <w:autoSpaceDE w:val="0"/>
              <w:autoSpaceDN w:val="0"/>
              <w:adjustRightInd w:val="0"/>
              <w:jc w:val="center"/>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lang w:val="en-US" w:eastAsia="zh-CN"/>
              </w:rPr>
              <w:t>支持中小企业及监狱企业发展</w:t>
            </w:r>
          </w:p>
          <w:p>
            <w:pPr>
              <w:autoSpaceDE w:val="0"/>
              <w:autoSpaceDN w:val="0"/>
              <w:adjustRightInd w:val="0"/>
              <w:jc w:val="center"/>
              <w:rPr>
                <w:rFonts w:hint="eastAsia" w:ascii="宋体" w:hAnsi="宋体" w:eastAsia="宋体" w:cs="宋体"/>
                <w:b w:val="0"/>
                <w:bCs/>
                <w:kern w:val="0"/>
                <w:szCs w:val="21"/>
                <w:highlight w:val="none"/>
              </w:rPr>
            </w:pPr>
          </w:p>
        </w:tc>
        <w:tc>
          <w:tcPr>
            <w:tcW w:w="6494" w:type="dxa"/>
            <w:vAlign w:val="center"/>
          </w:tcPr>
          <w:p>
            <w:pPr>
              <w:spacing w:line="360" w:lineRule="auto"/>
              <w:jc w:val="left"/>
              <w:rPr>
                <w:rFonts w:hint="eastAsia" w:ascii="宋体" w:hAnsi="宋体" w:eastAsia="宋体" w:cs="宋体"/>
                <w:b w:val="0"/>
                <w:bCs/>
                <w:highlight w:val="none"/>
              </w:rPr>
            </w:pPr>
            <w:r>
              <w:rPr>
                <w:rFonts w:hint="eastAsia" w:ascii="宋体" w:hAnsi="宋体" w:eastAsia="宋体" w:cs="宋体"/>
                <w:b w:val="0"/>
                <w:bCs/>
                <w:highlight w:val="none"/>
              </w:rPr>
              <w:t>项目标的所属行业</w:t>
            </w:r>
            <w:r>
              <w:rPr>
                <w:rFonts w:hint="eastAsia" w:ascii="宋体" w:hAnsi="宋体" w:eastAsia="宋体" w:cs="宋体"/>
                <w:b w:val="0"/>
                <w:bCs/>
                <w:highlight w:val="none"/>
                <w:lang w:eastAsia="zh-CN"/>
              </w:rPr>
              <w:t>：</w:t>
            </w:r>
            <w:r>
              <w:rPr>
                <w:rFonts w:hint="eastAsia" w:ascii="宋体" w:hAnsi="宋体" w:eastAsia="宋体" w:cs="宋体"/>
                <w:b w:val="0"/>
                <w:bCs/>
                <w:highlight w:val="none"/>
              </w:rPr>
              <w:t>工业</w:t>
            </w:r>
          </w:p>
          <w:p>
            <w:pPr>
              <w:spacing w:line="360" w:lineRule="auto"/>
              <w:jc w:val="left"/>
              <w:rPr>
                <w:rFonts w:hint="eastAsia" w:ascii="宋体" w:hAnsi="宋体" w:eastAsia="宋体" w:cs="宋体"/>
                <w:b w:val="0"/>
                <w:bCs/>
                <w:highlight w:val="none"/>
                <w:lang w:val="en-US" w:eastAsia="zh-CN"/>
              </w:rPr>
            </w:pPr>
            <w:r>
              <w:rPr>
                <w:rFonts w:hint="eastAsia" w:ascii="宋体" w:hAnsi="宋体" w:eastAsia="宋体" w:cs="宋体"/>
                <w:b w:val="0"/>
                <w:bCs/>
                <w:highlight w:val="none"/>
                <w:lang w:val="en-US" w:eastAsia="zh-CN"/>
              </w:rPr>
              <w:t>1、价格扣除:本项目为专门面向中小企业采购，价格不予扣除。</w:t>
            </w:r>
          </w:p>
          <w:p>
            <w:pPr>
              <w:spacing w:line="360" w:lineRule="auto"/>
              <w:jc w:val="left"/>
              <w:rPr>
                <w:rFonts w:hint="eastAsia" w:ascii="宋体" w:hAnsi="宋体" w:eastAsia="宋体" w:cs="宋体"/>
                <w:b w:val="0"/>
                <w:bCs/>
                <w:highlight w:val="none"/>
              </w:rPr>
            </w:pPr>
            <w:r>
              <w:rPr>
                <w:rFonts w:hint="eastAsia" w:ascii="宋体" w:hAnsi="宋体" w:eastAsia="宋体" w:cs="宋体"/>
                <w:b w:val="0"/>
                <w:bCs/>
                <w:highlight w:val="none"/>
              </w:rPr>
              <w:t>1、根据《政府采购促进中小企业发展管理办法》（财库﹝2020﹞46 号），中小企业参加政府采购活动，应当出具本办法规定的《中小企业声明函》。否则不得享受相关中小企业扶持政策。</w:t>
            </w:r>
          </w:p>
          <w:p>
            <w:pPr>
              <w:spacing w:line="360" w:lineRule="auto"/>
              <w:jc w:val="left"/>
              <w:rPr>
                <w:rFonts w:hint="eastAsia" w:ascii="宋体" w:hAnsi="宋体" w:eastAsia="宋体" w:cs="宋体"/>
                <w:b w:val="0"/>
                <w:bCs/>
                <w:highlight w:val="none"/>
              </w:rPr>
            </w:pPr>
            <w:r>
              <w:rPr>
                <w:rFonts w:hint="eastAsia" w:ascii="宋体" w:hAnsi="宋体" w:eastAsia="宋体" w:cs="宋体"/>
                <w:b w:val="0"/>
                <w:bCs/>
                <w:highlight w:val="none"/>
              </w:rPr>
              <w:t>2、监狱企业视同小型、微型企业，需提供省级及以上监狱管理局、戒毒管理局（含新疆生产建设兵团）出具的属于监狱企业的证明文件，否则不予认可。</w:t>
            </w:r>
          </w:p>
          <w:p>
            <w:pPr>
              <w:spacing w:line="360" w:lineRule="auto"/>
              <w:jc w:val="left"/>
              <w:rPr>
                <w:rFonts w:hint="eastAsia" w:ascii="宋体" w:hAnsi="宋体" w:eastAsia="宋体" w:cs="宋体"/>
                <w:b w:val="0"/>
                <w:bCs/>
                <w:highlight w:val="none"/>
              </w:rPr>
            </w:pPr>
            <w:r>
              <w:rPr>
                <w:rFonts w:hint="eastAsia" w:ascii="宋体" w:hAnsi="宋体" w:eastAsia="宋体" w:cs="宋体"/>
                <w:b w:val="0"/>
                <w:bCs/>
                <w:highlight w:val="none"/>
              </w:rPr>
              <w:t>3、残疾人福利性单位视同小型、微型企业。按照关于促进残疾人就业政府采购政策的通知财库〔2017〕141 号要求提供《残疾人福利性单位声明函》等有效证明材料，并对声明的真实性负责，否则不予认可。</w:t>
            </w:r>
          </w:p>
          <w:p>
            <w:pPr>
              <w:spacing w:line="360" w:lineRule="auto"/>
              <w:jc w:val="left"/>
              <w:rPr>
                <w:rFonts w:hint="eastAsia" w:ascii="宋体" w:hAnsi="宋体" w:eastAsia="宋体" w:cs="宋体"/>
                <w:b w:val="0"/>
                <w:bCs/>
                <w:highlight w:val="none"/>
              </w:rPr>
            </w:pPr>
            <w:r>
              <w:rPr>
                <w:rFonts w:hint="eastAsia" w:ascii="宋体" w:hAnsi="宋体" w:eastAsia="宋体" w:cs="宋体"/>
                <w:b w:val="0"/>
                <w:bCs/>
                <w:highlight w:val="none"/>
              </w:rPr>
              <w:t xml:space="preserve">节能、环保产品政策 </w:t>
            </w:r>
          </w:p>
          <w:p>
            <w:pPr>
              <w:spacing w:line="360" w:lineRule="auto"/>
              <w:jc w:val="left"/>
              <w:rPr>
                <w:rFonts w:hint="eastAsia" w:ascii="宋体" w:hAnsi="宋体" w:eastAsia="宋体" w:cs="宋体"/>
                <w:b w:val="0"/>
                <w:bCs/>
                <w:highlight w:val="none"/>
              </w:rPr>
            </w:pPr>
            <w:r>
              <w:rPr>
                <w:rFonts w:hint="eastAsia" w:ascii="宋体" w:hAnsi="宋体" w:eastAsia="宋体" w:cs="宋体"/>
                <w:b w:val="0"/>
                <w:bCs/>
                <w:highlight w:val="none"/>
              </w:rPr>
              <w:t>1.根据《财政部发展改革委生态环境部市场监管总局关于调整优化节能产品、环境标志产品政府采购执行机制的通知》（财库〔2019〕9 号）、关于印发节能产品政府采购品目清单的通知（财库〔2019〕19 号）、关于印发环境标志产品政府采购品目清单的通知（财库〔2019〕 18 号）、市场监管总局关于发布参与实施政府采购节能产品、环境标志产品认证机构名录的公告（2019 年第 16 号），本次采购产品类别属于政府强制采购产品或优先采购类别的，应当依据国家确定的认证机构出具的、处于有效期之内的节能产品、环境标志产品认证证书，对获得证书的产品实施政府优先采购或强制采购。</w:t>
            </w:r>
          </w:p>
          <w:p>
            <w:pPr>
              <w:spacing w:line="360" w:lineRule="auto"/>
              <w:jc w:val="left"/>
              <w:rPr>
                <w:rFonts w:hint="eastAsia" w:ascii="宋体" w:hAnsi="宋体" w:eastAsia="宋体" w:cs="宋体"/>
                <w:b w:val="0"/>
                <w:bCs/>
                <w:highlight w:val="none"/>
              </w:rPr>
            </w:pPr>
            <w:r>
              <w:rPr>
                <w:rFonts w:hint="eastAsia" w:ascii="宋体" w:hAnsi="宋体" w:eastAsia="宋体" w:cs="宋体"/>
                <w:b w:val="0"/>
                <w:bCs/>
                <w:highlight w:val="none"/>
              </w:rPr>
              <w:t>2.本次采购所涉及的设备、材料符合《节能产品政府采购品目清单》所列强制采购品目的投标人须提供“节能产品认证”，否则按无效投标处理。</w:t>
            </w:r>
          </w:p>
          <w:p>
            <w:pPr>
              <w:spacing w:line="360" w:lineRule="auto"/>
              <w:jc w:val="left"/>
              <w:rPr>
                <w:rFonts w:hint="eastAsia" w:ascii="宋体" w:hAnsi="宋体" w:eastAsia="宋体" w:cs="宋体"/>
                <w:b w:val="0"/>
                <w:bCs/>
                <w:szCs w:val="21"/>
                <w:highlight w:val="none"/>
              </w:rPr>
            </w:pPr>
            <w:r>
              <w:rPr>
                <w:rFonts w:hint="eastAsia" w:ascii="宋体" w:hAnsi="宋体" w:eastAsia="宋体" w:cs="宋体"/>
                <w:b w:val="0"/>
                <w:bCs/>
                <w:highlight w:val="none"/>
              </w:rPr>
              <w:t>3.根据《财政部工业和信息化部国家质检总局国家认监委关于信息安全产品实施政府采购的通知》财库〔2010〕48 号文件要求，本次采购产品如有信息安全产品的，需提供由中国信息安全认证中心按国家标准认证颁发的有效认证证书原件扫描件。</w:t>
            </w:r>
          </w:p>
        </w:tc>
      </w:tr>
    </w:tbl>
    <w:p>
      <w:pPr>
        <w:rPr>
          <w:rFonts w:hint="eastAsia" w:ascii="宋体" w:hAnsi="宋体" w:eastAsia="宋体" w:cs="宋体"/>
          <w:sz w:val="24"/>
          <w:szCs w:val="16"/>
          <w:highlight w:val="none"/>
        </w:rPr>
      </w:pPr>
      <w:bookmarkStart w:id="14" w:name="_Toc31096"/>
      <w:r>
        <w:rPr>
          <w:rFonts w:hint="eastAsia" w:ascii="宋体" w:hAnsi="宋体" w:eastAsia="宋体" w:cs="宋体"/>
          <w:sz w:val="24"/>
          <w:szCs w:val="16"/>
          <w:highlight w:val="none"/>
        </w:rPr>
        <w:br w:type="page"/>
      </w:r>
    </w:p>
    <w:p>
      <w:pPr>
        <w:pStyle w:val="3"/>
        <w:jc w:val="left"/>
        <w:rPr>
          <w:rFonts w:hint="eastAsia" w:ascii="宋体" w:hAnsi="宋体" w:eastAsia="宋体" w:cs="宋体"/>
          <w:sz w:val="24"/>
          <w:szCs w:val="16"/>
          <w:highlight w:val="none"/>
        </w:rPr>
      </w:pPr>
      <w:r>
        <w:rPr>
          <w:rFonts w:hint="eastAsia" w:ascii="宋体" w:hAnsi="宋体" w:eastAsia="宋体" w:cs="宋体"/>
          <w:sz w:val="24"/>
          <w:szCs w:val="16"/>
          <w:highlight w:val="none"/>
        </w:rPr>
        <w:t>1.总则</w:t>
      </w:r>
      <w:bookmarkEnd w:id="11"/>
      <w:bookmarkEnd w:id="12"/>
      <w:bookmarkEnd w:id="13"/>
      <w:bookmarkEnd w:id="14"/>
      <w:bookmarkStart w:id="15" w:name="_Toc9974"/>
    </w:p>
    <w:p>
      <w:pPr>
        <w:keepNext/>
        <w:keepLines/>
        <w:spacing w:line="540" w:lineRule="exact"/>
        <w:outlineLvl w:val="2"/>
        <w:rPr>
          <w:rFonts w:hint="eastAsia" w:ascii="宋体" w:hAnsi="宋体" w:eastAsia="宋体" w:cs="宋体"/>
          <w:b/>
          <w:szCs w:val="21"/>
          <w:highlight w:val="none"/>
        </w:rPr>
      </w:pPr>
      <w:bookmarkStart w:id="16" w:name="_Toc492577679"/>
      <w:bookmarkStart w:id="17" w:name="_Toc487128323"/>
      <w:r>
        <w:rPr>
          <w:rFonts w:hint="eastAsia" w:ascii="宋体" w:hAnsi="宋体" w:eastAsia="宋体" w:cs="宋体"/>
          <w:b/>
          <w:szCs w:val="21"/>
          <w:highlight w:val="none"/>
        </w:rPr>
        <w:t>1.1 项目概况</w:t>
      </w:r>
      <w:bookmarkEnd w:id="15"/>
      <w:bookmarkEnd w:id="16"/>
      <w:bookmarkEnd w:id="17"/>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1.1.1 根据《中华人民共和国政府采购法》</w:t>
      </w:r>
      <w:r>
        <w:rPr>
          <w:rFonts w:hint="eastAsia" w:ascii="宋体" w:hAnsi="宋体" w:eastAsia="宋体" w:cs="宋体"/>
          <w:szCs w:val="21"/>
          <w:highlight w:val="none"/>
          <w:lang w:eastAsia="zh-CN"/>
        </w:rPr>
        <w:t>、</w:t>
      </w:r>
      <w:r>
        <w:rPr>
          <w:rFonts w:hint="eastAsia" w:ascii="宋体" w:hAnsi="宋体" w:eastAsia="宋体" w:cs="宋体"/>
          <w:szCs w:val="21"/>
          <w:highlight w:val="none"/>
        </w:rPr>
        <w:t>《中华人民共和国政府采购法</w:t>
      </w:r>
      <w:r>
        <w:rPr>
          <w:rFonts w:hint="eastAsia" w:ascii="宋体" w:hAnsi="宋体" w:eastAsia="宋体" w:cs="宋体"/>
          <w:szCs w:val="21"/>
          <w:highlight w:val="none"/>
          <w:lang w:val="en-US" w:eastAsia="zh-CN"/>
        </w:rPr>
        <w:t>实施条例</w:t>
      </w:r>
      <w:r>
        <w:rPr>
          <w:rFonts w:hint="eastAsia" w:ascii="宋体" w:hAnsi="宋体" w:eastAsia="宋体" w:cs="宋体"/>
          <w:szCs w:val="21"/>
          <w:highlight w:val="none"/>
        </w:rPr>
        <w:t>》等有关法律、法规和规章的规定，本招标项目己具备招标条件，现对本项目进行招标。</w:t>
      </w:r>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1.1.2 本招标项目采购人：见投标人须知前附表。</w:t>
      </w:r>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1.1.3 本招标项目</w:t>
      </w:r>
      <w:r>
        <w:rPr>
          <w:rFonts w:hint="eastAsia" w:ascii="宋体" w:hAnsi="宋体" w:eastAsia="宋体" w:cs="宋体"/>
          <w:szCs w:val="21"/>
          <w:highlight w:val="none"/>
          <w:lang w:eastAsia="zh-CN"/>
        </w:rPr>
        <w:t>采购代理机构</w:t>
      </w:r>
      <w:r>
        <w:rPr>
          <w:rFonts w:hint="eastAsia" w:ascii="宋体" w:hAnsi="宋体" w:eastAsia="宋体" w:cs="宋体"/>
          <w:szCs w:val="21"/>
          <w:highlight w:val="none"/>
        </w:rPr>
        <w:t>：见投标人须知前附表。</w:t>
      </w:r>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1.1.4 本招标项目名称：见投标人须知前附表。</w:t>
      </w:r>
    </w:p>
    <w:p>
      <w:pPr>
        <w:spacing w:line="540" w:lineRule="exact"/>
        <w:ind w:firstLine="424"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1.1.5</w:t>
      </w:r>
      <w:r>
        <w:rPr>
          <w:rFonts w:hint="eastAsia" w:ascii="宋体" w:hAnsi="宋体" w:eastAsia="宋体" w:cs="宋体"/>
          <w:szCs w:val="21"/>
          <w:highlight w:val="none"/>
        </w:rPr>
        <w:t>本招标设备品名和用途</w:t>
      </w:r>
      <w:r>
        <w:rPr>
          <w:rFonts w:hint="eastAsia" w:ascii="宋体" w:hAnsi="宋体" w:eastAsia="宋体" w:cs="宋体"/>
          <w:szCs w:val="21"/>
          <w:highlight w:val="none"/>
          <w:lang w:eastAsia="zh-CN"/>
        </w:rPr>
        <w:t>：</w:t>
      </w:r>
      <w:r>
        <w:rPr>
          <w:rFonts w:hint="eastAsia" w:ascii="宋体" w:hAnsi="宋体" w:eastAsia="宋体" w:cs="宋体"/>
          <w:szCs w:val="21"/>
          <w:highlight w:val="none"/>
        </w:rPr>
        <w:t>见投标人须知前附表。</w:t>
      </w:r>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1.1.6本项目</w:t>
      </w:r>
      <w:r>
        <w:rPr>
          <w:rFonts w:hint="eastAsia" w:ascii="宋体" w:hAnsi="宋体" w:cs="宋体"/>
          <w:szCs w:val="21"/>
          <w:highlight w:val="none"/>
          <w:lang w:eastAsia="zh-CN"/>
        </w:rPr>
        <w:t>采购编号：豫财招标采购-2023-1294</w:t>
      </w:r>
      <w:r>
        <w:rPr>
          <w:rFonts w:hint="eastAsia" w:ascii="宋体" w:hAnsi="宋体" w:eastAsia="宋体" w:cs="宋体"/>
          <w:szCs w:val="21"/>
          <w:highlight w:val="none"/>
        </w:rPr>
        <w:t>见投标人须知前附表。</w:t>
      </w:r>
    </w:p>
    <w:p>
      <w:pPr>
        <w:keepNext/>
        <w:keepLines/>
        <w:spacing w:line="540" w:lineRule="exact"/>
        <w:outlineLvl w:val="3"/>
        <w:rPr>
          <w:rFonts w:hint="eastAsia" w:ascii="宋体" w:hAnsi="宋体" w:eastAsia="宋体" w:cs="宋体"/>
          <w:b/>
          <w:szCs w:val="21"/>
          <w:highlight w:val="none"/>
        </w:rPr>
      </w:pPr>
      <w:bookmarkStart w:id="18" w:name="_Toc20332"/>
      <w:r>
        <w:rPr>
          <w:rFonts w:hint="eastAsia" w:ascii="宋体" w:hAnsi="宋体" w:eastAsia="宋体" w:cs="宋体"/>
          <w:b/>
          <w:szCs w:val="21"/>
          <w:highlight w:val="none"/>
        </w:rPr>
        <w:t>1.2 资金来源和落实情况</w:t>
      </w:r>
      <w:bookmarkEnd w:id="18"/>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1.2.1 本招标项目的资金来源及比例：见投标人须知前附表。</w:t>
      </w:r>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1.2.2 本招标项目的采购预算：见投标人须知前附表。</w:t>
      </w:r>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1.2.3 本招标项目的最高限价：见投标人须知前附表。</w:t>
      </w:r>
    </w:p>
    <w:p>
      <w:pPr>
        <w:keepNext/>
        <w:keepLines/>
        <w:spacing w:line="540" w:lineRule="exact"/>
        <w:outlineLvl w:val="3"/>
        <w:rPr>
          <w:rFonts w:hint="eastAsia" w:ascii="宋体" w:hAnsi="宋体" w:eastAsia="宋体" w:cs="宋体"/>
          <w:b/>
          <w:szCs w:val="21"/>
          <w:highlight w:val="none"/>
          <w:lang w:val="en-US" w:eastAsia="zh-CN"/>
        </w:rPr>
      </w:pPr>
      <w:bookmarkStart w:id="19" w:name="_Toc13037"/>
      <w:r>
        <w:rPr>
          <w:rFonts w:hint="eastAsia" w:ascii="宋体" w:hAnsi="宋体" w:eastAsia="宋体" w:cs="宋体"/>
          <w:b/>
          <w:szCs w:val="21"/>
          <w:highlight w:val="none"/>
        </w:rPr>
        <w:t>1.3 采购内容（采购范围）、</w:t>
      </w:r>
      <w:r>
        <w:rPr>
          <w:rFonts w:hint="eastAsia" w:ascii="宋体" w:hAnsi="宋体" w:eastAsia="宋体" w:cs="宋体"/>
          <w:b/>
          <w:szCs w:val="21"/>
          <w:highlight w:val="none"/>
          <w:lang w:val="en-US" w:eastAsia="zh-CN"/>
        </w:rPr>
        <w:t>质量要求</w:t>
      </w:r>
      <w:r>
        <w:rPr>
          <w:rFonts w:hint="eastAsia" w:ascii="宋体" w:hAnsi="宋体" w:eastAsia="宋体" w:cs="宋体"/>
          <w:b/>
          <w:szCs w:val="21"/>
          <w:highlight w:val="none"/>
        </w:rPr>
        <w:t>、交货期</w:t>
      </w:r>
      <w:bookmarkEnd w:id="19"/>
      <w:r>
        <w:rPr>
          <w:rFonts w:hint="eastAsia" w:ascii="宋体" w:hAnsi="宋体" w:eastAsia="宋体" w:cs="宋体"/>
          <w:b/>
          <w:szCs w:val="21"/>
          <w:highlight w:val="none"/>
          <w:lang w:eastAsia="zh-CN"/>
        </w:rPr>
        <w:t>、</w:t>
      </w:r>
      <w:r>
        <w:rPr>
          <w:rFonts w:hint="eastAsia" w:ascii="宋体" w:hAnsi="宋体" w:eastAsia="宋体" w:cs="宋体"/>
          <w:b/>
          <w:szCs w:val="21"/>
          <w:highlight w:val="none"/>
          <w:lang w:val="en-US" w:eastAsia="zh-CN"/>
        </w:rPr>
        <w:t>交货地点等</w:t>
      </w:r>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1.3.1 本次采购内容（采购范围）：见投标人须知前附表。</w:t>
      </w:r>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1.3.2 本次招标的</w:t>
      </w:r>
      <w:r>
        <w:rPr>
          <w:rFonts w:hint="eastAsia" w:ascii="宋体" w:hAnsi="宋体" w:eastAsia="宋体" w:cs="宋体"/>
          <w:szCs w:val="21"/>
          <w:highlight w:val="none"/>
          <w:lang w:val="en-US" w:eastAsia="zh-CN"/>
        </w:rPr>
        <w:t>质量要求</w:t>
      </w:r>
      <w:r>
        <w:rPr>
          <w:rFonts w:hint="eastAsia" w:ascii="宋体" w:hAnsi="宋体" w:eastAsia="宋体" w:cs="宋体"/>
          <w:szCs w:val="21"/>
          <w:highlight w:val="none"/>
        </w:rPr>
        <w:t>：见投标人须知前附表。</w:t>
      </w:r>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1.3.3 本次招标的交货期：见投标人须知前附表。</w:t>
      </w:r>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1.3.4 本次招标的</w:t>
      </w:r>
      <w:r>
        <w:rPr>
          <w:rFonts w:hint="eastAsia" w:ascii="宋体" w:hAnsi="宋体" w:eastAsia="宋体" w:cs="宋体"/>
          <w:szCs w:val="21"/>
          <w:highlight w:val="none"/>
          <w:lang w:val="en-US" w:eastAsia="zh-CN"/>
        </w:rPr>
        <w:t>交货地点</w:t>
      </w:r>
      <w:r>
        <w:rPr>
          <w:rFonts w:hint="eastAsia" w:ascii="宋体" w:hAnsi="宋体" w:eastAsia="宋体" w:cs="宋体"/>
          <w:szCs w:val="21"/>
          <w:highlight w:val="none"/>
        </w:rPr>
        <w:t>：见投标人须知前附表。</w:t>
      </w:r>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1.3.</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 xml:space="preserve"> 本次招标的</w:t>
      </w:r>
      <w:r>
        <w:rPr>
          <w:rFonts w:hint="eastAsia" w:ascii="宋体" w:hAnsi="宋体" w:eastAsia="宋体" w:cs="宋体"/>
          <w:szCs w:val="21"/>
          <w:highlight w:val="none"/>
          <w:lang w:val="en-US" w:eastAsia="zh-CN"/>
        </w:rPr>
        <w:t>验收标准</w:t>
      </w:r>
      <w:r>
        <w:rPr>
          <w:rFonts w:hint="eastAsia" w:ascii="宋体" w:hAnsi="宋体" w:eastAsia="宋体" w:cs="宋体"/>
          <w:szCs w:val="21"/>
          <w:highlight w:val="none"/>
        </w:rPr>
        <w:t>：见投标人须知前附表。</w:t>
      </w:r>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1.3.</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 xml:space="preserve"> 本次招标的</w:t>
      </w:r>
      <w:r>
        <w:rPr>
          <w:rFonts w:hint="eastAsia" w:ascii="宋体" w:hAnsi="宋体" w:eastAsia="宋体" w:cs="宋体"/>
          <w:szCs w:val="21"/>
          <w:highlight w:val="none"/>
          <w:lang w:val="en-US" w:eastAsia="zh-CN"/>
        </w:rPr>
        <w:t>质保期</w:t>
      </w:r>
      <w:r>
        <w:rPr>
          <w:rFonts w:hint="eastAsia" w:ascii="宋体" w:hAnsi="宋体" w:eastAsia="宋体" w:cs="宋体"/>
          <w:szCs w:val="21"/>
          <w:highlight w:val="none"/>
        </w:rPr>
        <w:t>：见投标人须知前附表。</w:t>
      </w:r>
    </w:p>
    <w:p>
      <w:pPr>
        <w:keepNext/>
        <w:keepLines/>
        <w:spacing w:line="540" w:lineRule="exact"/>
        <w:outlineLvl w:val="3"/>
        <w:rPr>
          <w:rFonts w:hint="eastAsia" w:ascii="宋体" w:hAnsi="宋体" w:eastAsia="宋体" w:cs="宋体"/>
          <w:b/>
          <w:szCs w:val="21"/>
          <w:highlight w:val="none"/>
        </w:rPr>
      </w:pPr>
      <w:bookmarkStart w:id="20" w:name="_Toc24498"/>
      <w:r>
        <w:rPr>
          <w:rFonts w:hint="eastAsia" w:ascii="宋体" w:hAnsi="宋体" w:eastAsia="宋体" w:cs="宋体"/>
          <w:b/>
          <w:szCs w:val="21"/>
          <w:highlight w:val="none"/>
        </w:rPr>
        <w:t>1.4 投标供应商资格要求</w:t>
      </w:r>
      <w:bookmarkEnd w:id="20"/>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1.4.1 投标供应商应具备承担本项目的资质条件、能力、信誉：见投标人须知前附表。</w:t>
      </w:r>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1.4.2本项目是否接受联合体投标：见投标人须知前附表。</w:t>
      </w:r>
    </w:p>
    <w:p>
      <w:pPr>
        <w:spacing w:line="5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1.4.3投标供应商不得存在下列情形之一：</w:t>
      </w:r>
    </w:p>
    <w:p>
      <w:pPr>
        <w:spacing w:line="500" w:lineRule="exact"/>
        <w:ind w:firstLine="424" w:firstLineChars="200"/>
        <w:rPr>
          <w:rFonts w:hint="eastAsia" w:ascii="宋体" w:hAnsi="宋体" w:eastAsia="宋体" w:cs="宋体"/>
          <w:szCs w:val="21"/>
          <w:highlight w:val="none"/>
        </w:rPr>
      </w:pPr>
      <w:bookmarkStart w:id="21" w:name="_Toc18874"/>
      <w:r>
        <w:rPr>
          <w:rFonts w:hint="eastAsia" w:ascii="宋体" w:hAnsi="宋体" w:eastAsia="宋体" w:cs="宋体"/>
          <w:szCs w:val="21"/>
          <w:highlight w:val="none"/>
        </w:rPr>
        <w:t>（1）为采购人不具有独立法人资格的附属机构（单位）；</w:t>
      </w:r>
    </w:p>
    <w:p>
      <w:pPr>
        <w:spacing w:line="5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（2）为本项目提供招标代理服务的；</w:t>
      </w:r>
    </w:p>
    <w:p>
      <w:pPr>
        <w:spacing w:line="5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（3）与本项目的</w:t>
      </w:r>
      <w:r>
        <w:rPr>
          <w:rFonts w:hint="eastAsia" w:ascii="宋体" w:hAnsi="宋体" w:eastAsia="宋体" w:cs="宋体"/>
          <w:szCs w:val="21"/>
          <w:highlight w:val="none"/>
          <w:lang w:eastAsia="zh-CN"/>
        </w:rPr>
        <w:t>采购代理机构</w:t>
      </w:r>
      <w:r>
        <w:rPr>
          <w:rFonts w:hint="eastAsia" w:ascii="宋体" w:hAnsi="宋体" w:eastAsia="宋体" w:cs="宋体"/>
          <w:szCs w:val="21"/>
          <w:highlight w:val="none"/>
        </w:rPr>
        <w:t>同为一个法定代表人的；</w:t>
      </w:r>
    </w:p>
    <w:p>
      <w:pPr>
        <w:spacing w:line="500" w:lineRule="exact"/>
        <w:ind w:left="480"/>
        <w:rPr>
          <w:rFonts w:hint="eastAsia" w:ascii="宋体" w:hAnsi="宋体" w:eastAsia="宋体" w:cs="宋体"/>
          <w:szCs w:val="21"/>
          <w:highlight w:val="none"/>
        </w:rPr>
      </w:pPr>
      <w:r>
        <w:rPr>
          <w:rFonts w:hint="eastAsia" w:ascii="宋体" w:hAnsi="宋体" w:eastAsia="宋体" w:cs="宋体"/>
          <w:szCs w:val="21"/>
          <w:highlight w:val="none"/>
        </w:rPr>
        <w:t>（4）与本项目的</w:t>
      </w:r>
      <w:r>
        <w:rPr>
          <w:rFonts w:hint="eastAsia" w:ascii="宋体" w:hAnsi="宋体" w:eastAsia="宋体" w:cs="宋体"/>
          <w:szCs w:val="21"/>
          <w:highlight w:val="none"/>
          <w:lang w:eastAsia="zh-CN"/>
        </w:rPr>
        <w:t>采购代理机构</w:t>
      </w:r>
      <w:r>
        <w:rPr>
          <w:rFonts w:hint="eastAsia" w:ascii="宋体" w:hAnsi="宋体" w:eastAsia="宋体" w:cs="宋体"/>
          <w:szCs w:val="21"/>
          <w:highlight w:val="none"/>
        </w:rPr>
        <w:t>相互控股或参股的；</w:t>
      </w:r>
    </w:p>
    <w:p>
      <w:pPr>
        <w:spacing w:line="150" w:lineRule="exact"/>
        <w:rPr>
          <w:rFonts w:hint="eastAsia" w:ascii="宋体" w:hAnsi="宋体" w:eastAsia="宋体" w:cs="宋体"/>
          <w:szCs w:val="21"/>
          <w:highlight w:val="none"/>
        </w:rPr>
      </w:pPr>
      <w:bookmarkStart w:id="22" w:name="page16"/>
      <w:bookmarkEnd w:id="22"/>
    </w:p>
    <w:p>
      <w:pPr>
        <w:spacing w:line="0" w:lineRule="atLeast"/>
        <w:ind w:left="480"/>
        <w:rPr>
          <w:rFonts w:hint="eastAsia" w:ascii="宋体" w:hAnsi="宋体" w:eastAsia="宋体" w:cs="宋体"/>
          <w:szCs w:val="21"/>
          <w:highlight w:val="none"/>
        </w:rPr>
      </w:pPr>
      <w:r>
        <w:rPr>
          <w:rFonts w:hint="eastAsia" w:ascii="宋体" w:hAnsi="宋体" w:eastAsia="宋体" w:cs="宋体"/>
          <w:szCs w:val="21"/>
          <w:highlight w:val="none"/>
        </w:rPr>
        <w:t>（5）与本项目的</w:t>
      </w:r>
      <w:r>
        <w:rPr>
          <w:rFonts w:hint="eastAsia" w:ascii="宋体" w:hAnsi="宋体" w:eastAsia="宋体" w:cs="宋体"/>
          <w:szCs w:val="21"/>
          <w:highlight w:val="none"/>
          <w:lang w:eastAsia="zh-CN"/>
        </w:rPr>
        <w:t>采购代理机构</w:t>
      </w:r>
      <w:r>
        <w:rPr>
          <w:rFonts w:hint="eastAsia" w:ascii="宋体" w:hAnsi="宋体" w:eastAsia="宋体" w:cs="宋体"/>
          <w:szCs w:val="21"/>
          <w:highlight w:val="none"/>
        </w:rPr>
        <w:t>相互任职或工作的；</w:t>
      </w:r>
    </w:p>
    <w:p>
      <w:pPr>
        <w:spacing w:line="222" w:lineRule="exact"/>
        <w:rPr>
          <w:rFonts w:hint="eastAsia" w:ascii="宋体" w:hAnsi="宋体" w:eastAsia="宋体" w:cs="宋体"/>
          <w:szCs w:val="21"/>
          <w:highlight w:val="none"/>
        </w:rPr>
      </w:pPr>
    </w:p>
    <w:p>
      <w:pPr>
        <w:spacing w:line="0" w:lineRule="atLeast"/>
        <w:ind w:left="480"/>
        <w:rPr>
          <w:rFonts w:hint="eastAsia" w:ascii="宋体" w:hAnsi="宋体" w:eastAsia="宋体" w:cs="宋体"/>
          <w:szCs w:val="21"/>
          <w:highlight w:val="none"/>
        </w:rPr>
      </w:pPr>
      <w:r>
        <w:rPr>
          <w:rFonts w:hint="eastAsia" w:ascii="宋体" w:hAnsi="宋体" w:eastAsia="宋体" w:cs="宋体"/>
          <w:szCs w:val="21"/>
          <w:highlight w:val="none"/>
        </w:rPr>
        <w:t>（6）被责令停业的；</w:t>
      </w:r>
    </w:p>
    <w:p>
      <w:pPr>
        <w:spacing w:line="222" w:lineRule="exact"/>
        <w:rPr>
          <w:rFonts w:hint="eastAsia" w:ascii="宋体" w:hAnsi="宋体" w:eastAsia="宋体" w:cs="宋体"/>
          <w:szCs w:val="21"/>
          <w:highlight w:val="none"/>
        </w:rPr>
      </w:pPr>
    </w:p>
    <w:p>
      <w:pPr>
        <w:spacing w:line="0" w:lineRule="atLeast"/>
        <w:ind w:left="480"/>
        <w:rPr>
          <w:rFonts w:hint="eastAsia" w:ascii="宋体" w:hAnsi="宋体" w:eastAsia="宋体" w:cs="宋体"/>
          <w:szCs w:val="21"/>
          <w:highlight w:val="none"/>
        </w:rPr>
      </w:pPr>
      <w:r>
        <w:rPr>
          <w:rFonts w:hint="eastAsia" w:ascii="宋体" w:hAnsi="宋体" w:eastAsia="宋体" w:cs="宋体"/>
          <w:szCs w:val="21"/>
          <w:highlight w:val="none"/>
        </w:rPr>
        <w:t>（7）被暂停或取消投标资格的；</w:t>
      </w:r>
    </w:p>
    <w:p>
      <w:pPr>
        <w:spacing w:line="237" w:lineRule="exact"/>
        <w:rPr>
          <w:rFonts w:hint="eastAsia" w:ascii="宋体" w:hAnsi="宋体" w:eastAsia="宋体" w:cs="宋体"/>
          <w:szCs w:val="21"/>
          <w:highlight w:val="none"/>
        </w:rPr>
      </w:pPr>
    </w:p>
    <w:p>
      <w:pPr>
        <w:spacing w:line="0" w:lineRule="atLeast"/>
        <w:ind w:left="480"/>
        <w:rPr>
          <w:rFonts w:hint="eastAsia" w:ascii="宋体" w:hAnsi="宋体" w:eastAsia="宋体" w:cs="宋体"/>
          <w:szCs w:val="21"/>
          <w:highlight w:val="none"/>
        </w:rPr>
      </w:pPr>
      <w:r>
        <w:rPr>
          <w:rFonts w:hint="eastAsia" w:ascii="宋体" w:hAnsi="宋体" w:eastAsia="宋体" w:cs="宋体"/>
          <w:szCs w:val="21"/>
          <w:highlight w:val="none"/>
        </w:rPr>
        <w:t>（8）财产被接管或冻结的；</w:t>
      </w:r>
    </w:p>
    <w:p>
      <w:pPr>
        <w:spacing w:line="222" w:lineRule="exact"/>
        <w:rPr>
          <w:rFonts w:hint="eastAsia" w:ascii="宋体" w:hAnsi="宋体" w:eastAsia="宋体" w:cs="宋体"/>
          <w:szCs w:val="21"/>
          <w:highlight w:val="none"/>
        </w:rPr>
      </w:pPr>
    </w:p>
    <w:p>
      <w:pPr>
        <w:spacing w:line="0" w:lineRule="atLeast"/>
        <w:ind w:left="480"/>
        <w:rPr>
          <w:rFonts w:hint="eastAsia" w:ascii="宋体" w:hAnsi="宋体" w:eastAsia="宋体" w:cs="宋体"/>
          <w:szCs w:val="21"/>
          <w:highlight w:val="none"/>
          <w:lang w:eastAsia="zh-CN"/>
        </w:rPr>
      </w:pPr>
      <w:r>
        <w:rPr>
          <w:rFonts w:hint="eastAsia" w:ascii="宋体" w:hAnsi="宋体" w:eastAsia="宋体" w:cs="宋体"/>
          <w:szCs w:val="21"/>
          <w:highlight w:val="none"/>
        </w:rPr>
        <w:t>（9）在最近三年内有骗取中标或严重违约或重大质量问题的</w:t>
      </w:r>
      <w:r>
        <w:rPr>
          <w:rFonts w:hint="eastAsia" w:ascii="宋体" w:hAnsi="宋体" w:eastAsia="宋体" w:cs="宋体"/>
          <w:szCs w:val="21"/>
          <w:highlight w:val="none"/>
          <w:lang w:eastAsia="zh-CN"/>
        </w:rPr>
        <w:t>；</w:t>
      </w:r>
    </w:p>
    <w:p>
      <w:pPr>
        <w:spacing w:line="222" w:lineRule="exact"/>
        <w:rPr>
          <w:rFonts w:hint="eastAsia" w:ascii="宋体" w:hAnsi="宋体" w:eastAsia="宋体" w:cs="宋体"/>
          <w:szCs w:val="21"/>
          <w:highlight w:val="none"/>
        </w:rPr>
      </w:pPr>
    </w:p>
    <w:p>
      <w:pPr>
        <w:keepNext/>
        <w:keepLines/>
        <w:spacing w:line="540" w:lineRule="exact"/>
        <w:outlineLvl w:val="3"/>
        <w:rPr>
          <w:rFonts w:hint="eastAsia" w:ascii="宋体" w:hAnsi="宋体" w:eastAsia="宋体" w:cs="宋体"/>
          <w:b/>
          <w:szCs w:val="21"/>
          <w:highlight w:val="none"/>
        </w:rPr>
      </w:pPr>
      <w:r>
        <w:rPr>
          <w:rFonts w:hint="eastAsia" w:ascii="宋体" w:hAnsi="宋体" w:eastAsia="宋体" w:cs="宋体"/>
          <w:b/>
          <w:szCs w:val="21"/>
          <w:highlight w:val="none"/>
        </w:rPr>
        <w:t>1.5 费用承担</w:t>
      </w:r>
      <w:bookmarkEnd w:id="21"/>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投标供应商准备和参加投标活动发生的费用自理。</w:t>
      </w:r>
    </w:p>
    <w:p>
      <w:pPr>
        <w:keepNext/>
        <w:keepLines/>
        <w:spacing w:line="540" w:lineRule="exact"/>
        <w:outlineLvl w:val="3"/>
        <w:rPr>
          <w:rFonts w:hint="eastAsia" w:ascii="宋体" w:hAnsi="宋体" w:eastAsia="宋体" w:cs="宋体"/>
          <w:b/>
          <w:szCs w:val="21"/>
          <w:highlight w:val="none"/>
        </w:rPr>
      </w:pPr>
      <w:bookmarkStart w:id="23" w:name="_Toc6153"/>
      <w:r>
        <w:rPr>
          <w:rFonts w:hint="eastAsia" w:ascii="宋体" w:hAnsi="宋体" w:eastAsia="宋体" w:cs="宋体"/>
          <w:b/>
          <w:szCs w:val="21"/>
          <w:highlight w:val="none"/>
        </w:rPr>
        <w:t>1.6 保密</w:t>
      </w:r>
      <w:bookmarkEnd w:id="23"/>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参与招标投标活动的各方应对招标文件和投标文件中的商业和技术等秘密保密，否则应承担相应的法律责任。</w:t>
      </w:r>
    </w:p>
    <w:p>
      <w:pPr>
        <w:keepNext/>
        <w:keepLines/>
        <w:spacing w:line="540" w:lineRule="exact"/>
        <w:outlineLvl w:val="3"/>
        <w:rPr>
          <w:rFonts w:hint="eastAsia" w:ascii="宋体" w:hAnsi="宋体" w:eastAsia="宋体" w:cs="宋体"/>
          <w:b/>
          <w:szCs w:val="21"/>
          <w:highlight w:val="none"/>
        </w:rPr>
      </w:pPr>
      <w:bookmarkStart w:id="24" w:name="_Toc12185"/>
      <w:r>
        <w:rPr>
          <w:rFonts w:hint="eastAsia" w:ascii="宋体" w:hAnsi="宋体" w:eastAsia="宋体" w:cs="宋体"/>
          <w:b/>
          <w:szCs w:val="21"/>
          <w:highlight w:val="none"/>
        </w:rPr>
        <w:t>1.7 语言文字</w:t>
      </w:r>
      <w:bookmarkEnd w:id="24"/>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招标投标文件使用的语言文字为中文。专用术语使用外文的，应附有中文注释。</w:t>
      </w:r>
    </w:p>
    <w:p>
      <w:pPr>
        <w:keepNext/>
        <w:keepLines/>
        <w:spacing w:line="540" w:lineRule="exact"/>
        <w:outlineLvl w:val="3"/>
        <w:rPr>
          <w:rFonts w:hint="eastAsia" w:ascii="宋体" w:hAnsi="宋体" w:eastAsia="宋体" w:cs="宋体"/>
          <w:b/>
          <w:szCs w:val="21"/>
          <w:highlight w:val="none"/>
        </w:rPr>
      </w:pPr>
      <w:bookmarkStart w:id="25" w:name="_Toc10849"/>
      <w:r>
        <w:rPr>
          <w:rFonts w:hint="eastAsia" w:ascii="宋体" w:hAnsi="宋体" w:eastAsia="宋体" w:cs="宋体"/>
          <w:b/>
          <w:szCs w:val="21"/>
          <w:highlight w:val="none"/>
        </w:rPr>
        <w:t>1.8 计量单位</w:t>
      </w:r>
      <w:bookmarkEnd w:id="25"/>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所有计量均采用中华人民共和国法定计量单位。</w:t>
      </w:r>
    </w:p>
    <w:p>
      <w:pPr>
        <w:keepNext/>
        <w:keepLines/>
        <w:spacing w:line="540" w:lineRule="exact"/>
        <w:outlineLvl w:val="3"/>
        <w:rPr>
          <w:rFonts w:hint="eastAsia" w:ascii="宋体" w:hAnsi="宋体" w:eastAsia="宋体" w:cs="宋体"/>
          <w:b/>
          <w:szCs w:val="21"/>
          <w:highlight w:val="none"/>
        </w:rPr>
      </w:pPr>
      <w:bookmarkStart w:id="26" w:name="_Toc23251"/>
      <w:r>
        <w:rPr>
          <w:rFonts w:hint="eastAsia" w:ascii="宋体" w:hAnsi="宋体" w:eastAsia="宋体" w:cs="宋体"/>
          <w:b/>
          <w:szCs w:val="21"/>
          <w:highlight w:val="none"/>
        </w:rPr>
        <w:t>1.9 踏勘现场</w:t>
      </w:r>
      <w:bookmarkEnd w:id="26"/>
    </w:p>
    <w:p>
      <w:pPr>
        <w:tabs>
          <w:tab w:val="left" w:pos="0"/>
        </w:tabs>
        <w:adjustRightInd w:val="0"/>
        <w:spacing w:line="500" w:lineRule="exact"/>
        <w:ind w:firstLine="424" w:firstLineChars="200"/>
        <w:rPr>
          <w:rFonts w:hint="eastAsia" w:ascii="宋体" w:hAnsi="宋体" w:eastAsia="宋体" w:cs="宋体"/>
          <w:kern w:val="0"/>
          <w:szCs w:val="21"/>
          <w:highlight w:val="none"/>
        </w:rPr>
      </w:pPr>
      <w:r>
        <w:rPr>
          <w:rFonts w:hint="eastAsia" w:ascii="宋体" w:hAnsi="宋体" w:eastAsia="宋体" w:cs="宋体"/>
          <w:szCs w:val="21"/>
          <w:highlight w:val="none"/>
        </w:rPr>
        <w:t>详见投标人须知前附表</w:t>
      </w:r>
      <w:r>
        <w:rPr>
          <w:rFonts w:hint="eastAsia" w:ascii="宋体" w:hAnsi="宋体" w:eastAsia="宋体" w:cs="宋体"/>
          <w:kern w:val="0"/>
          <w:szCs w:val="21"/>
          <w:highlight w:val="none"/>
        </w:rPr>
        <w:t>。</w:t>
      </w:r>
    </w:p>
    <w:p>
      <w:pPr>
        <w:keepNext/>
        <w:keepLines/>
        <w:spacing w:line="540" w:lineRule="exact"/>
        <w:outlineLvl w:val="3"/>
        <w:rPr>
          <w:rFonts w:hint="eastAsia" w:ascii="宋体" w:hAnsi="宋体" w:eastAsia="宋体" w:cs="宋体"/>
          <w:b/>
          <w:szCs w:val="21"/>
          <w:highlight w:val="none"/>
        </w:rPr>
      </w:pPr>
      <w:bookmarkStart w:id="27" w:name="_Toc30607"/>
      <w:r>
        <w:rPr>
          <w:rFonts w:hint="eastAsia" w:ascii="宋体" w:hAnsi="宋体" w:eastAsia="宋体" w:cs="宋体"/>
          <w:b/>
          <w:szCs w:val="21"/>
          <w:highlight w:val="none"/>
        </w:rPr>
        <w:t>1.10 投标预备会</w:t>
      </w:r>
      <w:bookmarkEnd w:id="27"/>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1.10.1 投标人须知前附表规定召开投标预备会的，采购人按投标人须知前附表规定的时间和地点召开投标预备会，澄清投标供应商提出的问题。</w:t>
      </w:r>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1.10.2 投标供应商应在投标人须知前附表规定的时间前，以书面形式将提出的问题送达采购人，以便采购人在会议期间澄清。</w:t>
      </w:r>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1.10.3 投标预备会后，采购人在投标人须知前附表规定的时间内，将对投标供应商所提问颗的澄清，以书面方式通知所有购买招标文件的投标供应商。该澄清内容为招标文件的组成部分。</w:t>
      </w:r>
      <w:bookmarkStart w:id="28" w:name="_Toc345178449"/>
      <w:bookmarkStart w:id="29" w:name="_Toc184635072"/>
    </w:p>
    <w:p>
      <w:pPr>
        <w:keepNext/>
        <w:keepLines/>
        <w:spacing w:line="540" w:lineRule="exact"/>
        <w:outlineLvl w:val="3"/>
        <w:rPr>
          <w:rFonts w:hint="eastAsia" w:ascii="宋体" w:hAnsi="宋体" w:eastAsia="宋体" w:cs="宋体"/>
          <w:b/>
          <w:szCs w:val="21"/>
          <w:highlight w:val="none"/>
        </w:rPr>
      </w:pPr>
      <w:r>
        <w:rPr>
          <w:rFonts w:hint="eastAsia" w:ascii="宋体" w:hAnsi="宋体" w:eastAsia="宋体" w:cs="宋体"/>
          <w:b/>
          <w:szCs w:val="21"/>
          <w:highlight w:val="none"/>
        </w:rPr>
        <w:t>1.11 分包</w:t>
      </w:r>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详见投标人须知前附表。</w:t>
      </w:r>
    </w:p>
    <w:p>
      <w:pPr>
        <w:pStyle w:val="3"/>
        <w:jc w:val="left"/>
        <w:rPr>
          <w:rFonts w:hint="eastAsia" w:ascii="宋体" w:hAnsi="宋体" w:eastAsia="宋体" w:cs="宋体"/>
          <w:sz w:val="24"/>
          <w:szCs w:val="16"/>
          <w:highlight w:val="none"/>
        </w:rPr>
      </w:pPr>
      <w:bookmarkStart w:id="30" w:name="_Toc8608"/>
      <w:bookmarkStart w:id="31" w:name="_Toc21600"/>
      <w:r>
        <w:rPr>
          <w:rFonts w:hint="eastAsia" w:ascii="宋体" w:hAnsi="宋体" w:eastAsia="宋体" w:cs="宋体"/>
          <w:sz w:val="24"/>
          <w:szCs w:val="16"/>
          <w:highlight w:val="none"/>
        </w:rPr>
        <w:t>2.招标文件</w:t>
      </w:r>
      <w:bookmarkEnd w:id="28"/>
      <w:bookmarkEnd w:id="29"/>
      <w:bookmarkEnd w:id="30"/>
      <w:bookmarkEnd w:id="31"/>
    </w:p>
    <w:p>
      <w:pPr>
        <w:keepNext/>
        <w:keepLines/>
        <w:spacing w:line="540" w:lineRule="exact"/>
        <w:outlineLvl w:val="3"/>
        <w:rPr>
          <w:rFonts w:hint="eastAsia" w:ascii="宋体" w:hAnsi="宋体" w:eastAsia="宋体" w:cs="宋体"/>
          <w:b/>
          <w:szCs w:val="21"/>
          <w:highlight w:val="none"/>
        </w:rPr>
      </w:pPr>
      <w:bookmarkStart w:id="32" w:name="_Toc7846"/>
      <w:r>
        <w:rPr>
          <w:rFonts w:hint="eastAsia" w:ascii="宋体" w:hAnsi="宋体" w:eastAsia="宋体" w:cs="宋体"/>
          <w:b/>
          <w:szCs w:val="21"/>
          <w:highlight w:val="none"/>
        </w:rPr>
        <w:t>2.1招标文件的组成</w:t>
      </w:r>
      <w:bookmarkEnd w:id="32"/>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本招标文件包括：</w:t>
      </w:r>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（1）招标公告；</w:t>
      </w:r>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（2）投标人须知；</w:t>
      </w:r>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（3）资格性审查</w:t>
      </w:r>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（4）符合性审查</w:t>
      </w:r>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（5）评标办法；</w:t>
      </w:r>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（6）合同条款及格式；</w:t>
      </w:r>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（7）货物需求及技术要求；</w:t>
      </w:r>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w:t>
      </w:r>
      <w:r>
        <w:rPr>
          <w:rFonts w:hint="eastAsia" w:ascii="宋体" w:hAnsi="宋体" w:eastAsia="宋体" w:cs="宋体"/>
          <w:szCs w:val="16"/>
          <w:highlight w:val="none"/>
          <w:lang w:val="en-US" w:eastAsia="zh-CN"/>
        </w:rPr>
        <w:t>8</w:t>
      </w:r>
      <w:r>
        <w:rPr>
          <w:rFonts w:hint="eastAsia" w:ascii="宋体" w:hAnsi="宋体" w:eastAsia="宋体" w:cs="宋体"/>
          <w:szCs w:val="16"/>
          <w:highlight w:val="none"/>
        </w:rPr>
        <w:t>）投标文件格式；</w:t>
      </w:r>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w:t>
      </w:r>
      <w:r>
        <w:rPr>
          <w:rFonts w:hint="eastAsia" w:ascii="宋体" w:hAnsi="宋体" w:eastAsia="宋体" w:cs="宋体"/>
          <w:szCs w:val="16"/>
          <w:highlight w:val="none"/>
          <w:lang w:val="en-US" w:eastAsia="zh-CN"/>
        </w:rPr>
        <w:t>9</w:t>
      </w:r>
      <w:r>
        <w:rPr>
          <w:rFonts w:hint="eastAsia" w:ascii="宋体" w:hAnsi="宋体" w:eastAsia="宋体" w:cs="宋体"/>
          <w:szCs w:val="16"/>
          <w:highlight w:val="none"/>
        </w:rPr>
        <w:t>）政府采购政策</w:t>
      </w:r>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根据本章第1.10 款、第2.2 款和第2.3 款对招标文件所作的澄清、修改，构成招标文件的组成部分。</w:t>
      </w:r>
    </w:p>
    <w:p>
      <w:pPr>
        <w:keepNext/>
        <w:keepLines/>
        <w:spacing w:line="540" w:lineRule="exact"/>
        <w:outlineLvl w:val="3"/>
        <w:rPr>
          <w:rFonts w:hint="eastAsia" w:ascii="宋体" w:hAnsi="宋体" w:eastAsia="宋体" w:cs="宋体"/>
          <w:b/>
          <w:szCs w:val="21"/>
          <w:highlight w:val="none"/>
        </w:rPr>
      </w:pPr>
      <w:bookmarkStart w:id="33" w:name="_Toc2466"/>
      <w:r>
        <w:rPr>
          <w:rFonts w:hint="eastAsia" w:ascii="宋体" w:hAnsi="宋体" w:eastAsia="宋体" w:cs="宋体"/>
          <w:b/>
          <w:szCs w:val="21"/>
          <w:highlight w:val="none"/>
        </w:rPr>
        <w:t>2.2 招标文件的澄清</w:t>
      </w:r>
      <w:bookmarkEnd w:id="33"/>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2.2.1投标供应商应仔细阅读和检查招标文件的全部内容。如发现缺页或附件不全，应及时向采购人提出，以便补齐。如有疑问，应在投标人须知前附表规定的时间前在交易平台上进行提问，要求采购人对招标文件予以澄清。</w:t>
      </w:r>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2.2.2 招标文件的澄清将在投标人须知前附表规定的投标截止时间15天前通过“河南省公共资源交易中心(www.hnggzy.net) ”电子交易平台公布给所有下载招标文件的投标供应商，但不指明澄清问题的来源。</w:t>
      </w:r>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2.2.3 投标供应商在收到澄清后，应在投标人须知前附表规定的时间内在交易平台上回复确认已收到该澄清。</w:t>
      </w:r>
    </w:p>
    <w:p>
      <w:pPr>
        <w:keepNext/>
        <w:keepLines/>
        <w:spacing w:line="540" w:lineRule="exact"/>
        <w:outlineLvl w:val="3"/>
        <w:rPr>
          <w:rFonts w:hint="eastAsia" w:ascii="宋体" w:hAnsi="宋体" w:eastAsia="宋体" w:cs="宋体"/>
          <w:b/>
          <w:szCs w:val="21"/>
          <w:highlight w:val="none"/>
        </w:rPr>
      </w:pPr>
      <w:bookmarkStart w:id="34" w:name="_Toc18485"/>
      <w:r>
        <w:rPr>
          <w:rFonts w:hint="eastAsia" w:ascii="宋体" w:hAnsi="宋体" w:eastAsia="宋体" w:cs="宋体"/>
          <w:b/>
          <w:szCs w:val="21"/>
          <w:highlight w:val="none"/>
        </w:rPr>
        <w:t>2.3 招标文件的修改</w:t>
      </w:r>
      <w:bookmarkEnd w:id="34"/>
    </w:p>
    <w:p>
      <w:pPr>
        <w:spacing w:line="500" w:lineRule="exact"/>
        <w:ind w:firstLine="424" w:firstLineChars="200"/>
        <w:rPr>
          <w:rFonts w:hint="eastAsia" w:ascii="宋体" w:hAnsi="宋体" w:eastAsia="宋体" w:cs="宋体"/>
          <w:szCs w:val="16"/>
          <w:highlight w:val="none"/>
        </w:rPr>
      </w:pPr>
      <w:bookmarkStart w:id="35" w:name="_Toc184635073"/>
      <w:r>
        <w:rPr>
          <w:rFonts w:hint="eastAsia" w:ascii="宋体" w:hAnsi="宋体" w:eastAsia="宋体" w:cs="宋体"/>
          <w:szCs w:val="16"/>
          <w:highlight w:val="none"/>
        </w:rPr>
        <w:t>2.3.1 在投标截止时间15天前，采购人可以修改招标文件。如有修改，应</w:t>
      </w:r>
      <w:r>
        <w:rPr>
          <w:rFonts w:hint="eastAsia" w:ascii="宋体" w:hAnsi="宋体" w:eastAsia="宋体" w:cs="宋体"/>
          <w:szCs w:val="16"/>
          <w:highlight w:val="none"/>
          <w:lang w:val="en-US" w:eastAsia="zh-CN"/>
        </w:rPr>
        <w:t>通过</w:t>
      </w:r>
      <w:r>
        <w:rPr>
          <w:rFonts w:hint="eastAsia" w:ascii="宋体" w:hAnsi="宋体" w:eastAsia="宋体" w:cs="宋体"/>
          <w:szCs w:val="16"/>
          <w:highlight w:val="none"/>
        </w:rPr>
        <w:t>“河南省公共资源交易中心(www.hnggzy.net) ”电子交易平台公布给所有下载招标文件的投标供应商。</w:t>
      </w:r>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2.3.2 投标供应商收到修改内容后，应在投标人须知前附表规定的时间内在交易平台上回复确认已收到该修改。</w:t>
      </w:r>
    </w:p>
    <w:p>
      <w:pPr>
        <w:pStyle w:val="3"/>
        <w:jc w:val="left"/>
        <w:rPr>
          <w:rFonts w:hint="eastAsia" w:ascii="宋体" w:hAnsi="宋体" w:eastAsia="宋体" w:cs="宋体"/>
          <w:sz w:val="24"/>
          <w:szCs w:val="16"/>
          <w:highlight w:val="none"/>
        </w:rPr>
      </w:pPr>
      <w:bookmarkStart w:id="36" w:name="_Toc23766"/>
      <w:bookmarkStart w:id="37" w:name="_Toc30545"/>
      <w:r>
        <w:rPr>
          <w:rFonts w:hint="eastAsia" w:ascii="宋体" w:hAnsi="宋体" w:eastAsia="宋体" w:cs="宋体"/>
          <w:sz w:val="24"/>
          <w:szCs w:val="16"/>
          <w:highlight w:val="none"/>
        </w:rPr>
        <w:t>3.投标文件</w:t>
      </w:r>
      <w:bookmarkEnd w:id="35"/>
      <w:bookmarkEnd w:id="36"/>
      <w:r>
        <w:rPr>
          <w:rFonts w:hint="eastAsia" w:ascii="宋体" w:hAnsi="宋体" w:eastAsia="宋体" w:cs="宋体"/>
          <w:sz w:val="24"/>
          <w:szCs w:val="16"/>
          <w:highlight w:val="none"/>
        </w:rPr>
        <w:t>（详见第</w:t>
      </w:r>
      <w:r>
        <w:rPr>
          <w:rFonts w:hint="eastAsia" w:ascii="宋体" w:hAnsi="宋体" w:eastAsia="宋体" w:cs="宋体"/>
          <w:sz w:val="24"/>
          <w:szCs w:val="16"/>
          <w:highlight w:val="none"/>
          <w:lang w:val="en-US" w:eastAsia="zh-CN"/>
        </w:rPr>
        <w:t>八</w:t>
      </w:r>
      <w:r>
        <w:rPr>
          <w:rFonts w:hint="eastAsia" w:ascii="宋体" w:hAnsi="宋体" w:eastAsia="宋体" w:cs="宋体"/>
          <w:sz w:val="24"/>
          <w:szCs w:val="16"/>
          <w:highlight w:val="none"/>
        </w:rPr>
        <w:t>章）</w:t>
      </w:r>
      <w:bookmarkEnd w:id="37"/>
    </w:p>
    <w:p>
      <w:pPr>
        <w:keepNext/>
        <w:keepLines/>
        <w:spacing w:line="540" w:lineRule="exact"/>
        <w:outlineLvl w:val="3"/>
        <w:rPr>
          <w:rFonts w:hint="eastAsia" w:ascii="宋体" w:hAnsi="宋体" w:eastAsia="宋体" w:cs="宋体"/>
          <w:b/>
          <w:szCs w:val="21"/>
          <w:highlight w:val="none"/>
        </w:rPr>
      </w:pPr>
      <w:bookmarkStart w:id="38" w:name="_Toc274"/>
      <w:r>
        <w:rPr>
          <w:rFonts w:hint="eastAsia" w:ascii="宋体" w:hAnsi="宋体" w:eastAsia="宋体" w:cs="宋体"/>
          <w:b/>
          <w:szCs w:val="21"/>
          <w:highlight w:val="none"/>
        </w:rPr>
        <w:t>3.1投标文件的组成</w:t>
      </w:r>
      <w:bookmarkEnd w:id="38"/>
    </w:p>
    <w:p>
      <w:pPr>
        <w:spacing w:line="500" w:lineRule="exact"/>
        <w:ind w:firstLine="424"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一、投标函</w:t>
      </w:r>
      <w:r>
        <w:rPr>
          <w:rFonts w:hint="eastAsia" w:ascii="宋体" w:hAnsi="宋体" w:eastAsia="宋体" w:cs="宋体"/>
          <w:sz w:val="21"/>
          <w:szCs w:val="21"/>
          <w:highlight w:val="none"/>
          <w:lang w:val="en-US" w:eastAsia="zh-CN"/>
        </w:rPr>
        <w:t>及投标函附录</w:t>
      </w:r>
    </w:p>
    <w:p>
      <w:pPr>
        <w:spacing w:line="500" w:lineRule="exact"/>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w:t>
      </w:r>
      <w:r>
        <w:rPr>
          <w:rFonts w:hint="eastAsia" w:ascii="宋体" w:hAnsi="宋体" w:eastAsia="宋体" w:cs="宋体"/>
          <w:sz w:val="21"/>
          <w:szCs w:val="21"/>
          <w:highlight w:val="none"/>
          <w:lang w:val="en-US" w:eastAsia="zh-CN"/>
        </w:rPr>
        <w:t>分项报价一览表</w:t>
      </w:r>
    </w:p>
    <w:p>
      <w:pPr>
        <w:spacing w:line="500" w:lineRule="exact"/>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类似</w:t>
      </w:r>
      <w:r>
        <w:rPr>
          <w:rFonts w:hint="eastAsia" w:ascii="宋体" w:hAnsi="宋体" w:eastAsia="宋体" w:cs="宋体"/>
          <w:sz w:val="21"/>
          <w:szCs w:val="21"/>
          <w:highlight w:val="none"/>
        </w:rPr>
        <w:t>业绩表</w:t>
      </w:r>
    </w:p>
    <w:p>
      <w:pPr>
        <w:spacing w:line="500" w:lineRule="exact"/>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四</w:t>
      </w:r>
      <w:r>
        <w:rPr>
          <w:rFonts w:hint="eastAsia" w:ascii="宋体" w:hAnsi="宋体" w:eastAsia="宋体" w:cs="宋体"/>
          <w:sz w:val="21"/>
          <w:szCs w:val="21"/>
          <w:highlight w:val="none"/>
        </w:rPr>
        <w:t>、技术偏离表</w:t>
      </w:r>
    </w:p>
    <w:p>
      <w:pPr>
        <w:spacing w:line="500" w:lineRule="exact"/>
        <w:ind w:firstLine="424"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五</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商务偏离表</w:t>
      </w:r>
    </w:p>
    <w:p>
      <w:pPr>
        <w:spacing w:line="500" w:lineRule="exact"/>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六</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相关</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方案</w:t>
      </w:r>
    </w:p>
    <w:p>
      <w:pPr>
        <w:spacing w:line="500" w:lineRule="exact"/>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七</w:t>
      </w:r>
      <w:r>
        <w:rPr>
          <w:rFonts w:hint="eastAsia" w:ascii="宋体" w:hAnsi="宋体" w:eastAsia="宋体" w:cs="宋体"/>
          <w:sz w:val="21"/>
          <w:szCs w:val="21"/>
          <w:highlight w:val="none"/>
        </w:rPr>
        <w:t>、法定代表身份证明及法定代表人授权委托书</w:t>
      </w:r>
    </w:p>
    <w:p>
      <w:pPr>
        <w:spacing w:line="500" w:lineRule="exact"/>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八</w:t>
      </w:r>
      <w:r>
        <w:rPr>
          <w:rFonts w:hint="eastAsia" w:ascii="宋体" w:hAnsi="宋体" w:eastAsia="宋体" w:cs="宋体"/>
          <w:sz w:val="21"/>
          <w:szCs w:val="21"/>
          <w:highlight w:val="none"/>
        </w:rPr>
        <w:t>、资格审查资料</w:t>
      </w:r>
    </w:p>
    <w:p>
      <w:pPr>
        <w:spacing w:line="500" w:lineRule="exact"/>
        <w:ind w:firstLine="42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九</w:t>
      </w:r>
      <w:r>
        <w:rPr>
          <w:rFonts w:hint="eastAsia" w:ascii="宋体" w:hAnsi="宋体" w:eastAsia="宋体" w:cs="宋体"/>
          <w:sz w:val="21"/>
          <w:szCs w:val="21"/>
          <w:highlight w:val="none"/>
        </w:rPr>
        <w:t>、</w:t>
      </w:r>
      <w:r>
        <w:rPr>
          <w:rFonts w:hint="eastAsia" w:ascii="宋体" w:hAnsi="宋体" w:eastAsia="宋体" w:cs="宋体"/>
          <w:bCs/>
          <w:sz w:val="21"/>
          <w:szCs w:val="21"/>
          <w:highlight w:val="none"/>
        </w:rPr>
        <w:t>反商业贿赂承诺书</w:t>
      </w:r>
    </w:p>
    <w:p>
      <w:pPr>
        <w:spacing w:line="500" w:lineRule="exact"/>
        <w:ind w:firstLine="424"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十、</w:t>
      </w:r>
      <w:r>
        <w:rPr>
          <w:rFonts w:hint="eastAsia" w:ascii="宋体" w:hAnsi="宋体" w:eastAsia="宋体" w:cs="宋体"/>
          <w:sz w:val="21"/>
          <w:szCs w:val="21"/>
          <w:highlight w:val="none"/>
        </w:rPr>
        <w:t>投标设备图片及投标供应商认为需要提交的其它证明资料</w:t>
      </w:r>
    </w:p>
    <w:p>
      <w:pPr>
        <w:spacing w:line="500" w:lineRule="exact"/>
        <w:ind w:firstLine="424" w:firstLineChars="200"/>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lang w:val="en-US" w:eastAsia="zh-CN"/>
        </w:rPr>
        <w:t>附件</w:t>
      </w:r>
    </w:p>
    <w:p>
      <w:pPr>
        <w:spacing w:line="5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投标供应商在评标过程中作出的符合法律法规和招标文件规定的澄清确认，构成投标文件的组成部分。</w:t>
      </w:r>
    </w:p>
    <w:p>
      <w:pPr>
        <w:keepNext/>
        <w:keepLines/>
        <w:spacing w:line="540" w:lineRule="exact"/>
        <w:outlineLvl w:val="3"/>
        <w:rPr>
          <w:rFonts w:hint="eastAsia" w:ascii="宋体" w:hAnsi="宋体" w:eastAsia="宋体" w:cs="宋体"/>
          <w:b/>
          <w:szCs w:val="21"/>
          <w:highlight w:val="none"/>
        </w:rPr>
      </w:pPr>
      <w:bookmarkStart w:id="39" w:name="_Toc13425"/>
      <w:r>
        <w:rPr>
          <w:rFonts w:hint="eastAsia" w:ascii="宋体" w:hAnsi="宋体" w:eastAsia="宋体" w:cs="宋体"/>
          <w:b/>
          <w:szCs w:val="21"/>
          <w:highlight w:val="none"/>
        </w:rPr>
        <w:t>3.2 投标报价</w:t>
      </w:r>
      <w:bookmarkEnd w:id="39"/>
    </w:p>
    <w:p>
      <w:pPr>
        <w:spacing w:line="520" w:lineRule="exact"/>
        <w:ind w:firstLine="424" w:firstLineChars="200"/>
        <w:rPr>
          <w:rFonts w:hint="eastAsia" w:ascii="宋体" w:hAnsi="宋体" w:eastAsia="宋体" w:cs="宋体"/>
          <w:szCs w:val="21"/>
          <w:highlight w:val="none"/>
        </w:rPr>
      </w:pPr>
      <w:bookmarkStart w:id="40" w:name="_Toc256760544"/>
      <w:bookmarkStart w:id="41" w:name="_Toc247965702"/>
      <w:bookmarkStart w:id="42" w:name="_Toc247965803"/>
      <w:bookmarkStart w:id="43" w:name="_Toc257026310"/>
      <w:bookmarkStart w:id="44" w:name="_Toc257025777"/>
      <w:bookmarkStart w:id="45" w:name="_Toc247961842"/>
      <w:r>
        <w:rPr>
          <w:rFonts w:hint="eastAsia" w:ascii="宋体" w:hAnsi="宋体" w:eastAsia="宋体" w:cs="宋体"/>
          <w:szCs w:val="21"/>
          <w:highlight w:val="none"/>
        </w:rPr>
        <w:t>3.2.1 投标报价应包括国家规定的增值税税金，除投标人须知前附表另有规定外，增值税税金按一般计税方法计算。投标供应商应按第</w:t>
      </w:r>
      <w:r>
        <w:rPr>
          <w:rFonts w:hint="eastAsia" w:ascii="宋体" w:hAnsi="宋体" w:eastAsia="宋体" w:cs="宋体"/>
          <w:szCs w:val="21"/>
          <w:highlight w:val="none"/>
          <w:lang w:val="en-US" w:eastAsia="zh-CN"/>
        </w:rPr>
        <w:t>八</w:t>
      </w:r>
      <w:r>
        <w:rPr>
          <w:rFonts w:hint="eastAsia" w:ascii="宋体" w:hAnsi="宋体" w:eastAsia="宋体" w:cs="宋体"/>
          <w:szCs w:val="21"/>
          <w:highlight w:val="none"/>
        </w:rPr>
        <w:t>章“投标文件格式”的要求在投标函中进行报价并填写费用清单。投标货币投标文件中投标报价全部采用人民币表示。</w:t>
      </w:r>
    </w:p>
    <w:p>
      <w:pPr>
        <w:spacing w:line="52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3.2.2投标报价</w:t>
      </w:r>
    </w:p>
    <w:p>
      <w:pPr>
        <w:spacing w:line="52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（1）投标供应商的投标报价包括但不限于货物采购及所供货物发运到合同交货地点的</w:t>
      </w:r>
      <w:r>
        <w:rPr>
          <w:rFonts w:hint="eastAsia" w:ascii="宋体" w:hAnsi="宋体" w:eastAsia="宋体" w:cs="宋体"/>
          <w:szCs w:val="21"/>
          <w:highlight w:val="none"/>
          <w:lang w:eastAsia="zh-CN"/>
        </w:rPr>
        <w:t>运输、保险、装卸、安装、检测、调试、试运行、验收交付、培训、技术支持、软件升级、售后服务及相关伴随服务等等</w:t>
      </w:r>
      <w:r>
        <w:rPr>
          <w:rFonts w:hint="eastAsia" w:ascii="宋体" w:hAnsi="宋体" w:eastAsia="宋体" w:cs="宋体"/>
          <w:szCs w:val="21"/>
          <w:highlight w:val="none"/>
        </w:rPr>
        <w:t>所需的全部费用。投标供应商应结合自身条件，充分考虑本项目实际情况以及市场因素、现场环境因素、社会因素等各方面的风险因素，投标报价将被认为已综合考虑可能发生的全部不可预见的风险费用。中标供应商无权再以估计不足为由提出任何延长交货期、增加价款或索赔等要求。</w:t>
      </w:r>
    </w:p>
    <w:p>
      <w:pPr>
        <w:spacing w:line="52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注：①以上相关费用包含但不限于增值税、营业税、运输费、保险费和伴随服务费、相关售后服务费用等，均由投标供应商承担，并计入投标报价。</w:t>
      </w:r>
    </w:p>
    <w:p>
      <w:pPr>
        <w:spacing w:line="520" w:lineRule="exact"/>
        <w:ind w:firstLine="848" w:firstLineChars="400"/>
        <w:rPr>
          <w:rFonts w:hint="eastAsia" w:ascii="宋体" w:hAnsi="宋体" w:eastAsia="宋体" w:cs="宋体"/>
          <w:szCs w:val="21"/>
          <w:highlight w:val="none"/>
        </w:rPr>
      </w:pPr>
      <w:r>
        <w:rPr>
          <w:rFonts w:hint="eastAsia" w:ascii="宋体" w:hAnsi="宋体" w:eastAsia="宋体" w:cs="宋体"/>
          <w:szCs w:val="21"/>
          <w:highlight w:val="none"/>
        </w:rPr>
        <w:t>② 投标供应商的投标报价中须包含供货后开具发票的费用。</w:t>
      </w:r>
    </w:p>
    <w:p>
      <w:pPr>
        <w:spacing w:line="52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（2）投标报价不得低于企业成本</w:t>
      </w:r>
      <w:r>
        <w:rPr>
          <w:rFonts w:hint="eastAsia" w:ascii="宋体" w:hAnsi="宋体" w:eastAsia="宋体" w:cs="宋体"/>
          <w:szCs w:val="21"/>
          <w:highlight w:val="none"/>
          <w:lang w:eastAsia="zh-CN"/>
        </w:rPr>
        <w:t>价</w:t>
      </w:r>
      <w:r>
        <w:rPr>
          <w:rFonts w:hint="eastAsia" w:ascii="宋体" w:hAnsi="宋体" w:eastAsia="宋体" w:cs="宋体"/>
          <w:szCs w:val="21"/>
          <w:highlight w:val="none"/>
        </w:rPr>
        <w:t>。</w:t>
      </w:r>
    </w:p>
    <w:p>
      <w:pPr>
        <w:spacing w:line="52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（3）投标供应商的投标报价如有漏项，视为已经包含在投标报价内。</w:t>
      </w:r>
      <w:bookmarkStart w:id="46" w:name="page19"/>
      <w:bookmarkEnd w:id="46"/>
    </w:p>
    <w:p>
      <w:pPr>
        <w:spacing w:line="52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（4）投标文件中凡是与“报价”、“金额”有关的条款，前后金额数应一致，不一致时以投标函中的金额为准。</w:t>
      </w:r>
    </w:p>
    <w:p>
      <w:pPr>
        <w:spacing w:line="52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（5）投标供应商应考虑价格变化风险。</w:t>
      </w:r>
    </w:p>
    <w:bookmarkEnd w:id="40"/>
    <w:bookmarkEnd w:id="41"/>
    <w:bookmarkEnd w:id="42"/>
    <w:bookmarkEnd w:id="43"/>
    <w:bookmarkEnd w:id="44"/>
    <w:bookmarkEnd w:id="45"/>
    <w:p>
      <w:pPr>
        <w:keepNext/>
        <w:keepLines/>
        <w:spacing w:line="540" w:lineRule="exact"/>
        <w:outlineLvl w:val="3"/>
        <w:rPr>
          <w:rFonts w:hint="eastAsia" w:ascii="宋体" w:hAnsi="宋体" w:eastAsia="宋体" w:cs="宋体"/>
          <w:b/>
          <w:szCs w:val="21"/>
          <w:highlight w:val="none"/>
        </w:rPr>
      </w:pPr>
      <w:bookmarkStart w:id="47" w:name="_Toc9931"/>
      <w:r>
        <w:rPr>
          <w:rFonts w:hint="eastAsia" w:ascii="宋体" w:hAnsi="宋体" w:eastAsia="宋体" w:cs="宋体"/>
          <w:b/>
          <w:szCs w:val="21"/>
          <w:highlight w:val="none"/>
        </w:rPr>
        <w:t>3.3 投标有效期</w:t>
      </w:r>
      <w:bookmarkEnd w:id="47"/>
    </w:p>
    <w:p>
      <w:pPr>
        <w:spacing w:line="500" w:lineRule="exact"/>
        <w:ind w:firstLine="414" w:firstLineChars="196"/>
        <w:rPr>
          <w:rFonts w:hint="eastAsia" w:ascii="宋体" w:hAnsi="宋体" w:eastAsia="宋体" w:cs="宋体"/>
          <w:szCs w:val="21"/>
          <w:highlight w:val="none"/>
        </w:rPr>
      </w:pPr>
      <w:r>
        <w:rPr>
          <w:rFonts w:hint="eastAsia" w:ascii="宋体" w:hAnsi="宋体" w:eastAsia="宋体" w:cs="宋体"/>
          <w:szCs w:val="21"/>
          <w:highlight w:val="none"/>
        </w:rPr>
        <w:t>3.3.1  在投标有效期内，投标供应商撤销投标文件的，应承担招标文件和法律规定的责任。</w:t>
      </w:r>
    </w:p>
    <w:p>
      <w:pPr>
        <w:spacing w:line="5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3.3.2  出现特殊情况需要延长投标有效期的，采购人以书面形式通知所有投标供应商延长投标有效期。投标供应商应予以书面答复。</w:t>
      </w:r>
    </w:p>
    <w:p>
      <w:pPr>
        <w:keepNext/>
        <w:keepLines/>
        <w:spacing w:line="540" w:lineRule="exact"/>
        <w:outlineLvl w:val="3"/>
        <w:rPr>
          <w:rFonts w:hint="eastAsia" w:ascii="宋体" w:hAnsi="宋体" w:eastAsia="宋体" w:cs="宋体"/>
          <w:b/>
          <w:szCs w:val="21"/>
          <w:highlight w:val="none"/>
        </w:rPr>
      </w:pPr>
      <w:bookmarkStart w:id="48" w:name="_Toc9293"/>
      <w:r>
        <w:rPr>
          <w:rFonts w:hint="eastAsia" w:ascii="宋体" w:hAnsi="宋体" w:eastAsia="宋体" w:cs="宋体"/>
          <w:b/>
          <w:szCs w:val="21"/>
          <w:highlight w:val="none"/>
        </w:rPr>
        <w:t>3.4 投标保证金</w:t>
      </w:r>
      <w:bookmarkEnd w:id="48"/>
    </w:p>
    <w:p>
      <w:pPr>
        <w:spacing w:line="5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根据豫财购{2019}4号文规定，本项目不再收取保证金。</w:t>
      </w:r>
    </w:p>
    <w:p>
      <w:pPr>
        <w:keepNext/>
        <w:keepLines/>
        <w:spacing w:line="540" w:lineRule="exact"/>
        <w:outlineLvl w:val="3"/>
        <w:rPr>
          <w:rFonts w:hint="eastAsia" w:ascii="宋体" w:hAnsi="宋体" w:eastAsia="宋体" w:cs="宋体"/>
          <w:b/>
          <w:szCs w:val="21"/>
          <w:highlight w:val="none"/>
        </w:rPr>
      </w:pPr>
      <w:bookmarkStart w:id="49" w:name="_Toc73"/>
      <w:r>
        <w:rPr>
          <w:rFonts w:hint="eastAsia" w:ascii="宋体" w:hAnsi="宋体" w:eastAsia="宋体" w:cs="宋体"/>
          <w:b/>
          <w:szCs w:val="21"/>
          <w:highlight w:val="none"/>
        </w:rPr>
        <w:t>3.5 资格审查资料</w:t>
      </w:r>
      <w:bookmarkEnd w:id="49"/>
    </w:p>
    <w:p>
      <w:pPr>
        <w:spacing w:line="500" w:lineRule="exact"/>
        <w:ind w:firstLine="424" w:firstLineChars="200"/>
        <w:rPr>
          <w:rFonts w:hint="eastAsia" w:ascii="宋体" w:hAnsi="宋体" w:eastAsia="宋体" w:cs="宋体"/>
          <w:b/>
          <w:szCs w:val="21"/>
          <w:highlight w:val="none"/>
        </w:rPr>
      </w:pPr>
      <w:r>
        <w:rPr>
          <w:rFonts w:hint="eastAsia" w:ascii="宋体" w:hAnsi="宋体" w:eastAsia="宋体" w:cs="宋体"/>
          <w:b/>
          <w:szCs w:val="21"/>
          <w:highlight w:val="none"/>
        </w:rPr>
        <w:t>3.5.1见投标人须知前附表</w:t>
      </w:r>
    </w:p>
    <w:p>
      <w:pPr>
        <w:spacing w:line="5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3.5.2上述条款所需材料投标供应商应按前附表规定从河南省公共资源交易中心会员</w:t>
      </w:r>
      <w:r>
        <w:rPr>
          <w:rFonts w:hint="eastAsia" w:ascii="宋体" w:hAnsi="宋体" w:eastAsia="宋体" w:cs="宋体"/>
          <w:szCs w:val="21"/>
          <w:highlight w:val="none"/>
          <w:lang w:eastAsia="zh-CN"/>
        </w:rPr>
        <w:t>主体库</w:t>
      </w:r>
      <w:r>
        <w:rPr>
          <w:rFonts w:hint="eastAsia" w:ascii="宋体" w:hAnsi="宋体" w:eastAsia="宋体" w:cs="宋体"/>
          <w:szCs w:val="21"/>
          <w:highlight w:val="none"/>
        </w:rPr>
        <w:t>选择相应电子文件编入投标文件。投标供应商应及时更新河南省公共资源交易中心会员</w:t>
      </w:r>
      <w:r>
        <w:rPr>
          <w:rFonts w:hint="eastAsia" w:ascii="宋体" w:hAnsi="宋体" w:eastAsia="宋体" w:cs="宋体"/>
          <w:szCs w:val="21"/>
          <w:highlight w:val="none"/>
          <w:lang w:eastAsia="zh-CN"/>
        </w:rPr>
        <w:t>主体库</w:t>
      </w:r>
      <w:r>
        <w:rPr>
          <w:rFonts w:hint="eastAsia" w:ascii="宋体" w:hAnsi="宋体" w:eastAsia="宋体" w:cs="宋体"/>
          <w:szCs w:val="21"/>
          <w:highlight w:val="none"/>
        </w:rPr>
        <w:t>中的材料，确保相关材料真实有效。</w:t>
      </w:r>
    </w:p>
    <w:p>
      <w:pPr>
        <w:keepNext/>
        <w:keepLines/>
        <w:spacing w:line="540" w:lineRule="exact"/>
        <w:outlineLvl w:val="3"/>
        <w:rPr>
          <w:rFonts w:hint="eastAsia" w:ascii="宋体" w:hAnsi="宋体" w:eastAsia="宋体" w:cs="宋体"/>
          <w:b/>
          <w:szCs w:val="21"/>
          <w:highlight w:val="none"/>
        </w:rPr>
      </w:pPr>
      <w:bookmarkStart w:id="50" w:name="_Toc14395"/>
      <w:r>
        <w:rPr>
          <w:rFonts w:hint="eastAsia" w:ascii="宋体" w:hAnsi="宋体" w:eastAsia="宋体" w:cs="宋体"/>
          <w:b/>
          <w:szCs w:val="21"/>
          <w:highlight w:val="none"/>
        </w:rPr>
        <w:t>3.6 备选投标方案</w:t>
      </w:r>
      <w:bookmarkEnd w:id="50"/>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除投标人须知前附表另有规定外，投标供应商不得递交备选投标方案。允许投标供应商递交备选投标方案的，只有中标供应商所递交的备选投标方案方可予以考虑。评标委员会认为中标供应商的各选投标方案优于其按照招标文件要求编制的投标方案的，采购人可以接受该备选投标方案。</w:t>
      </w:r>
    </w:p>
    <w:p>
      <w:pPr>
        <w:keepNext/>
        <w:keepLines/>
        <w:spacing w:line="540" w:lineRule="exact"/>
        <w:outlineLvl w:val="3"/>
        <w:rPr>
          <w:rFonts w:hint="eastAsia" w:ascii="宋体" w:hAnsi="宋体" w:eastAsia="宋体" w:cs="宋体"/>
          <w:b/>
          <w:szCs w:val="21"/>
          <w:highlight w:val="none"/>
        </w:rPr>
      </w:pPr>
      <w:bookmarkStart w:id="51" w:name="_Toc4196"/>
      <w:r>
        <w:rPr>
          <w:rFonts w:hint="eastAsia" w:ascii="宋体" w:hAnsi="宋体" w:eastAsia="宋体" w:cs="宋体"/>
          <w:b/>
          <w:szCs w:val="21"/>
          <w:highlight w:val="none"/>
        </w:rPr>
        <w:t>3.7 投标文件的编制</w:t>
      </w:r>
      <w:bookmarkEnd w:id="51"/>
    </w:p>
    <w:p>
      <w:pPr>
        <w:spacing w:line="500" w:lineRule="exact"/>
        <w:ind w:firstLine="424" w:firstLineChars="200"/>
        <w:rPr>
          <w:rFonts w:hint="eastAsia" w:ascii="宋体" w:hAnsi="宋体" w:eastAsia="宋体" w:cs="宋体"/>
          <w:szCs w:val="21"/>
          <w:highlight w:val="none"/>
        </w:rPr>
      </w:pPr>
      <w:bookmarkStart w:id="52" w:name="_Toc345178450"/>
      <w:bookmarkStart w:id="53" w:name="_Toc184635074"/>
      <w:r>
        <w:rPr>
          <w:rFonts w:hint="eastAsia" w:ascii="宋体" w:hAnsi="宋体" w:eastAsia="宋体" w:cs="宋体"/>
          <w:szCs w:val="21"/>
          <w:highlight w:val="none"/>
        </w:rPr>
        <w:t>3.7.1投标文件应按第</w:t>
      </w:r>
      <w:r>
        <w:rPr>
          <w:rFonts w:hint="eastAsia" w:ascii="宋体" w:hAnsi="宋体" w:eastAsia="宋体" w:cs="宋体"/>
          <w:szCs w:val="21"/>
          <w:highlight w:val="none"/>
          <w:lang w:val="en-US" w:eastAsia="zh-CN"/>
        </w:rPr>
        <w:t>八</w:t>
      </w:r>
      <w:r>
        <w:rPr>
          <w:rFonts w:hint="eastAsia" w:ascii="宋体" w:hAnsi="宋体" w:eastAsia="宋体" w:cs="宋体"/>
          <w:szCs w:val="21"/>
          <w:highlight w:val="none"/>
        </w:rPr>
        <w:t>章“投标文件格式”使用河南省公共资源交易系统投标文件制作专用工具软件编制。其中，投标函附录在满足招标文件实质性要求的基础上，可以提出比招标文件要求更有利于采购人的承诺。</w:t>
      </w:r>
    </w:p>
    <w:p>
      <w:pPr>
        <w:spacing w:line="5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3.7.2 投标文件应当对招标文件有关质保期、交货期、技术标准和要求、采购内容等实质性内容作出响应。</w:t>
      </w:r>
    </w:p>
    <w:p>
      <w:pPr>
        <w:spacing w:line="5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3.7.3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spacing w:line="500" w:lineRule="exact"/>
        <w:ind w:firstLine="424" w:firstLineChars="200"/>
        <w:rPr>
          <w:rFonts w:hint="eastAsia" w:ascii="宋体" w:hAnsi="宋体" w:eastAsia="宋体" w:cs="宋体"/>
          <w:b/>
          <w:szCs w:val="21"/>
          <w:highlight w:val="none"/>
        </w:rPr>
      </w:pPr>
      <w:r>
        <w:rPr>
          <w:rFonts w:hint="eastAsia" w:ascii="宋体" w:hAnsi="宋体" w:eastAsia="宋体" w:cs="宋体"/>
          <w:szCs w:val="21"/>
          <w:highlight w:val="none"/>
        </w:rPr>
        <w:t xml:space="preserve">3.7.4 </w:t>
      </w:r>
      <w:r>
        <w:rPr>
          <w:rFonts w:hint="eastAsia" w:ascii="宋体" w:hAnsi="宋体" w:eastAsia="宋体" w:cs="宋体"/>
          <w:b/>
          <w:szCs w:val="21"/>
          <w:highlight w:val="none"/>
        </w:rPr>
        <w:t>投标所需相关的资质、证明等资料均需先上传至河南省公共资源交易中心</w:t>
      </w:r>
      <w:r>
        <w:rPr>
          <w:rFonts w:hint="eastAsia" w:ascii="宋体" w:hAnsi="宋体" w:eastAsia="宋体" w:cs="宋体"/>
          <w:b/>
          <w:szCs w:val="21"/>
          <w:highlight w:val="none"/>
          <w:lang w:eastAsia="zh-CN"/>
        </w:rPr>
        <w:t>主体库</w:t>
      </w:r>
      <w:r>
        <w:rPr>
          <w:rFonts w:hint="eastAsia" w:ascii="宋体" w:hAnsi="宋体" w:eastAsia="宋体" w:cs="宋体"/>
          <w:b/>
          <w:szCs w:val="21"/>
          <w:highlight w:val="none"/>
        </w:rPr>
        <w:t>并经核验，投标供应商制作投标文件时所需资料须从</w:t>
      </w:r>
      <w:r>
        <w:rPr>
          <w:rFonts w:hint="eastAsia" w:ascii="宋体" w:hAnsi="宋体" w:eastAsia="宋体" w:cs="宋体"/>
          <w:b/>
          <w:szCs w:val="21"/>
          <w:highlight w:val="none"/>
          <w:lang w:eastAsia="zh-CN"/>
        </w:rPr>
        <w:t>主体库</w:t>
      </w:r>
      <w:r>
        <w:rPr>
          <w:rFonts w:hint="eastAsia" w:ascii="宋体" w:hAnsi="宋体" w:eastAsia="宋体" w:cs="宋体"/>
          <w:b/>
          <w:szCs w:val="21"/>
          <w:highlight w:val="none"/>
        </w:rPr>
        <w:t>中提取</w:t>
      </w:r>
      <w:bookmarkStart w:id="54" w:name="_Toc412733184"/>
      <w:bookmarkStart w:id="55" w:name="_Toc456203565"/>
      <w:bookmarkStart w:id="56" w:name="_Toc203530009"/>
      <w:r>
        <w:rPr>
          <w:rFonts w:hint="eastAsia" w:ascii="宋体" w:hAnsi="宋体" w:eastAsia="宋体" w:cs="宋体"/>
          <w:b/>
          <w:szCs w:val="21"/>
          <w:highlight w:val="none"/>
        </w:rPr>
        <w:t>。</w:t>
      </w:r>
    </w:p>
    <w:p>
      <w:pPr>
        <w:spacing w:line="500" w:lineRule="exact"/>
        <w:ind w:firstLine="424" w:firstLineChars="200"/>
        <w:rPr>
          <w:rFonts w:hint="eastAsia" w:ascii="宋体" w:hAnsi="宋体" w:eastAsia="宋体" w:cs="宋体"/>
          <w:sz w:val="21"/>
          <w:szCs w:val="21"/>
          <w:highlight w:val="none"/>
        </w:rPr>
      </w:pPr>
      <w:r>
        <w:rPr>
          <w:rFonts w:hint="eastAsia" w:ascii="宋体" w:hAnsi="宋体" w:eastAsia="宋体" w:cs="宋体"/>
          <w:b w:val="0"/>
          <w:bCs/>
          <w:szCs w:val="21"/>
          <w:highlight w:val="none"/>
          <w:lang w:val="en-US" w:eastAsia="zh-CN"/>
        </w:rPr>
        <w:t>注：</w:t>
      </w:r>
      <w:r>
        <w:rPr>
          <w:rFonts w:hint="eastAsia" w:ascii="宋体" w:hAnsi="宋体" w:eastAsia="宋体" w:cs="宋体"/>
          <w:b w:val="0"/>
          <w:bCs/>
          <w:szCs w:val="21"/>
          <w:highlight w:val="none"/>
        </w:rPr>
        <w:t>投标所需相关的资质、证明等资料均需先上传至河南省公共资源交易中心主体库。根据《河南省公共资源交易中心关于实现自动抓取评委认定的人员、业绩等信息到中标候选人公示模板中的通知》的要求，投标人在主体库中上传项目相关人员、业绩等信息，投标人须保证主体库中企业信息准确，并及时更新，以免影响项目投标。供应商制作投标文件时所需资料须从主体库中提取。</w:t>
      </w:r>
    </w:p>
    <w:p>
      <w:pPr>
        <w:spacing w:line="5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3.7.5 投标货物资格文件</w:t>
      </w:r>
      <w:bookmarkEnd w:id="54"/>
      <w:bookmarkEnd w:id="55"/>
      <w:bookmarkEnd w:id="56"/>
    </w:p>
    <w:p>
      <w:pPr>
        <w:spacing w:line="500" w:lineRule="exact"/>
        <w:ind w:firstLine="424" w:firstLineChars="200"/>
        <w:rPr>
          <w:rFonts w:hint="eastAsia" w:ascii="宋体" w:hAnsi="宋体" w:eastAsia="宋体" w:cs="宋体"/>
          <w:b/>
          <w:szCs w:val="21"/>
          <w:highlight w:val="none"/>
        </w:rPr>
      </w:pPr>
      <w:r>
        <w:rPr>
          <w:rFonts w:hint="eastAsia" w:ascii="宋体" w:hAnsi="宋体" w:eastAsia="宋体" w:cs="宋体"/>
          <w:b/>
          <w:szCs w:val="21"/>
          <w:highlight w:val="none"/>
        </w:rPr>
        <w:t xml:space="preserve">  3.7.5.1投标供应商必须提供有关投标货物符合招标文件要求的证明文件，这些文件可以是</w:t>
      </w:r>
      <w:r>
        <w:rPr>
          <w:rFonts w:hint="eastAsia" w:ascii="宋体" w:hAnsi="宋体" w:eastAsia="宋体" w:cs="宋体"/>
          <w:b/>
          <w:szCs w:val="21"/>
          <w:highlight w:val="none"/>
          <w:lang w:val="en-US" w:eastAsia="zh-CN"/>
        </w:rPr>
        <w:t>产品</w:t>
      </w:r>
      <w:r>
        <w:rPr>
          <w:rFonts w:hint="eastAsia" w:ascii="宋体" w:hAnsi="宋体" w:eastAsia="宋体" w:cs="宋体"/>
          <w:b/>
          <w:szCs w:val="21"/>
          <w:highlight w:val="none"/>
        </w:rPr>
        <w:t>说明书、产品彩页</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技术白皮书</w:t>
      </w:r>
      <w:r>
        <w:rPr>
          <w:rFonts w:hint="eastAsia" w:ascii="宋体" w:hAnsi="宋体" w:eastAsia="宋体" w:cs="宋体"/>
          <w:b/>
          <w:szCs w:val="21"/>
          <w:highlight w:val="none"/>
          <w:lang w:eastAsia="zh-CN"/>
        </w:rPr>
        <w:t>、</w:t>
      </w:r>
      <w:r>
        <w:rPr>
          <w:rFonts w:hint="eastAsia" w:ascii="宋体" w:hAnsi="宋体" w:eastAsia="宋体" w:cs="宋体"/>
          <w:b/>
          <w:bCs/>
          <w:color w:val="auto"/>
          <w:szCs w:val="21"/>
          <w:highlight w:val="none"/>
          <w:lang w:val="en-US" w:eastAsia="zh-CN"/>
        </w:rPr>
        <w:t>国家认证的检测机构出具的检测报告</w:t>
      </w:r>
      <w:r>
        <w:rPr>
          <w:rFonts w:hint="eastAsia" w:ascii="宋体" w:hAnsi="宋体" w:eastAsia="宋体" w:cs="宋体"/>
          <w:b/>
          <w:szCs w:val="21"/>
          <w:highlight w:val="none"/>
        </w:rPr>
        <w:t>等。</w:t>
      </w:r>
    </w:p>
    <w:p>
      <w:pPr>
        <w:spacing w:line="5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3.7.5.2投标供应商必须对招标文件中货物的技术要求逐项、逐条明确答复；并认真、详细的填写“技术规格偏离表”，逐项、逐条说明响应或偏离情况。</w:t>
      </w:r>
    </w:p>
    <w:p>
      <w:pPr>
        <w:spacing w:line="5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3.7.5.3投标供应商所投货物的所有部件均应为全新的、未使用过的新型合格产品。</w:t>
      </w:r>
    </w:p>
    <w:p>
      <w:pPr>
        <w:spacing w:line="50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3.7.5.4 投标供应商认为应对其设备的性能特点、优越性等有必要进行补充说明的内容。</w:t>
      </w:r>
    </w:p>
    <w:bookmarkEnd w:id="52"/>
    <w:bookmarkEnd w:id="53"/>
    <w:p>
      <w:pPr>
        <w:pStyle w:val="3"/>
        <w:jc w:val="left"/>
        <w:rPr>
          <w:rFonts w:hint="eastAsia" w:ascii="宋体" w:hAnsi="宋体" w:eastAsia="宋体" w:cs="宋体"/>
          <w:sz w:val="24"/>
          <w:szCs w:val="16"/>
          <w:highlight w:val="none"/>
        </w:rPr>
      </w:pPr>
      <w:bookmarkStart w:id="57" w:name="_Toc32434"/>
      <w:bookmarkStart w:id="58" w:name="_Toc7385"/>
      <w:r>
        <w:rPr>
          <w:rFonts w:hint="eastAsia" w:ascii="宋体" w:hAnsi="宋体" w:eastAsia="宋体" w:cs="宋体"/>
          <w:sz w:val="24"/>
          <w:szCs w:val="16"/>
          <w:highlight w:val="none"/>
        </w:rPr>
        <w:t>4.投标</w:t>
      </w:r>
      <w:bookmarkEnd w:id="57"/>
      <w:bookmarkEnd w:id="58"/>
    </w:p>
    <w:p>
      <w:pPr>
        <w:keepNext/>
        <w:keepLines/>
        <w:spacing w:line="540" w:lineRule="exact"/>
        <w:outlineLvl w:val="3"/>
        <w:rPr>
          <w:rFonts w:hint="eastAsia" w:ascii="宋体" w:hAnsi="宋体" w:eastAsia="宋体" w:cs="宋体"/>
          <w:b/>
          <w:szCs w:val="21"/>
          <w:highlight w:val="none"/>
        </w:rPr>
      </w:pPr>
      <w:bookmarkStart w:id="59" w:name="_Toc14814"/>
      <w:r>
        <w:rPr>
          <w:rFonts w:hint="eastAsia" w:ascii="宋体" w:hAnsi="宋体" w:eastAsia="宋体" w:cs="宋体"/>
          <w:b/>
          <w:szCs w:val="21"/>
          <w:highlight w:val="none"/>
        </w:rPr>
        <w:t>4.1 投标文件的</w:t>
      </w:r>
      <w:bookmarkEnd w:id="59"/>
      <w:r>
        <w:rPr>
          <w:rFonts w:hint="eastAsia" w:ascii="宋体" w:hAnsi="宋体" w:eastAsia="宋体" w:cs="宋体"/>
          <w:b/>
          <w:szCs w:val="21"/>
          <w:highlight w:val="none"/>
        </w:rPr>
        <w:t>加密</w:t>
      </w:r>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4.1.1 网上上传的电子投标文件应使用数字证书认证并加密。</w:t>
      </w:r>
    </w:p>
    <w:p>
      <w:pPr>
        <w:keepNext/>
        <w:keepLines/>
        <w:spacing w:line="540" w:lineRule="exact"/>
        <w:outlineLvl w:val="3"/>
        <w:rPr>
          <w:rFonts w:hint="eastAsia" w:ascii="宋体" w:hAnsi="宋体" w:eastAsia="宋体" w:cs="宋体"/>
          <w:b/>
          <w:szCs w:val="21"/>
          <w:highlight w:val="none"/>
        </w:rPr>
      </w:pPr>
      <w:bookmarkStart w:id="60" w:name="_Toc22547"/>
      <w:r>
        <w:rPr>
          <w:rFonts w:hint="eastAsia" w:ascii="宋体" w:hAnsi="宋体" w:eastAsia="宋体" w:cs="宋体"/>
          <w:b/>
          <w:szCs w:val="21"/>
          <w:highlight w:val="none"/>
        </w:rPr>
        <w:t>4.2 投标文件的递交</w:t>
      </w:r>
      <w:bookmarkEnd w:id="60"/>
    </w:p>
    <w:p>
      <w:pPr>
        <w:spacing w:line="500" w:lineRule="exact"/>
        <w:ind w:firstLine="424" w:firstLineChars="200"/>
        <w:rPr>
          <w:rFonts w:hint="eastAsia" w:ascii="宋体" w:hAnsi="宋体" w:eastAsia="宋体" w:cs="宋体"/>
          <w:b/>
          <w:bCs/>
          <w:szCs w:val="16"/>
          <w:highlight w:val="none"/>
          <w:shd w:val="clear" w:color="FFFFFF" w:fill="D9D9D9"/>
        </w:rPr>
      </w:pPr>
      <w:r>
        <w:rPr>
          <w:rFonts w:hint="eastAsia" w:ascii="宋体" w:hAnsi="宋体" w:eastAsia="宋体" w:cs="宋体"/>
          <w:szCs w:val="16"/>
          <w:highlight w:val="none"/>
        </w:rPr>
        <w:t>4.2.1 投标供应商应在第二章《投标人须知前附表》中第2.2.2 项规定的投标截止时间前上传加密的电子投标文件（</w:t>
      </w:r>
      <w:r>
        <w:rPr>
          <w:rFonts w:hint="eastAsia" w:ascii="宋体" w:hAnsi="宋体" w:eastAsia="宋体" w:cs="宋体"/>
          <w:szCs w:val="16"/>
          <w:highlight w:val="none"/>
          <w:lang w:val="en-US" w:eastAsia="zh-CN"/>
        </w:rPr>
        <w:t>*</w:t>
      </w:r>
      <w:r>
        <w:rPr>
          <w:rFonts w:hint="eastAsia" w:ascii="宋体" w:hAnsi="宋体" w:eastAsia="宋体" w:cs="宋体"/>
          <w:szCs w:val="16"/>
          <w:highlight w:val="none"/>
        </w:rPr>
        <w:t>.hntf）到会员系统的指定位置。上传时必须得到电脑“上传成功”的确认。请投标供应商在上传时认真检查上传投标文件是否完整、正确。投标供应商因交易中心投标系统问题无法上传电子投标文件时，请在工作时间与河南省公共资源交易中心联系。</w:t>
      </w:r>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4.2.2远程开标机位：详见投标人须知前附表。</w:t>
      </w:r>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4.2.3除投标人须知前附表另有规定外，投标供应商所递交的投标文件不予退还。</w:t>
      </w:r>
    </w:p>
    <w:p>
      <w:pPr>
        <w:spacing w:line="540" w:lineRule="exact"/>
        <w:rPr>
          <w:rFonts w:hint="eastAsia" w:ascii="宋体" w:hAnsi="宋体" w:eastAsia="宋体" w:cs="宋体"/>
          <w:b/>
          <w:szCs w:val="21"/>
          <w:highlight w:val="none"/>
        </w:rPr>
      </w:pPr>
      <w:r>
        <w:rPr>
          <w:rFonts w:hint="eastAsia" w:ascii="宋体" w:hAnsi="宋体" w:eastAsia="宋体" w:cs="宋体"/>
          <w:b/>
          <w:szCs w:val="21"/>
          <w:highlight w:val="none"/>
        </w:rPr>
        <w:t>4.3 投标文件的修改与撤回</w:t>
      </w:r>
    </w:p>
    <w:p>
      <w:pPr>
        <w:spacing w:line="500" w:lineRule="exact"/>
        <w:ind w:firstLine="424" w:firstLineChars="200"/>
        <w:rPr>
          <w:rFonts w:hint="eastAsia" w:ascii="宋体" w:hAnsi="宋体" w:eastAsia="宋体" w:cs="宋体"/>
          <w:szCs w:val="16"/>
          <w:highlight w:val="none"/>
        </w:rPr>
      </w:pPr>
      <w:bookmarkStart w:id="61" w:name="_Toc345178451"/>
      <w:bookmarkStart w:id="62" w:name="_Toc184635075"/>
      <w:r>
        <w:rPr>
          <w:rFonts w:hint="eastAsia" w:ascii="宋体" w:hAnsi="宋体" w:eastAsia="宋体" w:cs="宋体"/>
          <w:szCs w:val="16"/>
          <w:highlight w:val="none"/>
        </w:rPr>
        <w:t>4.3.1 在第二章《投标人须知前附表》中第2.2.2项规定的投标截止时间前，投标供应商可以多次修改或撤回已递交的投标文件，最终投标文件以投标截止时间前完成上传至河南省公共资源交易中心交易系统最后一份投标文件为准。</w:t>
      </w:r>
    </w:p>
    <w:p>
      <w:pPr>
        <w:spacing w:line="500" w:lineRule="exact"/>
        <w:ind w:firstLine="424" w:firstLineChars="200"/>
        <w:rPr>
          <w:rFonts w:hint="eastAsia" w:ascii="宋体" w:hAnsi="宋体" w:eastAsia="宋体" w:cs="宋体"/>
          <w:sz w:val="24"/>
          <w:szCs w:val="20"/>
          <w:highlight w:val="none"/>
        </w:rPr>
      </w:pPr>
      <w:r>
        <w:rPr>
          <w:rFonts w:hint="eastAsia" w:ascii="宋体" w:hAnsi="宋体" w:eastAsia="宋体" w:cs="宋体"/>
          <w:szCs w:val="16"/>
          <w:highlight w:val="none"/>
        </w:rPr>
        <w:t>4.3.2修改的投标文件应按照本章第3条、第4条规定进行编制和递交。</w:t>
      </w:r>
    </w:p>
    <w:p>
      <w:pPr>
        <w:pStyle w:val="3"/>
        <w:jc w:val="left"/>
        <w:rPr>
          <w:rFonts w:hint="eastAsia" w:ascii="宋体" w:hAnsi="宋体" w:eastAsia="宋体" w:cs="宋体"/>
          <w:sz w:val="24"/>
          <w:szCs w:val="16"/>
          <w:highlight w:val="none"/>
        </w:rPr>
      </w:pPr>
      <w:bookmarkStart w:id="63" w:name="_Toc10332"/>
      <w:bookmarkStart w:id="64" w:name="_Toc13922"/>
      <w:r>
        <w:rPr>
          <w:rFonts w:hint="eastAsia" w:ascii="宋体" w:hAnsi="宋体" w:eastAsia="宋体" w:cs="宋体"/>
          <w:sz w:val="24"/>
          <w:szCs w:val="16"/>
          <w:highlight w:val="none"/>
        </w:rPr>
        <w:t>5.开标</w:t>
      </w:r>
      <w:bookmarkEnd w:id="61"/>
      <w:bookmarkEnd w:id="62"/>
      <w:bookmarkEnd w:id="63"/>
      <w:bookmarkEnd w:id="64"/>
    </w:p>
    <w:p>
      <w:pPr>
        <w:keepNext/>
        <w:keepLines/>
        <w:spacing w:line="540" w:lineRule="exact"/>
        <w:outlineLvl w:val="3"/>
        <w:rPr>
          <w:rFonts w:hint="eastAsia" w:ascii="宋体" w:hAnsi="宋体" w:eastAsia="宋体" w:cs="宋体"/>
          <w:b/>
          <w:szCs w:val="21"/>
          <w:highlight w:val="none"/>
        </w:rPr>
      </w:pPr>
      <w:bookmarkStart w:id="65" w:name="_Toc22203"/>
      <w:r>
        <w:rPr>
          <w:rFonts w:hint="eastAsia" w:ascii="宋体" w:hAnsi="宋体" w:eastAsia="宋体" w:cs="宋体"/>
          <w:b/>
          <w:szCs w:val="21"/>
          <w:highlight w:val="none"/>
        </w:rPr>
        <w:t>5.1 开标时间和地点</w:t>
      </w:r>
      <w:bookmarkEnd w:id="65"/>
    </w:p>
    <w:p>
      <w:pPr>
        <w:spacing w:line="500" w:lineRule="exact"/>
        <w:ind w:firstLine="424" w:firstLineChars="200"/>
        <w:rPr>
          <w:rFonts w:hint="eastAsia" w:ascii="宋体" w:hAnsi="宋体" w:eastAsia="宋体" w:cs="宋体"/>
          <w:szCs w:val="16"/>
          <w:highlight w:val="none"/>
        </w:rPr>
      </w:pPr>
      <w:bookmarkStart w:id="66" w:name="_Toc19999"/>
      <w:r>
        <w:rPr>
          <w:rFonts w:hint="eastAsia" w:ascii="宋体" w:hAnsi="宋体" w:eastAsia="宋体" w:cs="宋体"/>
          <w:szCs w:val="16"/>
          <w:highlight w:val="none"/>
        </w:rPr>
        <w:t>5.1.1 采购人在第二章《投标人须知前附表》中第 2.2.2 项规定的投标截止时间（开标时间）和投标人须知前附表规定的地点通过远程进行公开开标。投标供应商不需要到开标现场，只需根据要求进行远程解密。</w:t>
      </w:r>
      <w:r>
        <w:rPr>
          <w:rFonts w:hint="eastAsia" w:ascii="宋体" w:hAnsi="宋体" w:eastAsia="宋体" w:cs="宋体"/>
          <w:kern w:val="0"/>
          <w:szCs w:val="21"/>
          <w:highlight w:val="none"/>
        </w:rPr>
        <w:t>河南省公共资源交易中心现采用“远程不见面”开标方式，投标供应商须提前进入远程开标大厅（http://www.hnggzy.com/）进行开标操作和投标文件的解密。具体操作流程及程序，请投标供应商查阅河南省公共资源交易平台</w:t>
      </w:r>
      <w:r>
        <w:rPr>
          <w:rFonts w:hint="eastAsia" w:ascii="宋体" w:hAnsi="宋体" w:eastAsia="宋体" w:cs="宋体"/>
          <w:kern w:val="0"/>
          <w:szCs w:val="21"/>
          <w:highlight w:val="none"/>
          <w:lang w:val="en-US" w:eastAsia="zh-CN"/>
        </w:rPr>
        <w:t>-公共服务-</w:t>
      </w:r>
      <w:r>
        <w:rPr>
          <w:rFonts w:hint="eastAsia" w:ascii="宋体" w:hAnsi="宋体" w:eastAsia="宋体" w:cs="宋体"/>
          <w:kern w:val="0"/>
          <w:szCs w:val="21"/>
          <w:highlight w:val="none"/>
        </w:rPr>
        <w:t>办事指南</w:t>
      </w:r>
      <w:r>
        <w:rPr>
          <w:rFonts w:hint="eastAsia" w:ascii="宋体" w:hAnsi="宋体" w:eastAsia="宋体" w:cs="宋体"/>
          <w:kern w:val="0"/>
          <w:szCs w:val="21"/>
          <w:highlight w:val="none"/>
          <w:lang w:val="en-US" w:eastAsia="zh-CN"/>
        </w:rPr>
        <w:t>中《</w:t>
      </w:r>
      <w:r>
        <w:rPr>
          <w:rFonts w:hint="eastAsia" w:ascii="宋体" w:hAnsi="宋体" w:eastAsia="宋体" w:cs="宋体"/>
          <w:kern w:val="0"/>
          <w:szCs w:val="21"/>
          <w:highlight w:val="none"/>
        </w:rPr>
        <w:t>新交易平台使用手册（培训资料）</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w:t>
      </w:r>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5.1.2 投标供应商须在系统规定的解密时间内完成解密。</w:t>
      </w:r>
    </w:p>
    <w:p>
      <w:pPr>
        <w:keepNext/>
        <w:keepLines/>
        <w:spacing w:line="540" w:lineRule="exact"/>
        <w:outlineLvl w:val="3"/>
        <w:rPr>
          <w:rFonts w:hint="eastAsia" w:ascii="宋体" w:hAnsi="宋体" w:eastAsia="宋体" w:cs="宋体"/>
          <w:b/>
          <w:szCs w:val="21"/>
          <w:highlight w:val="none"/>
        </w:rPr>
      </w:pPr>
      <w:r>
        <w:rPr>
          <w:rFonts w:hint="eastAsia" w:ascii="宋体" w:hAnsi="宋体" w:eastAsia="宋体" w:cs="宋体"/>
          <w:b/>
          <w:szCs w:val="21"/>
          <w:highlight w:val="none"/>
        </w:rPr>
        <w:t>5.2 开标程序</w:t>
      </w:r>
      <w:bookmarkEnd w:id="66"/>
    </w:p>
    <w:p>
      <w:pPr>
        <w:spacing w:line="500" w:lineRule="exact"/>
        <w:ind w:firstLine="424" w:firstLineChars="200"/>
        <w:rPr>
          <w:rFonts w:hint="eastAsia" w:ascii="宋体" w:hAnsi="宋体" w:eastAsia="宋体" w:cs="宋体"/>
          <w:sz w:val="24"/>
          <w:szCs w:val="20"/>
          <w:highlight w:val="none"/>
        </w:rPr>
      </w:pPr>
      <w:bookmarkStart w:id="67" w:name="_Toc184635076"/>
      <w:bookmarkStart w:id="68" w:name="_Toc32736"/>
      <w:bookmarkStart w:id="69" w:name="_Toc345178452"/>
      <w:r>
        <w:rPr>
          <w:rFonts w:hint="eastAsia" w:ascii="宋体" w:hAnsi="宋体" w:eastAsia="宋体" w:cs="宋体"/>
          <w:szCs w:val="16"/>
          <w:highlight w:val="none"/>
        </w:rPr>
        <w:t>本项目采用电子开标。到投标截止时间止，各投标供应商对加密的电子投标文件进行解密。解密完成后各投标供应商的电子投标文件的实质性内容将自动显示在网页中。投标供应商在投标截止时间前未上传电子投标文件的将视为放弃投标。</w:t>
      </w:r>
    </w:p>
    <w:p>
      <w:pPr>
        <w:pStyle w:val="3"/>
        <w:jc w:val="left"/>
        <w:rPr>
          <w:rFonts w:hint="eastAsia" w:ascii="宋体" w:hAnsi="宋体" w:eastAsia="宋体" w:cs="宋体"/>
          <w:sz w:val="24"/>
          <w:szCs w:val="16"/>
          <w:highlight w:val="none"/>
        </w:rPr>
      </w:pPr>
      <w:bookmarkStart w:id="70" w:name="_Toc2702"/>
      <w:r>
        <w:rPr>
          <w:rFonts w:hint="eastAsia" w:ascii="宋体" w:hAnsi="宋体" w:eastAsia="宋体" w:cs="宋体"/>
          <w:sz w:val="24"/>
          <w:szCs w:val="16"/>
          <w:highlight w:val="none"/>
        </w:rPr>
        <w:t>6.资格审查及评标</w:t>
      </w:r>
      <w:bookmarkEnd w:id="67"/>
      <w:bookmarkEnd w:id="68"/>
      <w:bookmarkEnd w:id="69"/>
      <w:bookmarkEnd w:id="70"/>
    </w:p>
    <w:p>
      <w:pPr>
        <w:keepNext/>
        <w:keepLines/>
        <w:spacing w:line="540" w:lineRule="exact"/>
        <w:outlineLvl w:val="3"/>
        <w:rPr>
          <w:rFonts w:hint="eastAsia" w:ascii="宋体" w:hAnsi="宋体" w:eastAsia="宋体" w:cs="宋体"/>
          <w:b/>
          <w:szCs w:val="21"/>
          <w:highlight w:val="none"/>
        </w:rPr>
      </w:pPr>
      <w:bookmarkStart w:id="71" w:name="_Toc1158"/>
      <w:r>
        <w:rPr>
          <w:rFonts w:hint="eastAsia" w:ascii="宋体" w:hAnsi="宋体" w:eastAsia="宋体" w:cs="宋体"/>
          <w:b/>
          <w:szCs w:val="21"/>
          <w:highlight w:val="none"/>
        </w:rPr>
        <w:t>6.1 资格审查</w:t>
      </w:r>
    </w:p>
    <w:p>
      <w:pPr>
        <w:spacing w:line="360" w:lineRule="auto"/>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开标结束后，由采购人</w:t>
      </w:r>
      <w:r>
        <w:rPr>
          <w:rFonts w:hint="eastAsia" w:ascii="宋体" w:hAnsi="宋体" w:eastAsia="宋体" w:cs="宋体"/>
          <w:szCs w:val="21"/>
          <w:highlight w:val="none"/>
          <w:lang w:val="en-US" w:eastAsia="zh-CN"/>
        </w:rPr>
        <w:t>或采购代理机构</w:t>
      </w:r>
      <w:r>
        <w:rPr>
          <w:rFonts w:hint="eastAsia" w:ascii="宋体" w:hAnsi="宋体" w:eastAsia="宋体" w:cs="宋体"/>
          <w:szCs w:val="21"/>
          <w:highlight w:val="none"/>
        </w:rPr>
        <w:t>进行资格审查。资格审查条件详见投标人须知前附表1.4.1“投标供应商资质条件、能力和信誉”要求。</w:t>
      </w:r>
    </w:p>
    <w:p>
      <w:pPr>
        <w:keepNext/>
        <w:keepLines/>
        <w:spacing w:line="540" w:lineRule="exact"/>
        <w:outlineLvl w:val="3"/>
        <w:rPr>
          <w:rFonts w:hint="eastAsia" w:ascii="宋体" w:hAnsi="宋体" w:eastAsia="宋体" w:cs="宋体"/>
          <w:b/>
          <w:szCs w:val="21"/>
          <w:highlight w:val="none"/>
        </w:rPr>
      </w:pPr>
      <w:r>
        <w:rPr>
          <w:rFonts w:hint="eastAsia" w:ascii="宋体" w:hAnsi="宋体" w:eastAsia="宋体" w:cs="宋体"/>
          <w:b/>
          <w:szCs w:val="21"/>
          <w:highlight w:val="none"/>
        </w:rPr>
        <w:t>6.2评标委员会</w:t>
      </w:r>
      <w:bookmarkEnd w:id="71"/>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6.2.1 评标由采购人依法组建的评标委员会负责。评标委员会由采购人</w:t>
      </w:r>
      <w:r>
        <w:rPr>
          <w:rFonts w:hint="eastAsia" w:ascii="宋体" w:hAnsi="宋体" w:eastAsia="宋体" w:cs="宋体"/>
          <w:szCs w:val="16"/>
          <w:highlight w:val="none"/>
          <w:lang w:val="en-US" w:eastAsia="zh-CN"/>
        </w:rPr>
        <w:t>评标代表</w:t>
      </w:r>
      <w:r>
        <w:rPr>
          <w:rFonts w:hint="eastAsia" w:ascii="宋体" w:hAnsi="宋体" w:eastAsia="宋体" w:cs="宋体"/>
          <w:szCs w:val="16"/>
          <w:highlight w:val="none"/>
        </w:rPr>
        <w:t>，以及有关技术、经济等方面的专家组成。评标委员会成员人数以及技术、经济等方面专家的确定方式见投标人须知前附表。</w:t>
      </w:r>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6.2.2  据《政府采购评审专家管理办法》第十六条规定，评审专家与参加采购活动的供应商有下列情形之一的，应当回避：</w:t>
      </w:r>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（1）参加政府采购活动前三年内，与供应商存在劳动关系，或者担任过供应商的董事、监事，或者是供应商的控股股东或实际控制人；</w:t>
      </w:r>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（2）与供应商的法定代表人或者负责人有夫妻、直系血亲、三代以内旁系血亲或者近姻亲关系；</w:t>
      </w:r>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（3）与供应商有其他可能影响政府采购活动公平、公正进行的关系。</w:t>
      </w:r>
    </w:p>
    <w:p>
      <w:pPr>
        <w:keepNext/>
        <w:keepLines/>
        <w:spacing w:line="540" w:lineRule="exact"/>
        <w:outlineLvl w:val="3"/>
        <w:rPr>
          <w:rFonts w:hint="eastAsia" w:ascii="宋体" w:hAnsi="宋体" w:eastAsia="宋体" w:cs="宋体"/>
          <w:b/>
          <w:szCs w:val="21"/>
          <w:highlight w:val="none"/>
        </w:rPr>
      </w:pPr>
      <w:bookmarkStart w:id="72" w:name="_Toc17348"/>
      <w:r>
        <w:rPr>
          <w:rFonts w:hint="eastAsia" w:ascii="宋体" w:hAnsi="宋体" w:eastAsia="宋体" w:cs="宋体"/>
          <w:b/>
          <w:szCs w:val="21"/>
          <w:highlight w:val="none"/>
        </w:rPr>
        <w:t>6.3 评标原则</w:t>
      </w:r>
      <w:bookmarkEnd w:id="72"/>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6.3.1公平、公正、科学和择优；</w:t>
      </w:r>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6.3.2质量好、信誉高、价格合理、使用寿命长、技术先进可行；</w:t>
      </w:r>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6.3.3评标时，投标报价是评标的重要依据。</w:t>
      </w:r>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6.3.4</w:t>
      </w:r>
      <w:r>
        <w:rPr>
          <w:rFonts w:hint="eastAsia" w:ascii="宋体" w:hAnsi="宋体" w:eastAsia="宋体" w:cs="宋体"/>
          <w:bCs/>
          <w:szCs w:val="21"/>
          <w:highlight w:val="none"/>
        </w:rPr>
        <w:t>本次评标采用的评标方法：详见投标人须知前附表</w:t>
      </w:r>
    </w:p>
    <w:p>
      <w:pPr>
        <w:keepNext/>
        <w:keepLines/>
        <w:spacing w:line="540" w:lineRule="exact"/>
        <w:outlineLvl w:val="3"/>
        <w:rPr>
          <w:rFonts w:hint="eastAsia" w:ascii="宋体" w:hAnsi="宋体" w:eastAsia="宋体" w:cs="宋体"/>
          <w:b/>
          <w:szCs w:val="21"/>
          <w:highlight w:val="none"/>
        </w:rPr>
      </w:pPr>
      <w:bookmarkStart w:id="73" w:name="_Toc3492"/>
      <w:r>
        <w:rPr>
          <w:rFonts w:hint="eastAsia" w:ascii="宋体" w:hAnsi="宋体" w:eastAsia="宋体" w:cs="宋体"/>
          <w:b/>
          <w:szCs w:val="21"/>
          <w:highlight w:val="none"/>
        </w:rPr>
        <w:t>6.4 评标</w:t>
      </w:r>
      <w:bookmarkEnd w:id="73"/>
    </w:p>
    <w:p>
      <w:pPr>
        <w:spacing w:line="540" w:lineRule="exact"/>
        <w:ind w:firstLine="424" w:firstLineChars="200"/>
        <w:rPr>
          <w:rFonts w:hint="eastAsia" w:ascii="宋体" w:hAnsi="宋体" w:eastAsia="宋体" w:cs="宋体"/>
          <w:szCs w:val="21"/>
          <w:highlight w:val="none"/>
        </w:rPr>
      </w:pPr>
      <w:r>
        <w:rPr>
          <w:rFonts w:hint="eastAsia" w:ascii="宋体" w:hAnsi="宋体" w:eastAsia="宋体" w:cs="宋体"/>
          <w:szCs w:val="21"/>
          <w:highlight w:val="none"/>
        </w:rPr>
        <w:t>评标委员会按照第五章“评标办法”规定的方法、评审因素、标准和程序对投标文件进行评审。第五章“评标办法”没有规定的方法、评审因素和标准，不作为评标依据。</w:t>
      </w:r>
    </w:p>
    <w:p>
      <w:pPr>
        <w:pStyle w:val="3"/>
        <w:jc w:val="left"/>
        <w:rPr>
          <w:rFonts w:hint="eastAsia" w:ascii="宋体" w:hAnsi="宋体" w:eastAsia="宋体" w:cs="宋体"/>
          <w:sz w:val="24"/>
          <w:szCs w:val="16"/>
          <w:highlight w:val="none"/>
        </w:rPr>
      </w:pPr>
      <w:bookmarkStart w:id="74" w:name="_Toc2983"/>
      <w:bookmarkStart w:id="75" w:name="_Toc184635077"/>
      <w:bookmarkStart w:id="76" w:name="_Toc345178453"/>
      <w:bookmarkStart w:id="77" w:name="_Toc11845"/>
      <w:r>
        <w:rPr>
          <w:rFonts w:hint="eastAsia" w:ascii="宋体" w:hAnsi="宋体" w:eastAsia="宋体" w:cs="宋体"/>
          <w:sz w:val="24"/>
          <w:szCs w:val="16"/>
          <w:highlight w:val="none"/>
        </w:rPr>
        <w:t>7.合同授予</w:t>
      </w:r>
      <w:bookmarkEnd w:id="74"/>
      <w:bookmarkEnd w:id="75"/>
      <w:bookmarkEnd w:id="76"/>
      <w:bookmarkEnd w:id="77"/>
    </w:p>
    <w:p>
      <w:pPr>
        <w:keepNext/>
        <w:keepLines/>
        <w:spacing w:line="540" w:lineRule="exact"/>
        <w:outlineLvl w:val="3"/>
        <w:rPr>
          <w:rFonts w:hint="eastAsia" w:ascii="宋体" w:hAnsi="宋体" w:eastAsia="宋体" w:cs="宋体"/>
          <w:b/>
          <w:szCs w:val="21"/>
          <w:highlight w:val="none"/>
        </w:rPr>
      </w:pPr>
      <w:bookmarkStart w:id="78" w:name="_Toc26471"/>
      <w:r>
        <w:rPr>
          <w:rFonts w:hint="eastAsia" w:ascii="宋体" w:hAnsi="宋体" w:eastAsia="宋体" w:cs="宋体"/>
          <w:b/>
          <w:szCs w:val="21"/>
          <w:highlight w:val="none"/>
        </w:rPr>
        <w:t>7.1 定标方式</w:t>
      </w:r>
      <w:bookmarkEnd w:id="78"/>
    </w:p>
    <w:p>
      <w:pPr>
        <w:spacing w:line="500" w:lineRule="exact"/>
        <w:ind w:firstLine="424" w:firstLineChars="200"/>
        <w:rPr>
          <w:rFonts w:hint="eastAsia" w:ascii="宋体" w:hAnsi="宋体" w:eastAsia="宋体" w:cs="宋体"/>
          <w:kern w:val="0"/>
          <w:szCs w:val="16"/>
          <w:highlight w:val="none"/>
        </w:rPr>
      </w:pPr>
      <w:r>
        <w:rPr>
          <w:rFonts w:hint="eastAsia" w:ascii="宋体" w:hAnsi="宋体" w:eastAsia="宋体" w:cs="宋体"/>
          <w:kern w:val="0"/>
          <w:szCs w:val="16"/>
          <w:highlight w:val="none"/>
        </w:rPr>
        <w:t>除投标人须知前附表规定评标委员会直接确定中标供应商外，采购人依据评标委员会推荐的中标候选人确定中标供应商，采购人原则上按评标委员会依法推荐的中标候选人名次顺序确定中标供应商，若第一名中标候选人不再响应招标文件或确有重大实质性问题，可以按顺序确定排名第二名的中标候选人为中标供应商，依次类推。评标委员会推荐中标候选人的人数见投标人须知前附表。</w:t>
      </w:r>
    </w:p>
    <w:p>
      <w:pPr>
        <w:keepNext/>
        <w:keepLines/>
        <w:spacing w:line="540" w:lineRule="exact"/>
        <w:outlineLvl w:val="3"/>
        <w:rPr>
          <w:rFonts w:hint="eastAsia" w:ascii="宋体" w:hAnsi="宋体" w:eastAsia="宋体" w:cs="宋体"/>
          <w:b/>
          <w:szCs w:val="21"/>
          <w:highlight w:val="none"/>
        </w:rPr>
      </w:pPr>
      <w:bookmarkStart w:id="79" w:name="_Toc22718"/>
      <w:r>
        <w:rPr>
          <w:rFonts w:hint="eastAsia" w:ascii="宋体" w:hAnsi="宋体" w:eastAsia="宋体" w:cs="宋体"/>
          <w:b/>
          <w:szCs w:val="21"/>
          <w:highlight w:val="none"/>
        </w:rPr>
        <w:t>7.2 中标通知</w:t>
      </w:r>
      <w:bookmarkEnd w:id="79"/>
    </w:p>
    <w:p>
      <w:pPr>
        <w:spacing w:line="500" w:lineRule="exact"/>
        <w:ind w:firstLine="424" w:firstLineChars="200"/>
        <w:rPr>
          <w:rFonts w:hint="eastAsia" w:ascii="宋体" w:hAnsi="宋体" w:eastAsia="宋体" w:cs="宋体"/>
          <w:kern w:val="0"/>
          <w:szCs w:val="16"/>
          <w:highlight w:val="none"/>
        </w:rPr>
      </w:pPr>
      <w:bookmarkStart w:id="80" w:name="_Toc15022"/>
      <w:bookmarkStart w:id="81" w:name="_Toc357522223"/>
      <w:r>
        <w:rPr>
          <w:rFonts w:hint="eastAsia" w:ascii="宋体" w:hAnsi="宋体" w:eastAsia="宋体" w:cs="宋体"/>
          <w:kern w:val="0"/>
          <w:szCs w:val="16"/>
          <w:highlight w:val="none"/>
        </w:rPr>
        <w:t>在本章第3.3款规定的投标有效期内，采购人向中标供应商发出中标通知书，同时将中标结果通知未中标的投标供应商。</w:t>
      </w:r>
    </w:p>
    <w:bookmarkEnd w:id="80"/>
    <w:bookmarkEnd w:id="81"/>
    <w:p>
      <w:pPr>
        <w:keepNext/>
        <w:keepLines/>
        <w:spacing w:line="540" w:lineRule="exact"/>
        <w:outlineLvl w:val="3"/>
        <w:rPr>
          <w:rFonts w:hint="eastAsia" w:ascii="宋体" w:hAnsi="宋体" w:eastAsia="宋体" w:cs="宋体"/>
          <w:b/>
          <w:szCs w:val="21"/>
          <w:highlight w:val="none"/>
        </w:rPr>
      </w:pPr>
      <w:bookmarkStart w:id="82" w:name="_Toc5133"/>
      <w:r>
        <w:rPr>
          <w:rFonts w:hint="eastAsia" w:ascii="宋体" w:hAnsi="宋体" w:eastAsia="宋体" w:cs="宋体"/>
          <w:b/>
          <w:szCs w:val="21"/>
          <w:highlight w:val="none"/>
        </w:rPr>
        <w:t>7.4 签订合同</w:t>
      </w:r>
      <w:bookmarkEnd w:id="82"/>
    </w:p>
    <w:p>
      <w:pPr>
        <w:spacing w:line="500" w:lineRule="exact"/>
        <w:ind w:firstLine="424" w:firstLineChars="200"/>
        <w:rPr>
          <w:rFonts w:hint="eastAsia" w:ascii="宋体" w:hAnsi="宋体" w:eastAsia="宋体" w:cs="宋体"/>
          <w:kern w:val="0"/>
          <w:szCs w:val="21"/>
          <w:highlight w:val="none"/>
        </w:rPr>
      </w:pPr>
      <w:bookmarkStart w:id="83" w:name="_Toc281837633"/>
      <w:bookmarkStart w:id="84" w:name="_Toc323212714"/>
      <w:bookmarkStart w:id="85" w:name="_Toc345178454"/>
      <w:bookmarkStart w:id="86" w:name="_Toc214173888"/>
      <w:bookmarkStart w:id="87" w:name="_Toc184635080"/>
      <w:r>
        <w:rPr>
          <w:rFonts w:hint="eastAsia" w:ascii="宋体" w:hAnsi="宋体" w:eastAsia="宋体" w:cs="宋体"/>
          <w:kern w:val="0"/>
          <w:szCs w:val="16"/>
          <w:highlight w:val="none"/>
        </w:rPr>
        <w:t>7.4.1采购人应在中标通知书发</w:t>
      </w:r>
      <w:r>
        <w:rPr>
          <w:rFonts w:hint="eastAsia" w:ascii="宋体" w:hAnsi="宋体" w:eastAsia="宋体" w:cs="宋体"/>
          <w:kern w:val="0"/>
          <w:szCs w:val="16"/>
          <w:highlight w:val="none"/>
          <w:lang w:val="en-US" w:eastAsia="zh-CN"/>
        </w:rPr>
        <w:t>出</w:t>
      </w:r>
      <w:r>
        <w:rPr>
          <w:rFonts w:hint="eastAsia" w:ascii="宋体" w:hAnsi="宋体" w:eastAsia="宋体" w:cs="宋体"/>
          <w:kern w:val="0"/>
          <w:szCs w:val="16"/>
          <w:highlight w:val="none"/>
          <w:u w:val="none"/>
          <w:lang w:val="en-US" w:eastAsia="zh-CN"/>
        </w:rPr>
        <w:t>30</w:t>
      </w:r>
      <w:r>
        <w:rPr>
          <w:rFonts w:hint="eastAsia" w:ascii="宋体" w:hAnsi="宋体" w:eastAsia="宋体" w:cs="宋体"/>
          <w:kern w:val="0"/>
          <w:szCs w:val="16"/>
          <w:highlight w:val="none"/>
        </w:rPr>
        <w:t>日内与中标供应商签订政府采购合同</w:t>
      </w:r>
      <w:r>
        <w:rPr>
          <w:rFonts w:hint="eastAsia" w:ascii="宋体" w:hAnsi="宋体" w:eastAsia="宋体" w:cs="宋体"/>
          <w:kern w:val="0"/>
          <w:szCs w:val="21"/>
          <w:highlight w:val="none"/>
        </w:rPr>
        <w:t>。</w:t>
      </w:r>
    </w:p>
    <w:p>
      <w:pPr>
        <w:spacing w:line="500" w:lineRule="exact"/>
        <w:ind w:firstLine="424" w:firstLineChars="200"/>
        <w:rPr>
          <w:rFonts w:hint="eastAsia" w:ascii="宋体" w:hAnsi="宋体" w:eastAsia="宋体" w:cs="宋体"/>
          <w:kern w:val="0"/>
          <w:szCs w:val="16"/>
          <w:highlight w:val="none"/>
        </w:rPr>
      </w:pPr>
      <w:r>
        <w:rPr>
          <w:rFonts w:hint="eastAsia" w:ascii="宋体" w:hAnsi="宋体" w:eastAsia="宋体" w:cs="宋体"/>
          <w:kern w:val="0"/>
          <w:szCs w:val="16"/>
          <w:highlight w:val="none"/>
        </w:rPr>
        <w:t>7.4.2 中标供应商无正当理由拒签合同的，采购人取消其中标资格；给采购人造成的损失，中标供应商应当予以赔偿</w:t>
      </w:r>
      <w:r>
        <w:rPr>
          <w:rFonts w:hint="eastAsia" w:ascii="宋体" w:hAnsi="宋体" w:eastAsia="宋体" w:cs="宋体"/>
          <w:kern w:val="0"/>
          <w:szCs w:val="16"/>
          <w:highlight w:val="none"/>
          <w:lang w:val="en-US" w:eastAsia="zh-CN"/>
        </w:rPr>
        <w:t>损失</w:t>
      </w:r>
      <w:r>
        <w:rPr>
          <w:rFonts w:hint="eastAsia" w:ascii="宋体" w:hAnsi="宋体" w:eastAsia="宋体" w:cs="宋体"/>
          <w:kern w:val="0"/>
          <w:szCs w:val="16"/>
          <w:highlight w:val="none"/>
        </w:rPr>
        <w:t>。</w:t>
      </w:r>
    </w:p>
    <w:p>
      <w:pPr>
        <w:spacing w:line="500" w:lineRule="exact"/>
        <w:ind w:firstLine="424" w:firstLineChars="200"/>
        <w:rPr>
          <w:rFonts w:hint="eastAsia" w:ascii="宋体" w:hAnsi="宋体" w:eastAsia="宋体" w:cs="宋体"/>
          <w:kern w:val="0"/>
          <w:szCs w:val="16"/>
          <w:highlight w:val="none"/>
        </w:rPr>
      </w:pPr>
      <w:r>
        <w:rPr>
          <w:rFonts w:hint="eastAsia" w:ascii="宋体" w:hAnsi="宋体" w:eastAsia="宋体" w:cs="宋体"/>
          <w:kern w:val="0"/>
          <w:szCs w:val="16"/>
          <w:highlight w:val="none"/>
        </w:rPr>
        <w:t>7.4.3 发出中标通知书后，采购人无正当理由拒签合同的，给中标供应商造成损失的，应当赔偿损失。</w:t>
      </w:r>
    </w:p>
    <w:p>
      <w:pPr>
        <w:pStyle w:val="3"/>
        <w:jc w:val="left"/>
        <w:rPr>
          <w:rFonts w:hint="eastAsia" w:ascii="宋体" w:hAnsi="宋体" w:eastAsia="宋体" w:cs="宋体"/>
          <w:sz w:val="24"/>
          <w:szCs w:val="16"/>
          <w:highlight w:val="none"/>
        </w:rPr>
      </w:pPr>
      <w:bookmarkStart w:id="88" w:name="_Toc27298"/>
      <w:bookmarkStart w:id="89" w:name="_Toc27801"/>
      <w:r>
        <w:rPr>
          <w:rFonts w:hint="eastAsia" w:ascii="宋体" w:hAnsi="宋体" w:eastAsia="宋体" w:cs="宋体"/>
          <w:sz w:val="24"/>
          <w:szCs w:val="16"/>
          <w:highlight w:val="none"/>
        </w:rPr>
        <w:t>8.</w:t>
      </w:r>
      <w:bookmarkEnd w:id="83"/>
      <w:bookmarkEnd w:id="84"/>
      <w:bookmarkEnd w:id="85"/>
      <w:bookmarkEnd w:id="86"/>
      <w:bookmarkEnd w:id="88"/>
      <w:r>
        <w:rPr>
          <w:rFonts w:hint="eastAsia" w:ascii="宋体" w:hAnsi="宋体" w:eastAsia="宋体" w:cs="宋体"/>
          <w:sz w:val="24"/>
          <w:szCs w:val="16"/>
          <w:highlight w:val="none"/>
        </w:rPr>
        <w:t>废标和重新招标</w:t>
      </w:r>
      <w:bookmarkEnd w:id="89"/>
    </w:p>
    <w:p>
      <w:pPr>
        <w:keepNext/>
        <w:keepLines/>
        <w:spacing w:line="360" w:lineRule="auto"/>
        <w:outlineLvl w:val="3"/>
        <w:rPr>
          <w:rFonts w:hint="eastAsia" w:ascii="宋体" w:hAnsi="宋体" w:eastAsia="宋体" w:cs="宋体"/>
          <w:b/>
          <w:szCs w:val="16"/>
          <w:highlight w:val="none"/>
        </w:rPr>
      </w:pPr>
      <w:bookmarkStart w:id="90" w:name="_Toc281837634"/>
      <w:bookmarkStart w:id="91" w:name="_Toc323212715"/>
      <w:bookmarkStart w:id="92" w:name="_Toc24071"/>
      <w:r>
        <w:rPr>
          <w:rFonts w:hint="eastAsia" w:ascii="宋体" w:hAnsi="宋体" w:eastAsia="宋体" w:cs="宋体"/>
          <w:b/>
          <w:szCs w:val="21"/>
          <w:highlight w:val="none"/>
        </w:rPr>
        <w:t xml:space="preserve">8.1  </w:t>
      </w:r>
      <w:bookmarkEnd w:id="90"/>
      <w:bookmarkEnd w:id="91"/>
      <w:bookmarkEnd w:id="92"/>
      <w:bookmarkStart w:id="93" w:name="_Toc214173889"/>
      <w:bookmarkStart w:id="94" w:name="_Toc323212717"/>
      <w:bookmarkStart w:id="95" w:name="_Toc281837636"/>
      <w:bookmarkStart w:id="96" w:name="_Toc345178455"/>
      <w:r>
        <w:rPr>
          <w:rFonts w:hint="eastAsia" w:ascii="宋体" w:hAnsi="宋体" w:eastAsia="宋体" w:cs="宋体"/>
          <w:b/>
          <w:szCs w:val="16"/>
          <w:highlight w:val="none"/>
        </w:rPr>
        <w:t xml:space="preserve">有出现下列情形之一，将导致项目废标： </w:t>
      </w:r>
    </w:p>
    <w:p>
      <w:pPr>
        <w:spacing w:line="360" w:lineRule="auto"/>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（1）符合专业条件的投标供应商或者对招标文件做实质性响应的投标供应商不足三家；</w:t>
      </w:r>
    </w:p>
    <w:p>
      <w:pPr>
        <w:spacing w:line="360" w:lineRule="auto"/>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（2）出现影响采购公正的违法、违规行为的；</w:t>
      </w:r>
    </w:p>
    <w:p>
      <w:pPr>
        <w:spacing w:line="360" w:lineRule="auto"/>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（3）投标供应商的报价均超过了采购预算，采购人不能支付的；</w:t>
      </w:r>
    </w:p>
    <w:p>
      <w:pPr>
        <w:spacing w:line="400" w:lineRule="exact"/>
        <w:ind w:firstLine="424" w:firstLineChars="200"/>
        <w:rPr>
          <w:rFonts w:hint="eastAsia" w:ascii="宋体" w:hAnsi="宋体" w:eastAsia="宋体" w:cs="宋体"/>
          <w:szCs w:val="16"/>
          <w:highlight w:val="none"/>
          <w:lang w:eastAsia="zh-CN"/>
        </w:rPr>
      </w:pPr>
      <w:r>
        <w:rPr>
          <w:rFonts w:hint="eastAsia" w:ascii="宋体" w:hAnsi="宋体" w:eastAsia="宋体" w:cs="宋体"/>
          <w:szCs w:val="16"/>
          <w:highlight w:val="none"/>
        </w:rPr>
        <w:t>（4）因重大变故，采购任务取消的</w:t>
      </w:r>
      <w:r>
        <w:rPr>
          <w:rFonts w:hint="eastAsia" w:ascii="宋体" w:hAnsi="宋体" w:eastAsia="宋体" w:cs="宋体"/>
          <w:szCs w:val="16"/>
          <w:highlight w:val="none"/>
          <w:lang w:eastAsia="zh-CN"/>
        </w:rPr>
        <w:t>；</w:t>
      </w:r>
    </w:p>
    <w:p>
      <w:pPr>
        <w:spacing w:line="400" w:lineRule="exact"/>
        <w:ind w:firstLine="424" w:firstLineChars="200"/>
        <w:rPr>
          <w:rFonts w:hint="eastAsia" w:ascii="宋体" w:hAnsi="宋体" w:eastAsia="宋体" w:cs="宋体"/>
          <w:szCs w:val="16"/>
          <w:highlight w:val="none"/>
          <w:lang w:eastAsia="zh-CN"/>
        </w:rPr>
      </w:pPr>
      <w:r>
        <w:rPr>
          <w:rFonts w:hint="eastAsia" w:ascii="宋体" w:hAnsi="宋体" w:eastAsia="宋体" w:cs="宋体"/>
          <w:szCs w:val="16"/>
          <w:highlight w:val="none"/>
          <w:lang w:eastAsia="zh-CN"/>
        </w:rPr>
        <w:t>（</w:t>
      </w:r>
      <w:r>
        <w:rPr>
          <w:rFonts w:hint="eastAsia" w:ascii="宋体" w:hAnsi="宋体" w:eastAsia="宋体" w:cs="宋体"/>
          <w:szCs w:val="16"/>
          <w:highlight w:val="none"/>
          <w:lang w:val="en-US" w:eastAsia="zh-CN"/>
        </w:rPr>
        <w:t>5</w:t>
      </w:r>
      <w:r>
        <w:rPr>
          <w:rFonts w:hint="eastAsia" w:ascii="宋体" w:hAnsi="宋体" w:eastAsia="宋体" w:cs="宋体"/>
          <w:szCs w:val="16"/>
          <w:highlight w:val="none"/>
          <w:lang w:eastAsia="zh-CN"/>
        </w:rPr>
        <w:t>）其他依法可以重新招标的情形。</w:t>
      </w:r>
    </w:p>
    <w:p>
      <w:pPr>
        <w:keepNext/>
        <w:keepLines/>
        <w:spacing w:line="360" w:lineRule="auto"/>
        <w:outlineLvl w:val="3"/>
        <w:rPr>
          <w:rFonts w:hint="eastAsia" w:ascii="宋体" w:hAnsi="宋体" w:eastAsia="宋体" w:cs="宋体"/>
          <w:b/>
          <w:szCs w:val="16"/>
          <w:highlight w:val="none"/>
        </w:rPr>
      </w:pPr>
      <w:r>
        <w:rPr>
          <w:rFonts w:hint="eastAsia" w:ascii="宋体" w:hAnsi="宋体" w:eastAsia="宋体" w:cs="宋体"/>
          <w:b/>
          <w:szCs w:val="21"/>
          <w:highlight w:val="none"/>
        </w:rPr>
        <w:t xml:space="preserve">8.2  </w:t>
      </w:r>
      <w:r>
        <w:rPr>
          <w:rFonts w:hint="eastAsia" w:ascii="宋体" w:hAnsi="宋体" w:eastAsia="宋体" w:cs="宋体"/>
          <w:b/>
          <w:szCs w:val="16"/>
          <w:highlight w:val="none"/>
        </w:rPr>
        <w:t xml:space="preserve">重新招标 </w:t>
      </w:r>
    </w:p>
    <w:p>
      <w:pPr>
        <w:spacing w:line="400" w:lineRule="exact"/>
        <w:ind w:firstLine="424" w:firstLineChars="200"/>
        <w:rPr>
          <w:rFonts w:hint="eastAsia" w:ascii="宋体" w:hAnsi="宋体" w:eastAsia="宋体" w:cs="宋体"/>
          <w:sz w:val="24"/>
          <w:highlight w:val="none"/>
        </w:rPr>
      </w:pPr>
      <w:r>
        <w:rPr>
          <w:rFonts w:hint="eastAsia" w:ascii="宋体" w:hAnsi="宋体" w:eastAsia="宋体" w:cs="宋体"/>
          <w:szCs w:val="16"/>
          <w:highlight w:val="none"/>
        </w:rPr>
        <w:t>废标后，除采购任务取消情形外，应当重新组织招标。</w:t>
      </w:r>
    </w:p>
    <w:p>
      <w:pPr>
        <w:pStyle w:val="3"/>
        <w:jc w:val="left"/>
        <w:rPr>
          <w:rFonts w:hint="eastAsia" w:ascii="宋体" w:hAnsi="宋体" w:eastAsia="宋体" w:cs="宋体"/>
          <w:sz w:val="24"/>
          <w:szCs w:val="16"/>
          <w:highlight w:val="none"/>
        </w:rPr>
      </w:pPr>
      <w:bookmarkStart w:id="97" w:name="_Toc25623"/>
      <w:bookmarkStart w:id="98" w:name="_Toc22178"/>
      <w:r>
        <w:rPr>
          <w:rFonts w:hint="eastAsia" w:ascii="宋体" w:hAnsi="宋体" w:eastAsia="宋体" w:cs="宋体"/>
          <w:sz w:val="24"/>
          <w:szCs w:val="16"/>
          <w:highlight w:val="none"/>
        </w:rPr>
        <w:t>9.纪律和监督</w:t>
      </w:r>
      <w:bookmarkEnd w:id="93"/>
      <w:bookmarkEnd w:id="94"/>
      <w:bookmarkEnd w:id="95"/>
      <w:bookmarkEnd w:id="96"/>
      <w:bookmarkEnd w:id="97"/>
      <w:bookmarkEnd w:id="98"/>
    </w:p>
    <w:p>
      <w:pPr>
        <w:spacing w:line="500" w:lineRule="exact"/>
        <w:ind w:firstLine="424" w:firstLineChars="200"/>
        <w:rPr>
          <w:rFonts w:hint="eastAsia" w:ascii="宋体" w:hAnsi="宋体" w:eastAsia="宋体" w:cs="宋体"/>
          <w:b/>
          <w:szCs w:val="21"/>
          <w:highlight w:val="none"/>
        </w:rPr>
      </w:pPr>
      <w:bookmarkStart w:id="99" w:name="_Toc281837639"/>
      <w:bookmarkStart w:id="100" w:name="_Toc323212720"/>
      <w:r>
        <w:rPr>
          <w:rFonts w:hint="eastAsia" w:ascii="宋体" w:hAnsi="宋体" w:eastAsia="宋体" w:cs="宋体"/>
          <w:b/>
          <w:szCs w:val="21"/>
          <w:highlight w:val="none"/>
        </w:rPr>
        <w:t>9.1 对采购人的纪律要求</w:t>
      </w:r>
    </w:p>
    <w:p>
      <w:pPr>
        <w:spacing w:line="500" w:lineRule="exact"/>
        <w:ind w:firstLine="424"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根据《中华人民共和国政府采购法》第二十五条规定：采购人不得相互串通损害国家利益、社会公共利益和其他当事人的合法权益；不得以任何手段排斥其他供应商参与竞争。</w:t>
      </w:r>
    </w:p>
    <w:p>
      <w:pPr>
        <w:spacing w:line="500" w:lineRule="exact"/>
        <w:ind w:firstLine="424"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根据《中华人民共和国政府采购法实施条例》第九条规定：在政府采购活动中，采购人与供应商有下列利害关系之一的，应当回避：</w:t>
      </w:r>
    </w:p>
    <w:p>
      <w:pPr>
        <w:spacing w:line="500" w:lineRule="exact"/>
        <w:ind w:firstLine="424"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（一）参加采购活动前 3 年内与供应商存在劳动关系；</w:t>
      </w:r>
    </w:p>
    <w:p>
      <w:pPr>
        <w:spacing w:line="500" w:lineRule="exact"/>
        <w:ind w:firstLine="424"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（二）参加采购活动前 3 年内担任供应商的董事、监事；</w:t>
      </w:r>
    </w:p>
    <w:p>
      <w:pPr>
        <w:spacing w:line="500" w:lineRule="exact"/>
        <w:ind w:firstLine="424"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（三）参加采购活动前 3 年内是供应商的控股股东或者实际控制人；</w:t>
      </w:r>
    </w:p>
    <w:p>
      <w:pPr>
        <w:spacing w:line="500" w:lineRule="exact"/>
        <w:ind w:firstLine="424"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（四）与供应商的法定代表人或者负责人有夫妻、直系血亲、三代以内旁系血亲或者近姻亲关系；</w:t>
      </w:r>
    </w:p>
    <w:p>
      <w:pPr>
        <w:spacing w:line="500" w:lineRule="exact"/>
        <w:ind w:firstLine="424"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（五）与供应商有其他可能影响政府采购活动公平、公正进行的关系。</w:t>
      </w:r>
    </w:p>
    <w:p>
      <w:pPr>
        <w:spacing w:line="500" w:lineRule="exact"/>
        <w:ind w:firstLine="424" w:firstLineChars="200"/>
        <w:rPr>
          <w:rFonts w:hint="eastAsia" w:ascii="宋体" w:hAnsi="宋体" w:eastAsia="宋体" w:cs="宋体"/>
          <w:b/>
          <w:szCs w:val="21"/>
          <w:highlight w:val="none"/>
        </w:rPr>
      </w:pPr>
      <w:r>
        <w:rPr>
          <w:rFonts w:hint="eastAsia" w:ascii="宋体" w:hAnsi="宋体" w:eastAsia="宋体" w:cs="宋体"/>
          <w:b/>
          <w:szCs w:val="21"/>
          <w:highlight w:val="none"/>
        </w:rPr>
        <w:t>9.2 对投标供应商的纪律要求</w:t>
      </w:r>
    </w:p>
    <w:p>
      <w:pPr>
        <w:spacing w:line="500" w:lineRule="exact"/>
        <w:ind w:firstLine="424"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根据《政府采购货物和服务招标投标管理办法》第三十六条规定：投标人应当遵循公平竞争的原则，不得恶意串通，不得妨碍其他投标人的竞争行为，不得损害采购人或者其他投标人的合法权益。</w:t>
      </w:r>
    </w:p>
    <w:p>
      <w:pPr>
        <w:spacing w:line="500" w:lineRule="exact"/>
        <w:ind w:firstLine="424"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9.2.1 根据《中华人民共和国政府采购法实施条例》第七十四条规定有下列情形之一的，属于恶意串通：</w:t>
      </w:r>
    </w:p>
    <w:p>
      <w:pPr>
        <w:spacing w:line="500" w:lineRule="exact"/>
        <w:ind w:firstLine="424"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（1）供应商直接或者间接从采购人或者</w:t>
      </w:r>
      <w:r>
        <w:rPr>
          <w:rFonts w:hint="eastAsia" w:ascii="宋体" w:hAnsi="宋体" w:eastAsia="宋体" w:cs="宋体"/>
          <w:b w:val="0"/>
          <w:bCs/>
          <w:szCs w:val="21"/>
          <w:highlight w:val="none"/>
          <w:lang w:eastAsia="zh-CN"/>
        </w:rPr>
        <w:t>采购代理机构</w:t>
      </w:r>
      <w:r>
        <w:rPr>
          <w:rFonts w:hint="eastAsia" w:ascii="宋体" w:hAnsi="宋体" w:eastAsia="宋体" w:cs="宋体"/>
          <w:b w:val="0"/>
          <w:bCs/>
          <w:szCs w:val="21"/>
          <w:highlight w:val="none"/>
        </w:rPr>
        <w:t>处获得其他供应商的相关情况并修改其投标文件或者响应文件；</w:t>
      </w:r>
    </w:p>
    <w:p>
      <w:pPr>
        <w:spacing w:line="500" w:lineRule="exact"/>
        <w:ind w:firstLine="424"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（2）供应商按照采购人或者</w:t>
      </w:r>
      <w:r>
        <w:rPr>
          <w:rFonts w:hint="eastAsia" w:ascii="宋体" w:hAnsi="宋体" w:eastAsia="宋体" w:cs="宋体"/>
          <w:b w:val="0"/>
          <w:bCs/>
          <w:szCs w:val="21"/>
          <w:highlight w:val="none"/>
          <w:lang w:eastAsia="zh-CN"/>
        </w:rPr>
        <w:t>采购代理机构</w:t>
      </w:r>
      <w:r>
        <w:rPr>
          <w:rFonts w:hint="eastAsia" w:ascii="宋体" w:hAnsi="宋体" w:eastAsia="宋体" w:cs="宋体"/>
          <w:b w:val="0"/>
          <w:bCs/>
          <w:szCs w:val="21"/>
          <w:highlight w:val="none"/>
        </w:rPr>
        <w:t>的授意撤换、修改投标文件或者响应文件；</w:t>
      </w:r>
    </w:p>
    <w:p>
      <w:pPr>
        <w:spacing w:line="500" w:lineRule="exact"/>
        <w:ind w:firstLine="424"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（3）供应商之间协商报价、技术方案等投标文件或者响应文件的实质性内容；</w:t>
      </w:r>
    </w:p>
    <w:p>
      <w:pPr>
        <w:spacing w:line="500" w:lineRule="exact"/>
        <w:ind w:firstLine="424"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（4）属于同一集团、协会、商会等组织成员的供应商按照该组织要求协同参加政府采购活动；</w:t>
      </w:r>
    </w:p>
    <w:p>
      <w:pPr>
        <w:spacing w:line="500" w:lineRule="exact"/>
        <w:ind w:firstLine="424"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（5）供应商之间事先约定由某一特定供应商中标、成交；</w:t>
      </w:r>
    </w:p>
    <w:p>
      <w:pPr>
        <w:spacing w:line="500" w:lineRule="exact"/>
        <w:ind w:firstLine="424"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（6）供应商之间商定部分供应商放弃参加政府采购活动或者放弃中标、成交；</w:t>
      </w:r>
    </w:p>
    <w:p>
      <w:pPr>
        <w:spacing w:line="500" w:lineRule="exact"/>
        <w:ind w:firstLine="424"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（7）供应商与采购人或者</w:t>
      </w:r>
      <w:r>
        <w:rPr>
          <w:rFonts w:hint="eastAsia" w:ascii="宋体" w:hAnsi="宋体" w:eastAsia="宋体" w:cs="宋体"/>
          <w:b w:val="0"/>
          <w:bCs/>
          <w:szCs w:val="21"/>
          <w:highlight w:val="none"/>
          <w:lang w:eastAsia="zh-CN"/>
        </w:rPr>
        <w:t>采购代理机构</w:t>
      </w:r>
      <w:r>
        <w:rPr>
          <w:rFonts w:hint="eastAsia" w:ascii="宋体" w:hAnsi="宋体" w:eastAsia="宋体" w:cs="宋体"/>
          <w:b w:val="0"/>
          <w:bCs/>
          <w:szCs w:val="21"/>
          <w:highlight w:val="none"/>
        </w:rPr>
        <w:t>之间、供应商相互之间，为谋求特定供应商中标、成交或者排斥其他供应商的其他串通行为。</w:t>
      </w:r>
    </w:p>
    <w:p>
      <w:pPr>
        <w:spacing w:line="500" w:lineRule="exact"/>
        <w:ind w:firstLine="424"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9.2.2 根据《政府采购货物和服务招标投标管理办法》第三十七条规定：有下列情形之一的，视为投标供应商相互串通投标：</w:t>
      </w:r>
    </w:p>
    <w:p>
      <w:pPr>
        <w:spacing w:line="500" w:lineRule="exact"/>
        <w:ind w:firstLine="424"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（1）不同投标供应商的投标文件由同一单位或者个人编制；</w:t>
      </w:r>
    </w:p>
    <w:p>
      <w:pPr>
        <w:spacing w:line="500" w:lineRule="exact"/>
        <w:ind w:firstLine="424"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（2）不同投标供应商委托同一单位或者个人办理投标事宜；</w:t>
      </w:r>
    </w:p>
    <w:p>
      <w:pPr>
        <w:spacing w:line="500" w:lineRule="exact"/>
        <w:ind w:firstLine="424"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（3）不同投标供应商的投标文件载明的项目管理成员为同一人；</w:t>
      </w:r>
    </w:p>
    <w:p>
      <w:pPr>
        <w:spacing w:line="500" w:lineRule="exact"/>
        <w:ind w:firstLine="424"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（4）不同投标供应商的投标文件异常一致或者投标报价呈规律性差异；</w:t>
      </w:r>
    </w:p>
    <w:p>
      <w:pPr>
        <w:spacing w:line="500" w:lineRule="exact"/>
        <w:ind w:firstLine="424"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（5）不同投标供应商的投标文件相互混装；</w:t>
      </w:r>
    </w:p>
    <w:p>
      <w:pPr>
        <w:spacing w:line="500" w:lineRule="exact"/>
        <w:ind w:firstLine="424" w:firstLineChars="200"/>
        <w:rPr>
          <w:rFonts w:hint="eastAsia" w:ascii="宋体" w:hAnsi="宋体" w:eastAsia="宋体" w:cs="宋体"/>
          <w:b w:val="0"/>
          <w:bCs/>
          <w:szCs w:val="21"/>
          <w:highlight w:val="none"/>
        </w:rPr>
      </w:pPr>
      <w:r>
        <w:rPr>
          <w:rFonts w:hint="eastAsia" w:ascii="宋体" w:hAnsi="宋体" w:eastAsia="宋体" w:cs="宋体"/>
          <w:b w:val="0"/>
          <w:bCs/>
          <w:szCs w:val="21"/>
          <w:highlight w:val="none"/>
        </w:rPr>
        <w:t>（6）不同投标供应商的投标文件制作机器码一致。</w:t>
      </w:r>
    </w:p>
    <w:p>
      <w:pPr>
        <w:spacing w:line="500" w:lineRule="exact"/>
        <w:ind w:firstLine="424" w:firstLineChars="200"/>
        <w:rPr>
          <w:rFonts w:hint="eastAsia" w:ascii="宋体" w:hAnsi="宋体" w:eastAsia="宋体" w:cs="宋体"/>
          <w:b w:val="0"/>
          <w:bCs/>
          <w:szCs w:val="16"/>
          <w:highlight w:val="none"/>
        </w:rPr>
      </w:pPr>
      <w:r>
        <w:rPr>
          <w:rFonts w:hint="eastAsia" w:ascii="宋体" w:hAnsi="宋体" w:eastAsia="宋体" w:cs="宋体"/>
          <w:b w:val="0"/>
          <w:bCs/>
          <w:szCs w:val="21"/>
          <w:highlight w:val="none"/>
        </w:rPr>
        <w:t>9.2.3 投标供应商提供虚假材料谋取中标的，中标无效。并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eastAsia="宋体" w:cs="宋体"/>
          <w:b w:val="0"/>
          <w:bCs/>
          <w:szCs w:val="16"/>
          <w:highlight w:val="none"/>
        </w:rPr>
        <w:t>。</w:t>
      </w:r>
    </w:p>
    <w:p>
      <w:pPr>
        <w:keepNext/>
        <w:keepLines/>
        <w:spacing w:line="540" w:lineRule="exact"/>
        <w:outlineLvl w:val="3"/>
        <w:rPr>
          <w:rFonts w:hint="eastAsia" w:ascii="宋体" w:hAnsi="宋体" w:eastAsia="宋体" w:cs="宋体"/>
          <w:b/>
          <w:szCs w:val="21"/>
          <w:highlight w:val="none"/>
        </w:rPr>
      </w:pPr>
      <w:bookmarkStart w:id="101" w:name="_Toc13930"/>
      <w:r>
        <w:rPr>
          <w:rFonts w:hint="eastAsia" w:ascii="宋体" w:hAnsi="宋体" w:eastAsia="宋体" w:cs="宋体"/>
          <w:b/>
          <w:szCs w:val="21"/>
          <w:highlight w:val="none"/>
        </w:rPr>
        <w:t>9.3 对评标委员会成员的纪律要求</w:t>
      </w:r>
      <w:bookmarkEnd w:id="99"/>
      <w:bookmarkEnd w:id="100"/>
      <w:bookmarkEnd w:id="101"/>
    </w:p>
    <w:p>
      <w:pPr>
        <w:spacing w:line="500" w:lineRule="exact"/>
        <w:ind w:firstLine="424" w:firstLineChars="200"/>
        <w:rPr>
          <w:rFonts w:hint="eastAsia" w:ascii="宋体" w:hAnsi="宋体" w:eastAsia="宋体" w:cs="宋体"/>
          <w:szCs w:val="16"/>
          <w:highlight w:val="none"/>
        </w:rPr>
      </w:pPr>
      <w:bookmarkStart w:id="102" w:name="_Toc281837640"/>
      <w:bookmarkStart w:id="103" w:name="_Toc323212721"/>
      <w:r>
        <w:rPr>
          <w:rFonts w:hint="eastAsia" w:ascii="宋体" w:hAnsi="宋体" w:eastAsia="宋体" w:cs="宋体"/>
          <w:szCs w:val="16"/>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w:t>
      </w:r>
      <w:r>
        <w:rPr>
          <w:rFonts w:hint="eastAsia" w:ascii="宋体" w:hAnsi="宋体" w:eastAsia="宋体" w:cs="宋体"/>
          <w:szCs w:val="21"/>
          <w:highlight w:val="none"/>
        </w:rPr>
        <w:t>五</w:t>
      </w:r>
      <w:r>
        <w:rPr>
          <w:rFonts w:hint="eastAsia" w:ascii="宋体" w:hAnsi="宋体" w:eastAsia="宋体" w:cs="宋体"/>
          <w:szCs w:val="16"/>
          <w:highlight w:val="none"/>
        </w:rPr>
        <w:t>章“评标办法”没有规定的评审因素和标准进行评标。</w:t>
      </w:r>
    </w:p>
    <w:p>
      <w:pPr>
        <w:keepNext/>
        <w:keepLines/>
        <w:spacing w:line="540" w:lineRule="exact"/>
        <w:outlineLvl w:val="3"/>
        <w:rPr>
          <w:rFonts w:hint="eastAsia" w:ascii="宋体" w:hAnsi="宋体" w:eastAsia="宋体" w:cs="宋体"/>
          <w:b/>
          <w:szCs w:val="21"/>
          <w:highlight w:val="none"/>
        </w:rPr>
      </w:pPr>
      <w:bookmarkStart w:id="104" w:name="_Toc31797"/>
      <w:r>
        <w:rPr>
          <w:rFonts w:hint="eastAsia" w:ascii="宋体" w:hAnsi="宋体" w:eastAsia="宋体" w:cs="宋体"/>
          <w:b/>
          <w:szCs w:val="21"/>
          <w:highlight w:val="none"/>
        </w:rPr>
        <w:t>9.4 对与评标活动有关的工作人员的纪律要求</w:t>
      </w:r>
      <w:bookmarkEnd w:id="102"/>
      <w:bookmarkEnd w:id="103"/>
      <w:bookmarkEnd w:id="104"/>
    </w:p>
    <w:p>
      <w:pPr>
        <w:spacing w:line="500" w:lineRule="exact"/>
        <w:ind w:firstLine="424" w:firstLineChars="200"/>
        <w:rPr>
          <w:rFonts w:hint="eastAsia" w:ascii="宋体" w:hAnsi="宋体" w:eastAsia="宋体" w:cs="宋体"/>
          <w:szCs w:val="16"/>
          <w:highlight w:val="none"/>
        </w:rPr>
      </w:pPr>
      <w:bookmarkStart w:id="105" w:name="_Toc323212722"/>
      <w:bookmarkStart w:id="106" w:name="_Toc281837641"/>
      <w:r>
        <w:rPr>
          <w:rFonts w:hint="eastAsia" w:ascii="宋体" w:hAnsi="宋体" w:eastAsia="宋体" w:cs="宋体"/>
          <w:szCs w:val="16"/>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keepLines/>
        <w:spacing w:line="540" w:lineRule="exact"/>
        <w:outlineLvl w:val="3"/>
        <w:rPr>
          <w:rFonts w:hint="eastAsia" w:ascii="宋体" w:hAnsi="宋体" w:eastAsia="宋体" w:cs="宋体"/>
          <w:b/>
          <w:szCs w:val="21"/>
          <w:highlight w:val="none"/>
        </w:rPr>
      </w:pPr>
      <w:bookmarkStart w:id="107" w:name="_Toc23777"/>
      <w:r>
        <w:rPr>
          <w:rFonts w:hint="eastAsia" w:ascii="宋体" w:hAnsi="宋体" w:eastAsia="宋体" w:cs="宋体"/>
          <w:b/>
          <w:szCs w:val="21"/>
          <w:highlight w:val="none"/>
        </w:rPr>
        <w:t>9.5 质疑的提出与接收</w:t>
      </w:r>
      <w:bookmarkEnd w:id="105"/>
      <w:bookmarkEnd w:id="106"/>
      <w:bookmarkEnd w:id="107"/>
    </w:p>
    <w:p>
      <w:pPr>
        <w:spacing w:line="500" w:lineRule="exact"/>
        <w:ind w:firstLine="424" w:firstLineChars="200"/>
        <w:rPr>
          <w:rFonts w:hint="eastAsia" w:ascii="宋体" w:hAnsi="宋体" w:eastAsia="宋体" w:cs="宋体"/>
          <w:szCs w:val="16"/>
          <w:highlight w:val="none"/>
        </w:rPr>
      </w:pPr>
      <w:bookmarkStart w:id="108" w:name="_Toc345178456"/>
      <w:r>
        <w:rPr>
          <w:rFonts w:hint="eastAsia" w:ascii="宋体" w:hAnsi="宋体" w:eastAsia="宋体" w:cs="宋体"/>
          <w:szCs w:val="16"/>
          <w:highlight w:val="none"/>
        </w:rPr>
        <w:t>投标供应商认为招标文件、招标过程和中标结果使自己的权益受到损害的，可以根据《中华人民共和国政府采购法》、《中华人民共和国政府采购法实施条例》和《政府采购质疑和投诉办法》的有关规定，依法向采购人或其委托的</w:t>
      </w:r>
      <w:r>
        <w:rPr>
          <w:rFonts w:hint="eastAsia" w:ascii="宋体" w:hAnsi="宋体" w:eastAsia="宋体" w:cs="宋体"/>
          <w:szCs w:val="16"/>
          <w:highlight w:val="none"/>
          <w:lang w:eastAsia="zh-CN"/>
        </w:rPr>
        <w:t>采购代理机构</w:t>
      </w:r>
      <w:r>
        <w:rPr>
          <w:rFonts w:hint="eastAsia" w:ascii="宋体" w:hAnsi="宋体" w:eastAsia="宋体" w:cs="宋体"/>
          <w:szCs w:val="16"/>
          <w:highlight w:val="none"/>
        </w:rPr>
        <w:t>提出质疑。</w:t>
      </w:r>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质疑投标人应按照财政部制定的《政府采购质疑函范本》格式（可从财政部官方网站下载）和《政府采购质疑和投诉办法》的要求，在法定质疑期内以书面形式一次性提出针对同一采购程序环节的质疑。质疑函的内容及形式应符合《政府采购质疑和投诉办法》第十二条的规定。超出法定质疑期提交的质疑将被拒绝。</w:t>
      </w:r>
    </w:p>
    <w:p>
      <w:pPr>
        <w:keepNext/>
        <w:keepLines/>
        <w:spacing w:line="540" w:lineRule="exact"/>
        <w:outlineLvl w:val="3"/>
        <w:rPr>
          <w:rFonts w:hint="eastAsia" w:ascii="宋体" w:hAnsi="宋体" w:eastAsia="宋体" w:cs="宋体"/>
          <w:b/>
          <w:szCs w:val="21"/>
          <w:highlight w:val="none"/>
        </w:rPr>
      </w:pPr>
      <w:r>
        <w:rPr>
          <w:rFonts w:hint="eastAsia" w:ascii="宋体" w:hAnsi="宋体" w:eastAsia="宋体" w:cs="宋体"/>
          <w:b/>
          <w:szCs w:val="21"/>
          <w:highlight w:val="none"/>
        </w:rPr>
        <w:t>9.6 投诉</w:t>
      </w:r>
    </w:p>
    <w:p>
      <w:pPr>
        <w:spacing w:line="500" w:lineRule="exact"/>
        <w:ind w:firstLine="424" w:firstLineChars="200"/>
        <w:rPr>
          <w:rFonts w:hint="eastAsia" w:ascii="宋体" w:hAnsi="宋体" w:eastAsia="宋体" w:cs="宋体"/>
          <w:szCs w:val="16"/>
          <w:highlight w:val="none"/>
        </w:rPr>
      </w:pPr>
      <w:r>
        <w:rPr>
          <w:rFonts w:hint="eastAsia" w:ascii="宋体" w:hAnsi="宋体" w:eastAsia="宋体" w:cs="宋体"/>
          <w:szCs w:val="16"/>
          <w:highlight w:val="none"/>
        </w:rPr>
        <w:t>质疑供应商对采购人、</w:t>
      </w:r>
      <w:r>
        <w:rPr>
          <w:rFonts w:hint="eastAsia" w:ascii="宋体" w:hAnsi="宋体" w:eastAsia="宋体" w:cs="宋体"/>
          <w:szCs w:val="16"/>
          <w:highlight w:val="none"/>
          <w:lang w:eastAsia="zh-CN"/>
        </w:rPr>
        <w:t>采购代理机构</w:t>
      </w:r>
      <w:r>
        <w:rPr>
          <w:rFonts w:hint="eastAsia" w:ascii="宋体" w:hAnsi="宋体" w:eastAsia="宋体" w:cs="宋体"/>
          <w:szCs w:val="16"/>
          <w:highlight w:val="none"/>
        </w:rPr>
        <w:t>的答复不满意，或者采购人、</w:t>
      </w:r>
      <w:r>
        <w:rPr>
          <w:rFonts w:hint="eastAsia" w:ascii="宋体" w:hAnsi="宋体" w:eastAsia="宋体" w:cs="宋体"/>
          <w:szCs w:val="16"/>
          <w:highlight w:val="none"/>
          <w:lang w:eastAsia="zh-CN"/>
        </w:rPr>
        <w:t>采购代理机构</w:t>
      </w:r>
      <w:r>
        <w:rPr>
          <w:rFonts w:hint="eastAsia" w:ascii="宋体" w:hAnsi="宋体" w:eastAsia="宋体" w:cs="宋体"/>
          <w:szCs w:val="16"/>
          <w:highlight w:val="none"/>
        </w:rPr>
        <w:t>未在规定时间内作出答复的，可以在答复期满后15个工作日内向《政府采购质疑和投诉办法》第六条规定的财政部门提起投诉。</w:t>
      </w:r>
    </w:p>
    <w:p>
      <w:pPr>
        <w:pStyle w:val="3"/>
        <w:jc w:val="left"/>
        <w:rPr>
          <w:rFonts w:hint="eastAsia" w:ascii="宋体" w:hAnsi="宋体" w:eastAsia="宋体" w:cs="宋体"/>
          <w:sz w:val="24"/>
          <w:szCs w:val="16"/>
          <w:highlight w:val="none"/>
        </w:rPr>
      </w:pPr>
      <w:bookmarkStart w:id="109" w:name="_Toc2980"/>
      <w:bookmarkStart w:id="110" w:name="_Toc1324"/>
      <w:r>
        <w:rPr>
          <w:rFonts w:hint="eastAsia" w:ascii="宋体" w:hAnsi="宋体" w:eastAsia="宋体" w:cs="宋体"/>
          <w:sz w:val="24"/>
          <w:szCs w:val="16"/>
          <w:highlight w:val="none"/>
        </w:rPr>
        <w:t>10.需要补充的其他内容</w:t>
      </w:r>
      <w:bookmarkEnd w:id="87"/>
      <w:bookmarkEnd w:id="108"/>
      <w:bookmarkEnd w:id="109"/>
      <w:bookmarkEnd w:id="110"/>
    </w:p>
    <w:p>
      <w:pPr>
        <w:spacing w:line="540" w:lineRule="exact"/>
        <w:ind w:firstLine="424" w:firstLineChars="200"/>
        <w:rPr>
          <w:rFonts w:hint="eastAsia" w:ascii="宋体" w:hAnsi="宋体" w:eastAsia="宋体" w:cs="宋体"/>
          <w:sz w:val="24"/>
          <w:highlight w:val="none"/>
        </w:rPr>
      </w:pPr>
      <w:r>
        <w:rPr>
          <w:rFonts w:hint="eastAsia" w:ascii="宋体" w:hAnsi="宋体" w:eastAsia="宋体" w:cs="宋体"/>
          <w:szCs w:val="21"/>
          <w:highlight w:val="none"/>
        </w:rPr>
        <w:t>需要补充的其他内容：见投标人须知前附表。</w:t>
      </w:r>
    </w:p>
    <w:p>
      <w:pPr>
        <w:rPr>
          <w:rFonts w:hint="eastAsia" w:ascii="宋体" w:hAnsi="宋体" w:eastAsia="宋体" w:cs="宋体"/>
          <w:sz w:val="24"/>
          <w:highlight w:val="none"/>
        </w:rPr>
      </w:pPr>
      <w:r>
        <w:rPr>
          <w:rFonts w:hint="eastAsia" w:ascii="宋体" w:hAnsi="宋体" w:eastAsia="宋体" w:cs="宋体"/>
          <w:sz w:val="24"/>
          <w:highlight w:val="none"/>
        </w:rPr>
        <w:br w:type="page"/>
      </w:r>
    </w:p>
    <w:p>
      <w:pPr>
        <w:pStyle w:val="2"/>
        <w:numPr>
          <w:ilvl w:val="0"/>
          <w:numId w:val="0"/>
        </w:numPr>
        <w:jc w:val="center"/>
        <w:rPr>
          <w:rFonts w:hint="eastAsia" w:ascii="宋体" w:hAnsi="宋体" w:eastAsia="宋体" w:cs="宋体"/>
          <w:highlight w:val="none"/>
        </w:rPr>
      </w:pPr>
      <w:bookmarkStart w:id="111" w:name="_Toc184635092"/>
      <w:bookmarkStart w:id="112" w:name="_Toc345178457"/>
      <w:bookmarkStart w:id="113" w:name="_Toc6192"/>
      <w:bookmarkStart w:id="114" w:name="_Toc24716"/>
      <w:r>
        <w:rPr>
          <w:rFonts w:hint="eastAsia" w:ascii="宋体" w:hAnsi="宋体" w:eastAsia="宋体" w:cs="宋体"/>
          <w:b/>
          <w:sz w:val="28"/>
          <w:szCs w:val="28"/>
          <w:highlight w:val="none"/>
        </w:rPr>
        <w:t xml:space="preserve">第三章  </w:t>
      </w:r>
      <w:bookmarkEnd w:id="111"/>
      <w:bookmarkEnd w:id="112"/>
      <w:bookmarkEnd w:id="113"/>
      <w:r>
        <w:rPr>
          <w:rFonts w:hint="eastAsia" w:ascii="宋体" w:hAnsi="宋体" w:eastAsia="宋体" w:cs="宋体"/>
          <w:b/>
          <w:bCs/>
          <w:sz w:val="28"/>
          <w:szCs w:val="28"/>
          <w:highlight w:val="none"/>
        </w:rPr>
        <w:t>资格性审查表</w:t>
      </w:r>
      <w:bookmarkEnd w:id="114"/>
    </w:p>
    <w:tbl>
      <w:tblPr>
        <w:tblStyle w:val="34"/>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859"/>
        <w:gridCol w:w="5793"/>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6" w:type="dxa"/>
            <w:tcMar>
              <w:top w:w="0" w:type="dxa"/>
              <w:left w:w="57" w:type="dxa"/>
              <w:bottom w:w="0" w:type="dxa"/>
              <w:right w:w="57" w:type="dxa"/>
            </w:tcMar>
            <w:vAlign w:val="center"/>
          </w:tcPr>
          <w:p>
            <w:pPr>
              <w:jc w:val="center"/>
              <w:rPr>
                <w:rFonts w:hint="eastAsia" w:ascii="宋体" w:hAnsi="宋体" w:eastAsia="宋体" w:cs="宋体"/>
                <w:b/>
                <w:bCs/>
                <w:sz w:val="24"/>
                <w:highlight w:val="none"/>
              </w:rPr>
            </w:pPr>
            <w:bookmarkStart w:id="115" w:name="_Toc16293"/>
            <w:bookmarkStart w:id="116" w:name="_Toc23399"/>
            <w:bookmarkStart w:id="117" w:name="_Toc16266"/>
            <w:bookmarkStart w:id="118" w:name="_Toc2378"/>
            <w:bookmarkStart w:id="119" w:name="_Toc25514"/>
            <w:bookmarkStart w:id="120" w:name="_Toc465"/>
            <w:bookmarkStart w:id="121" w:name="_Toc16607"/>
            <w:bookmarkStart w:id="122" w:name="_Toc26184"/>
            <w:bookmarkStart w:id="123" w:name="_Toc19244"/>
            <w:bookmarkStart w:id="124" w:name="_Toc1301"/>
            <w:bookmarkStart w:id="125" w:name="_Toc19241"/>
            <w:bookmarkStart w:id="126" w:name="_Toc21337"/>
            <w:r>
              <w:rPr>
                <w:rFonts w:hint="eastAsia" w:ascii="宋体" w:hAnsi="宋体" w:eastAsia="宋体" w:cs="宋体"/>
                <w:b/>
                <w:bCs/>
                <w:sz w:val="24"/>
                <w:highlight w:val="none"/>
              </w:rPr>
              <w:t>序号</w:t>
            </w:r>
          </w:p>
        </w:tc>
        <w:tc>
          <w:tcPr>
            <w:tcW w:w="1859" w:type="dxa"/>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审查因素</w:t>
            </w:r>
          </w:p>
        </w:tc>
        <w:tc>
          <w:tcPr>
            <w:tcW w:w="5793" w:type="dxa"/>
            <w:tcMar>
              <w:top w:w="0" w:type="dxa"/>
              <w:left w:w="57" w:type="dxa"/>
              <w:bottom w:w="0" w:type="dxa"/>
              <w:right w:w="57" w:type="dxa"/>
            </w:tcMar>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审查内容</w:t>
            </w:r>
          </w:p>
        </w:tc>
        <w:tc>
          <w:tcPr>
            <w:tcW w:w="779" w:type="dxa"/>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jc w:val="center"/>
        </w:trPr>
        <w:tc>
          <w:tcPr>
            <w:tcW w:w="706" w:type="dxa"/>
            <w:tcMar>
              <w:top w:w="0" w:type="dxa"/>
              <w:left w:w="57" w:type="dxa"/>
              <w:bottom w:w="0" w:type="dxa"/>
              <w:right w:w="57" w:type="dxa"/>
            </w:tcMar>
            <w:vAlign w:val="center"/>
          </w:tcPr>
          <w:p>
            <w:pPr>
              <w:jc w:val="center"/>
              <w:rPr>
                <w:rFonts w:hint="eastAsia" w:ascii="宋体" w:hAnsi="宋体" w:eastAsia="宋体" w:cs="宋体"/>
                <w:bCs/>
                <w:sz w:val="24"/>
                <w:highlight w:val="none"/>
              </w:rPr>
            </w:pPr>
            <w:r>
              <w:rPr>
                <w:rFonts w:hint="eastAsia" w:ascii="宋体" w:hAnsi="宋体" w:eastAsia="宋体" w:cs="宋体"/>
                <w:bCs/>
                <w:sz w:val="24"/>
                <w:highlight w:val="none"/>
              </w:rPr>
              <w:t>1</w:t>
            </w:r>
          </w:p>
        </w:tc>
        <w:tc>
          <w:tcPr>
            <w:tcW w:w="1859" w:type="dxa"/>
            <w:tcMar>
              <w:top w:w="0" w:type="dxa"/>
              <w:left w:w="57" w:type="dxa"/>
              <w:bottom w:w="0" w:type="dxa"/>
              <w:right w:w="57" w:type="dxa"/>
            </w:tcMar>
            <w:vAlign w:val="center"/>
          </w:tcPr>
          <w:p>
            <w:pPr>
              <w:jc w:val="left"/>
              <w:rPr>
                <w:rFonts w:hint="eastAsia" w:ascii="宋体" w:hAnsi="宋体" w:eastAsia="宋体" w:cs="宋体"/>
                <w:bCs/>
                <w:szCs w:val="21"/>
                <w:highlight w:val="none"/>
              </w:rPr>
            </w:pPr>
            <w:r>
              <w:rPr>
                <w:rFonts w:hint="eastAsia" w:ascii="宋体" w:hAnsi="宋体" w:eastAsia="宋体" w:cs="宋体"/>
                <w:bCs/>
                <w:color w:val="000000"/>
                <w:kern w:val="0"/>
                <w:szCs w:val="21"/>
                <w:highlight w:val="none"/>
              </w:rPr>
              <w:t>具有独立承担民事责任的能力</w:t>
            </w:r>
          </w:p>
        </w:tc>
        <w:tc>
          <w:tcPr>
            <w:tcW w:w="5793" w:type="dxa"/>
            <w:vAlign w:val="center"/>
          </w:tcPr>
          <w:p>
            <w:pPr>
              <w:jc w:val="both"/>
              <w:rPr>
                <w:rFonts w:hint="eastAsia" w:ascii="宋体" w:hAnsi="宋体" w:eastAsia="宋体" w:cs="宋体"/>
                <w:szCs w:val="21"/>
                <w:highlight w:val="none"/>
              </w:rPr>
            </w:pPr>
            <w:r>
              <w:rPr>
                <w:rFonts w:hint="eastAsia" w:ascii="宋体" w:hAnsi="宋体" w:eastAsia="宋体" w:cs="宋体"/>
                <w:szCs w:val="21"/>
                <w:highlight w:val="none"/>
              </w:rPr>
              <w:t>提供有效的法人或者其他组织的营业执照等证明文件</w:t>
            </w:r>
          </w:p>
        </w:tc>
        <w:tc>
          <w:tcPr>
            <w:tcW w:w="779" w:type="dxa"/>
            <w:tcMar>
              <w:top w:w="0" w:type="dxa"/>
              <w:left w:w="57" w:type="dxa"/>
              <w:bottom w:w="0" w:type="dxa"/>
              <w:right w:w="57" w:type="dxa"/>
            </w:tcMar>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706" w:type="dxa"/>
            <w:tcMar>
              <w:top w:w="0" w:type="dxa"/>
              <w:left w:w="57" w:type="dxa"/>
              <w:bottom w:w="0" w:type="dxa"/>
              <w:right w:w="57" w:type="dxa"/>
            </w:tcMar>
            <w:vAlign w:val="center"/>
          </w:tcPr>
          <w:p>
            <w:pPr>
              <w:jc w:val="center"/>
              <w:rPr>
                <w:rFonts w:hint="eastAsia" w:ascii="宋体" w:hAnsi="宋体" w:eastAsia="宋体" w:cs="宋体"/>
                <w:bCs/>
                <w:sz w:val="24"/>
                <w:highlight w:val="none"/>
              </w:rPr>
            </w:pPr>
            <w:r>
              <w:rPr>
                <w:rFonts w:hint="eastAsia" w:ascii="宋体" w:hAnsi="宋体" w:eastAsia="宋体" w:cs="宋体"/>
                <w:bCs/>
                <w:sz w:val="24"/>
                <w:highlight w:val="none"/>
              </w:rPr>
              <w:t>2</w:t>
            </w:r>
          </w:p>
        </w:tc>
        <w:tc>
          <w:tcPr>
            <w:tcW w:w="1859" w:type="dxa"/>
            <w:tcMar>
              <w:top w:w="0" w:type="dxa"/>
              <w:left w:w="57" w:type="dxa"/>
              <w:bottom w:w="0" w:type="dxa"/>
              <w:right w:w="57" w:type="dxa"/>
            </w:tcMar>
            <w:vAlign w:val="center"/>
          </w:tcPr>
          <w:p>
            <w:pPr>
              <w:jc w:val="left"/>
              <w:rPr>
                <w:rFonts w:hint="eastAsia" w:ascii="宋体" w:hAnsi="宋体" w:eastAsia="宋体" w:cs="宋体"/>
                <w:bCs/>
                <w:szCs w:val="21"/>
                <w:highlight w:val="none"/>
              </w:rPr>
            </w:pPr>
            <w:r>
              <w:rPr>
                <w:rFonts w:hint="eastAsia" w:ascii="宋体" w:hAnsi="宋体" w:eastAsia="宋体" w:cs="宋体"/>
                <w:bCs/>
                <w:color w:val="000000"/>
                <w:kern w:val="0"/>
                <w:szCs w:val="21"/>
                <w:highlight w:val="none"/>
                <w:lang w:val="en-US" w:eastAsia="zh-CN"/>
              </w:rPr>
              <w:t>具有</w:t>
            </w:r>
            <w:r>
              <w:rPr>
                <w:rFonts w:hint="eastAsia" w:ascii="宋体" w:hAnsi="宋体" w:eastAsia="宋体" w:cs="宋体"/>
                <w:bCs/>
                <w:color w:val="000000"/>
                <w:kern w:val="0"/>
                <w:szCs w:val="21"/>
                <w:highlight w:val="none"/>
              </w:rPr>
              <w:t>健全的财务会计制度</w:t>
            </w:r>
          </w:p>
        </w:tc>
        <w:tc>
          <w:tcPr>
            <w:tcW w:w="5793" w:type="dxa"/>
            <w:vAlign w:val="center"/>
          </w:tcPr>
          <w:p>
            <w:pPr>
              <w:jc w:val="both"/>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提供2022年度经第三方会计师事务所或审计机构出具的财务审计报告，成立不足一年的按实际提供，或提供银行出具的资信证明</w:t>
            </w:r>
          </w:p>
        </w:tc>
        <w:tc>
          <w:tcPr>
            <w:tcW w:w="779" w:type="dxa"/>
            <w:tcMar>
              <w:top w:w="0" w:type="dxa"/>
              <w:left w:w="57" w:type="dxa"/>
              <w:bottom w:w="0" w:type="dxa"/>
              <w:right w:w="57" w:type="dxa"/>
            </w:tcMar>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exact"/>
          <w:jc w:val="center"/>
        </w:trPr>
        <w:tc>
          <w:tcPr>
            <w:tcW w:w="706" w:type="dxa"/>
            <w:tcMar>
              <w:top w:w="0" w:type="dxa"/>
              <w:left w:w="57" w:type="dxa"/>
              <w:bottom w:w="0" w:type="dxa"/>
              <w:right w:w="57" w:type="dxa"/>
            </w:tcMar>
            <w:vAlign w:val="center"/>
          </w:tcPr>
          <w:p>
            <w:pPr>
              <w:jc w:val="center"/>
              <w:rPr>
                <w:rFonts w:hint="eastAsia" w:ascii="宋体" w:hAnsi="宋体" w:eastAsia="宋体" w:cs="宋体"/>
                <w:bCs/>
                <w:sz w:val="24"/>
                <w:highlight w:val="none"/>
              </w:rPr>
            </w:pPr>
            <w:r>
              <w:rPr>
                <w:rFonts w:hint="eastAsia" w:ascii="宋体" w:hAnsi="宋体" w:eastAsia="宋体" w:cs="宋体"/>
                <w:bCs/>
                <w:sz w:val="24"/>
                <w:highlight w:val="none"/>
              </w:rPr>
              <w:t>3</w:t>
            </w:r>
          </w:p>
        </w:tc>
        <w:tc>
          <w:tcPr>
            <w:tcW w:w="1859" w:type="dxa"/>
            <w:tcMar>
              <w:top w:w="0" w:type="dxa"/>
              <w:left w:w="57" w:type="dxa"/>
              <w:bottom w:w="0" w:type="dxa"/>
              <w:right w:w="57" w:type="dxa"/>
            </w:tcMar>
            <w:vAlign w:val="center"/>
          </w:tcPr>
          <w:p>
            <w:pPr>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color w:val="000000"/>
                <w:kern w:val="0"/>
                <w:szCs w:val="21"/>
                <w:highlight w:val="none"/>
              </w:rPr>
              <w:t>具有依法缴纳税收和社会保障资金的良好记录</w:t>
            </w:r>
          </w:p>
        </w:tc>
        <w:tc>
          <w:tcPr>
            <w:tcW w:w="5793" w:type="dxa"/>
            <w:vAlign w:val="center"/>
          </w:tcPr>
          <w:p>
            <w:pPr>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提供2023年1月1日以来至少一个月的依法缴纳税收和社会保障资金的相关证明</w:t>
            </w:r>
          </w:p>
        </w:tc>
        <w:tc>
          <w:tcPr>
            <w:tcW w:w="779" w:type="dxa"/>
            <w:tcMar>
              <w:top w:w="0" w:type="dxa"/>
              <w:left w:w="57" w:type="dxa"/>
              <w:bottom w:w="0" w:type="dxa"/>
              <w:right w:w="57" w:type="dxa"/>
            </w:tcMar>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exact"/>
          <w:jc w:val="center"/>
        </w:trPr>
        <w:tc>
          <w:tcPr>
            <w:tcW w:w="706" w:type="dxa"/>
            <w:tcMar>
              <w:top w:w="0" w:type="dxa"/>
              <w:left w:w="57" w:type="dxa"/>
              <w:bottom w:w="0" w:type="dxa"/>
              <w:right w:w="57" w:type="dxa"/>
            </w:tcMar>
            <w:vAlign w:val="center"/>
          </w:tcPr>
          <w:p>
            <w:pPr>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4</w:t>
            </w:r>
          </w:p>
        </w:tc>
        <w:tc>
          <w:tcPr>
            <w:tcW w:w="1859" w:type="dxa"/>
            <w:tcMar>
              <w:top w:w="0" w:type="dxa"/>
              <w:left w:w="57" w:type="dxa"/>
              <w:bottom w:w="0" w:type="dxa"/>
              <w:right w:w="57" w:type="dxa"/>
            </w:tcMar>
            <w:vAlign w:val="center"/>
          </w:tcPr>
          <w:p>
            <w:pPr>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color w:val="000000"/>
                <w:kern w:val="0"/>
                <w:szCs w:val="21"/>
                <w:highlight w:val="none"/>
              </w:rPr>
              <w:t>具有履行合同所必需的设备和专业技术能力</w:t>
            </w:r>
          </w:p>
        </w:tc>
        <w:tc>
          <w:tcPr>
            <w:tcW w:w="5793" w:type="dxa"/>
            <w:vAlign w:val="center"/>
          </w:tcPr>
          <w:p>
            <w:pPr>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提供可充分满足履行合同所需设备和专业技术能力的证明材料或出具书面承诺（加盖单位公章）</w:t>
            </w:r>
          </w:p>
        </w:tc>
        <w:tc>
          <w:tcPr>
            <w:tcW w:w="779" w:type="dxa"/>
            <w:tcMar>
              <w:top w:w="0" w:type="dxa"/>
              <w:left w:w="57" w:type="dxa"/>
              <w:bottom w:w="0" w:type="dxa"/>
              <w:right w:w="57" w:type="dxa"/>
            </w:tcMar>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exact"/>
          <w:jc w:val="center"/>
        </w:trPr>
        <w:tc>
          <w:tcPr>
            <w:tcW w:w="706" w:type="dxa"/>
            <w:vAlign w:val="center"/>
          </w:tcPr>
          <w:p>
            <w:pPr>
              <w:widowControl/>
              <w:jc w:val="center"/>
              <w:rPr>
                <w:rFonts w:hint="eastAsia" w:ascii="宋体" w:hAnsi="宋体" w:eastAsia="宋体" w:cs="宋体"/>
                <w:bCs/>
                <w:sz w:val="24"/>
                <w:highlight w:val="none"/>
              </w:rPr>
            </w:pPr>
            <w:r>
              <w:rPr>
                <w:rFonts w:hint="eastAsia" w:ascii="宋体" w:hAnsi="宋体" w:eastAsia="宋体" w:cs="宋体"/>
                <w:bCs/>
                <w:sz w:val="24"/>
                <w:highlight w:val="none"/>
              </w:rPr>
              <w:t>5</w:t>
            </w:r>
          </w:p>
        </w:tc>
        <w:tc>
          <w:tcPr>
            <w:tcW w:w="1859" w:type="dxa"/>
            <w:tcMar>
              <w:top w:w="0" w:type="dxa"/>
              <w:left w:w="57" w:type="dxa"/>
              <w:bottom w:w="0" w:type="dxa"/>
              <w:right w:w="57" w:type="dxa"/>
            </w:tcMar>
            <w:vAlign w:val="center"/>
          </w:tcPr>
          <w:p>
            <w:pPr>
              <w:jc w:val="left"/>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具有良好的商业信誉，参加政府采购活动前三年内，在经营活动中没有重大违法记录</w:t>
            </w:r>
          </w:p>
        </w:tc>
        <w:tc>
          <w:tcPr>
            <w:tcW w:w="5793" w:type="dxa"/>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lang w:eastAsia="zh-CN"/>
              </w:rPr>
              <w:t>具有良好的商业信誉，参加政府采购活动前三年内，在经营活动中没有重大违法记录的</w:t>
            </w:r>
            <w:r>
              <w:rPr>
                <w:rFonts w:hint="eastAsia" w:ascii="宋体" w:hAnsi="宋体" w:eastAsia="宋体" w:cs="宋体"/>
                <w:szCs w:val="21"/>
                <w:highlight w:val="none"/>
                <w:lang w:val="en-US" w:eastAsia="zh-CN"/>
              </w:rPr>
              <w:t>声明函</w:t>
            </w:r>
            <w:r>
              <w:rPr>
                <w:rFonts w:hint="eastAsia" w:ascii="宋体" w:hAnsi="宋体" w:eastAsia="宋体" w:cs="宋体"/>
                <w:szCs w:val="21"/>
                <w:highlight w:val="none"/>
                <w:lang w:eastAsia="zh-CN"/>
              </w:rPr>
              <w:t>（</w:t>
            </w:r>
            <w:r>
              <w:rPr>
                <w:rFonts w:hint="eastAsia" w:ascii="宋体" w:hAnsi="宋体" w:eastAsia="宋体" w:cs="宋体"/>
                <w:bCs/>
                <w:color w:val="000000"/>
                <w:kern w:val="0"/>
                <w:szCs w:val="21"/>
                <w:highlight w:val="none"/>
              </w:rPr>
              <w:t>企业须出具书面声明，格式自拟，加盖单位公章</w:t>
            </w:r>
            <w:r>
              <w:rPr>
                <w:rFonts w:hint="eastAsia" w:ascii="宋体" w:hAnsi="宋体" w:eastAsia="宋体" w:cs="宋体"/>
                <w:szCs w:val="21"/>
                <w:highlight w:val="none"/>
                <w:lang w:eastAsia="zh-CN"/>
              </w:rPr>
              <w:t>）</w:t>
            </w:r>
          </w:p>
        </w:tc>
        <w:tc>
          <w:tcPr>
            <w:tcW w:w="779" w:type="dxa"/>
            <w:tcMar>
              <w:top w:w="0" w:type="dxa"/>
              <w:left w:w="57" w:type="dxa"/>
              <w:bottom w:w="0" w:type="dxa"/>
              <w:right w:w="57" w:type="dxa"/>
            </w:tcMar>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exact"/>
          <w:jc w:val="center"/>
        </w:trPr>
        <w:tc>
          <w:tcPr>
            <w:tcW w:w="706" w:type="dxa"/>
            <w:vAlign w:val="center"/>
          </w:tcPr>
          <w:p>
            <w:pPr>
              <w:widowControl/>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6</w:t>
            </w:r>
          </w:p>
        </w:tc>
        <w:tc>
          <w:tcPr>
            <w:tcW w:w="1859" w:type="dxa"/>
            <w:tcMar>
              <w:top w:w="0" w:type="dxa"/>
              <w:left w:w="57" w:type="dxa"/>
              <w:bottom w:w="0" w:type="dxa"/>
              <w:right w:w="57" w:type="dxa"/>
            </w:tcMar>
            <w:vAlign w:val="center"/>
          </w:tcPr>
          <w:p>
            <w:pPr>
              <w:jc w:val="left"/>
              <w:rPr>
                <w:rFonts w:hint="eastAsia" w:ascii="宋体" w:hAnsi="宋体" w:eastAsia="宋体" w:cs="宋体"/>
                <w:bCs/>
                <w:szCs w:val="21"/>
                <w:highlight w:val="none"/>
              </w:rPr>
            </w:pPr>
            <w:r>
              <w:rPr>
                <w:rFonts w:hint="eastAsia" w:ascii="宋体" w:hAnsi="宋体" w:eastAsia="宋体" w:cs="宋体"/>
                <w:bCs/>
                <w:szCs w:val="21"/>
                <w:highlight w:val="none"/>
              </w:rPr>
              <w:t>信用记录</w:t>
            </w:r>
          </w:p>
        </w:tc>
        <w:tc>
          <w:tcPr>
            <w:tcW w:w="5793" w:type="dxa"/>
            <w:vAlign w:val="center"/>
          </w:tcPr>
          <w:p>
            <w:pPr>
              <w:jc w:val="left"/>
              <w:rPr>
                <w:rFonts w:hint="eastAsia" w:ascii="宋体" w:hAnsi="宋体" w:eastAsia="宋体" w:cs="宋体"/>
                <w:szCs w:val="21"/>
                <w:highlight w:val="none"/>
                <w:lang w:eastAsia="zh-CN"/>
              </w:rPr>
            </w:pPr>
            <w:r>
              <w:rPr>
                <w:rFonts w:hint="eastAsia" w:ascii="宋体" w:hAnsi="宋体" w:eastAsia="宋体" w:cs="宋体"/>
                <w:highlight w:val="none"/>
              </w:rPr>
              <w:t>采购人或</w:t>
            </w:r>
            <w:r>
              <w:rPr>
                <w:rFonts w:hint="eastAsia" w:ascii="宋体" w:hAnsi="宋体" w:eastAsia="宋体" w:cs="宋体"/>
                <w:highlight w:val="none"/>
                <w:lang w:eastAsia="zh-CN"/>
              </w:rPr>
              <w:t>采购代理机构</w:t>
            </w:r>
            <w:r>
              <w:rPr>
                <w:rFonts w:hint="eastAsia" w:ascii="宋体" w:hAnsi="宋体" w:eastAsia="宋体" w:cs="宋体"/>
                <w:highlight w:val="none"/>
              </w:rPr>
              <w:t>在开标当日查询投标供应商信用记录。查询时将查询网页进行截图或打印，以作证据留存，内容要完整清晰。</w:t>
            </w:r>
          </w:p>
        </w:tc>
        <w:tc>
          <w:tcPr>
            <w:tcW w:w="779" w:type="dxa"/>
            <w:tcMar>
              <w:top w:w="0" w:type="dxa"/>
              <w:left w:w="57" w:type="dxa"/>
              <w:bottom w:w="0" w:type="dxa"/>
              <w:right w:w="57" w:type="dxa"/>
            </w:tcMar>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exact"/>
          <w:jc w:val="center"/>
        </w:trPr>
        <w:tc>
          <w:tcPr>
            <w:tcW w:w="706" w:type="dxa"/>
            <w:vAlign w:val="center"/>
          </w:tcPr>
          <w:p>
            <w:pPr>
              <w:widowControl/>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7</w:t>
            </w:r>
          </w:p>
        </w:tc>
        <w:tc>
          <w:tcPr>
            <w:tcW w:w="1859" w:type="dxa"/>
            <w:tcMar>
              <w:top w:w="0" w:type="dxa"/>
              <w:left w:w="57" w:type="dxa"/>
              <w:bottom w:w="0" w:type="dxa"/>
              <w:right w:w="57" w:type="dxa"/>
            </w:tcMar>
            <w:vAlign w:val="center"/>
          </w:tcPr>
          <w:p>
            <w:pPr>
              <w:jc w:val="left"/>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单位负责人为同一人或者存在直接控股、管理关系的不同供应商，不得参加同一合同项下的政府采购活动</w:t>
            </w:r>
          </w:p>
        </w:tc>
        <w:tc>
          <w:tcPr>
            <w:tcW w:w="5793" w:type="dxa"/>
            <w:vAlign w:val="center"/>
          </w:tcPr>
          <w:p>
            <w:pPr>
              <w:jc w:val="left"/>
              <w:rPr>
                <w:rFonts w:hint="eastAsia" w:ascii="宋体" w:hAnsi="宋体" w:eastAsia="宋体" w:cs="宋体"/>
                <w:szCs w:val="21"/>
                <w:highlight w:val="none"/>
                <w:lang w:eastAsia="zh-CN"/>
              </w:rPr>
            </w:pPr>
            <w:r>
              <w:rPr>
                <w:rFonts w:hint="eastAsia" w:ascii="宋体" w:hAnsi="宋体" w:eastAsia="宋体" w:cs="宋体"/>
                <w:bCs/>
                <w:color w:val="000000"/>
                <w:kern w:val="0"/>
                <w:szCs w:val="21"/>
                <w:highlight w:val="none"/>
              </w:rPr>
              <w:t>单位负责人为同一人或者存在控股、管理关系的不同单位，不得同时参加同一合同项下的政府采购活动（提供“国家企业信用信息公示系统”网站（www.gsxt.gov.cn）”中公示的公司基本信息、主要人员信息、股东或投资人信息等内容，查询结果打印件或截图，加盖单位公章；非企业性质的供应商无法在该公示系统查询的，则针对此项做出书面承诺，格式自拟并加盖公章）</w:t>
            </w:r>
          </w:p>
        </w:tc>
        <w:tc>
          <w:tcPr>
            <w:tcW w:w="779" w:type="dxa"/>
            <w:tcMar>
              <w:top w:w="0" w:type="dxa"/>
              <w:left w:w="57" w:type="dxa"/>
              <w:bottom w:w="0" w:type="dxa"/>
              <w:right w:w="57" w:type="dxa"/>
            </w:tcMar>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565" w:type="dxa"/>
            <w:gridSpan w:val="2"/>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结  论</w:t>
            </w:r>
          </w:p>
        </w:tc>
        <w:tc>
          <w:tcPr>
            <w:tcW w:w="5793" w:type="dxa"/>
            <w:vAlign w:val="center"/>
          </w:tcPr>
          <w:p>
            <w:pPr>
              <w:jc w:val="center"/>
              <w:rPr>
                <w:rFonts w:hint="eastAsia" w:ascii="宋体" w:hAnsi="宋体" w:eastAsia="宋体" w:cs="宋体"/>
                <w:highlight w:val="none"/>
              </w:rPr>
            </w:pPr>
            <w:r>
              <w:rPr>
                <w:rFonts w:hint="eastAsia" w:ascii="宋体" w:hAnsi="宋体" w:eastAsia="宋体" w:cs="宋体"/>
                <w:highlight w:val="none"/>
              </w:rPr>
              <w:t>是否通过资格审查</w:t>
            </w:r>
          </w:p>
        </w:tc>
        <w:tc>
          <w:tcPr>
            <w:tcW w:w="779" w:type="dxa"/>
            <w:tcMar>
              <w:top w:w="0" w:type="dxa"/>
              <w:left w:w="57" w:type="dxa"/>
              <w:bottom w:w="0" w:type="dxa"/>
              <w:right w:w="57" w:type="dxa"/>
            </w:tcMar>
            <w:vAlign w:val="center"/>
          </w:tcPr>
          <w:p>
            <w:pPr>
              <w:rPr>
                <w:rFonts w:hint="eastAsia" w:ascii="宋体" w:hAnsi="宋体" w:eastAsia="宋体" w:cs="宋体"/>
                <w:szCs w:val="21"/>
                <w:highlight w:val="none"/>
              </w:rPr>
            </w:pPr>
          </w:p>
        </w:tc>
      </w:tr>
    </w:tbl>
    <w:p>
      <w:pPr>
        <w:pStyle w:val="4"/>
        <w:numPr>
          <w:ilvl w:val="2"/>
          <w:numId w:val="0"/>
        </w:numPr>
        <w:spacing w:line="400" w:lineRule="exact"/>
        <w:ind w:left="-425" w:firstLine="420" w:firstLineChars="199"/>
        <w:rPr>
          <w:rFonts w:hint="eastAsia" w:ascii="宋体" w:hAnsi="宋体" w:eastAsia="宋体" w:cs="宋体"/>
          <w:sz w:val="21"/>
          <w:szCs w:val="21"/>
          <w:highlight w:val="none"/>
        </w:rPr>
      </w:pPr>
      <w:r>
        <w:rPr>
          <w:rFonts w:hint="eastAsia" w:ascii="宋体" w:hAnsi="宋体" w:eastAsia="宋体" w:cs="宋体"/>
          <w:sz w:val="21"/>
          <w:szCs w:val="21"/>
          <w:highlight w:val="none"/>
        </w:rPr>
        <w:t>1.资格审查</w:t>
      </w:r>
      <w:bookmarkEnd w:id="115"/>
      <w:bookmarkEnd w:id="116"/>
      <w:bookmarkEnd w:id="117"/>
      <w:bookmarkEnd w:id="118"/>
      <w:bookmarkEnd w:id="119"/>
      <w:bookmarkEnd w:id="120"/>
      <w:bookmarkEnd w:id="121"/>
      <w:bookmarkEnd w:id="122"/>
      <w:bookmarkEnd w:id="123"/>
      <w:bookmarkEnd w:id="124"/>
      <w:bookmarkEnd w:id="125"/>
      <w:bookmarkEnd w:id="126"/>
      <w:r>
        <w:rPr>
          <w:rFonts w:hint="eastAsia" w:ascii="宋体" w:hAnsi="宋体" w:eastAsia="宋体" w:cs="宋体"/>
          <w:sz w:val="21"/>
          <w:szCs w:val="21"/>
          <w:highlight w:val="none"/>
        </w:rPr>
        <w:t>开标结束后，采购人或者</w:t>
      </w:r>
      <w:r>
        <w:rPr>
          <w:rFonts w:hint="eastAsia" w:ascii="宋体" w:hAnsi="宋体" w:eastAsia="宋体" w:cs="宋体"/>
          <w:sz w:val="21"/>
          <w:szCs w:val="21"/>
          <w:highlight w:val="none"/>
          <w:lang w:eastAsia="zh-CN"/>
        </w:rPr>
        <w:t>采购代理机构</w:t>
      </w:r>
      <w:r>
        <w:rPr>
          <w:rFonts w:hint="eastAsia" w:ascii="宋体" w:hAnsi="宋体" w:eastAsia="宋体" w:cs="宋体"/>
          <w:sz w:val="21"/>
          <w:szCs w:val="21"/>
          <w:highlight w:val="none"/>
        </w:rPr>
        <w:t>应当依法对投标供应商的资格进行审查。</w:t>
      </w:r>
    </w:p>
    <w:p>
      <w:pPr>
        <w:pStyle w:val="4"/>
        <w:numPr>
          <w:ilvl w:val="2"/>
          <w:numId w:val="0"/>
        </w:numPr>
        <w:spacing w:line="400" w:lineRule="exact"/>
        <w:ind w:left="-425" w:firstLine="420" w:firstLineChars="199"/>
        <w:rPr>
          <w:rFonts w:hint="eastAsia" w:ascii="宋体" w:hAnsi="宋体" w:eastAsia="宋体" w:cs="宋体"/>
          <w:sz w:val="21"/>
          <w:szCs w:val="21"/>
          <w:highlight w:val="none"/>
        </w:rPr>
      </w:pPr>
      <w:bookmarkStart w:id="127" w:name="_Toc23230"/>
      <w:bookmarkStart w:id="128" w:name="_Toc3310"/>
      <w:bookmarkStart w:id="129" w:name="_Toc21593"/>
      <w:bookmarkStart w:id="130" w:name="_Toc8631"/>
      <w:bookmarkStart w:id="131" w:name="_Toc2116"/>
      <w:bookmarkStart w:id="132" w:name="_Toc8280"/>
      <w:bookmarkStart w:id="133" w:name="_Toc2692"/>
      <w:bookmarkStart w:id="134" w:name="_Toc2610"/>
      <w:bookmarkStart w:id="135" w:name="_Toc29893"/>
      <w:bookmarkStart w:id="136" w:name="_Toc12137"/>
      <w:bookmarkStart w:id="137" w:name="_Toc18033"/>
      <w:bookmarkStart w:id="138" w:name="_Toc11542"/>
      <w:r>
        <w:rPr>
          <w:rFonts w:hint="eastAsia" w:ascii="宋体" w:hAnsi="宋体" w:eastAsia="宋体" w:cs="宋体"/>
          <w:sz w:val="21"/>
          <w:szCs w:val="21"/>
          <w:highlight w:val="none"/>
        </w:rPr>
        <w:t>2.资格审查标准</w:t>
      </w:r>
      <w:bookmarkEnd w:id="127"/>
      <w:bookmarkEnd w:id="128"/>
      <w:bookmarkEnd w:id="129"/>
      <w:bookmarkEnd w:id="130"/>
      <w:bookmarkEnd w:id="131"/>
      <w:bookmarkEnd w:id="132"/>
      <w:bookmarkEnd w:id="133"/>
      <w:bookmarkEnd w:id="134"/>
      <w:bookmarkEnd w:id="135"/>
      <w:bookmarkEnd w:id="136"/>
      <w:bookmarkEnd w:id="137"/>
      <w:bookmarkEnd w:id="138"/>
    </w:p>
    <w:p>
      <w:pPr>
        <w:autoSpaceDE w:val="0"/>
        <w:autoSpaceDN w:val="0"/>
        <w:adjustRightInd w:val="0"/>
        <w:spacing w:line="400" w:lineRule="exact"/>
        <w:ind w:right="-20" w:firstLine="424" w:firstLineChars="200"/>
        <w:jc w:val="left"/>
        <w:rPr>
          <w:rFonts w:hint="eastAsia" w:ascii="宋体" w:hAnsi="宋体" w:eastAsia="宋体" w:cs="宋体"/>
          <w:szCs w:val="21"/>
          <w:highlight w:val="none"/>
        </w:rPr>
      </w:pPr>
      <w:r>
        <w:rPr>
          <w:rFonts w:hint="eastAsia" w:ascii="宋体" w:hAnsi="宋体" w:eastAsia="宋体" w:cs="宋体"/>
          <w:kern w:val="0"/>
          <w:szCs w:val="21"/>
          <w:highlight w:val="none"/>
        </w:rPr>
        <w:t>资格审查标准：见“资格性审查表”。</w:t>
      </w:r>
    </w:p>
    <w:p>
      <w:pPr>
        <w:pStyle w:val="4"/>
        <w:numPr>
          <w:ilvl w:val="2"/>
          <w:numId w:val="0"/>
        </w:numPr>
        <w:spacing w:line="400" w:lineRule="exact"/>
        <w:ind w:left="-425" w:firstLine="420" w:firstLineChars="199"/>
        <w:rPr>
          <w:rFonts w:hint="eastAsia" w:ascii="宋体" w:hAnsi="宋体" w:eastAsia="宋体" w:cs="宋体"/>
          <w:sz w:val="21"/>
          <w:szCs w:val="21"/>
          <w:highlight w:val="none"/>
        </w:rPr>
      </w:pPr>
      <w:bookmarkStart w:id="139" w:name="_Toc29974"/>
      <w:bookmarkStart w:id="140" w:name="_Toc10180"/>
      <w:bookmarkStart w:id="141" w:name="_Toc13549"/>
      <w:bookmarkStart w:id="142" w:name="_Toc32375"/>
      <w:bookmarkStart w:id="143" w:name="_Toc2029"/>
      <w:bookmarkStart w:id="144" w:name="_Toc920"/>
      <w:bookmarkStart w:id="145" w:name="_Toc14072"/>
      <w:bookmarkStart w:id="146" w:name="_Toc21544"/>
      <w:bookmarkStart w:id="147" w:name="_Toc5940"/>
      <w:bookmarkStart w:id="148" w:name="_Toc2259"/>
      <w:bookmarkStart w:id="149" w:name="_Toc16031"/>
      <w:bookmarkStart w:id="150" w:name="_Toc19383"/>
      <w:r>
        <w:rPr>
          <w:rFonts w:hint="eastAsia" w:ascii="宋体" w:hAnsi="宋体" w:eastAsia="宋体" w:cs="宋体"/>
          <w:sz w:val="21"/>
          <w:szCs w:val="21"/>
          <w:highlight w:val="none"/>
        </w:rPr>
        <w:t>3.资格审查程序</w:t>
      </w:r>
      <w:bookmarkEnd w:id="139"/>
      <w:bookmarkEnd w:id="140"/>
      <w:bookmarkEnd w:id="141"/>
      <w:bookmarkEnd w:id="142"/>
      <w:bookmarkEnd w:id="143"/>
      <w:bookmarkEnd w:id="144"/>
      <w:bookmarkEnd w:id="145"/>
      <w:bookmarkEnd w:id="146"/>
      <w:bookmarkEnd w:id="147"/>
      <w:bookmarkEnd w:id="148"/>
      <w:bookmarkEnd w:id="149"/>
      <w:bookmarkEnd w:id="150"/>
    </w:p>
    <w:p>
      <w:pPr>
        <w:autoSpaceDE w:val="0"/>
        <w:autoSpaceDN w:val="0"/>
        <w:adjustRightInd w:val="0"/>
        <w:spacing w:line="400" w:lineRule="exact"/>
        <w:ind w:right="40" w:firstLine="416" w:firstLineChars="200"/>
        <w:jc w:val="left"/>
        <w:rPr>
          <w:rFonts w:hint="eastAsia" w:ascii="宋体" w:hAnsi="宋体" w:eastAsia="宋体" w:cs="宋体"/>
          <w:kern w:val="0"/>
          <w:szCs w:val="21"/>
          <w:highlight w:val="none"/>
        </w:rPr>
      </w:pPr>
      <w:r>
        <w:rPr>
          <w:rFonts w:hint="eastAsia" w:ascii="宋体" w:hAnsi="宋体" w:eastAsia="宋体" w:cs="宋体"/>
          <w:spacing w:val="-2"/>
          <w:kern w:val="0"/>
          <w:szCs w:val="21"/>
          <w:highlight w:val="none"/>
        </w:rPr>
        <w:t>资格审查人员依</w:t>
      </w:r>
      <w:r>
        <w:rPr>
          <w:rFonts w:hint="eastAsia" w:ascii="宋体" w:hAnsi="宋体" w:eastAsia="宋体" w:cs="宋体"/>
          <w:kern w:val="0"/>
          <w:szCs w:val="21"/>
          <w:highlight w:val="none"/>
        </w:rPr>
        <w:t>据本</w:t>
      </w:r>
      <w:r>
        <w:rPr>
          <w:rFonts w:hint="eastAsia" w:ascii="宋体" w:hAnsi="宋体" w:eastAsia="宋体" w:cs="宋体"/>
          <w:spacing w:val="-2"/>
          <w:kern w:val="0"/>
          <w:szCs w:val="21"/>
          <w:highlight w:val="none"/>
        </w:rPr>
        <w:t>章</w:t>
      </w:r>
      <w:r>
        <w:rPr>
          <w:rFonts w:hint="eastAsia" w:ascii="宋体" w:hAnsi="宋体" w:eastAsia="宋体" w:cs="宋体"/>
          <w:kern w:val="0"/>
          <w:szCs w:val="21"/>
          <w:highlight w:val="none"/>
        </w:rPr>
        <w:t>资格性审查表</w:t>
      </w:r>
      <w:r>
        <w:rPr>
          <w:rFonts w:hint="eastAsia" w:ascii="宋体" w:hAnsi="宋体" w:eastAsia="宋体" w:cs="宋体"/>
          <w:spacing w:val="-2"/>
          <w:kern w:val="0"/>
          <w:szCs w:val="21"/>
          <w:highlight w:val="none"/>
        </w:rPr>
        <w:t>规</w:t>
      </w:r>
      <w:r>
        <w:rPr>
          <w:rFonts w:hint="eastAsia" w:ascii="宋体" w:hAnsi="宋体" w:eastAsia="宋体" w:cs="宋体"/>
          <w:kern w:val="0"/>
          <w:szCs w:val="21"/>
          <w:highlight w:val="none"/>
        </w:rPr>
        <w:t>定</w:t>
      </w:r>
      <w:r>
        <w:rPr>
          <w:rFonts w:hint="eastAsia" w:ascii="宋体" w:hAnsi="宋体" w:eastAsia="宋体" w:cs="宋体"/>
          <w:spacing w:val="-2"/>
          <w:kern w:val="0"/>
          <w:szCs w:val="21"/>
          <w:highlight w:val="none"/>
        </w:rPr>
        <w:t>的标</w:t>
      </w:r>
      <w:r>
        <w:rPr>
          <w:rFonts w:hint="eastAsia" w:ascii="宋体" w:hAnsi="宋体" w:eastAsia="宋体" w:cs="宋体"/>
          <w:kern w:val="0"/>
          <w:szCs w:val="21"/>
          <w:highlight w:val="none"/>
        </w:rPr>
        <w:t>准对</w:t>
      </w:r>
      <w:r>
        <w:rPr>
          <w:rFonts w:hint="eastAsia" w:ascii="宋体" w:hAnsi="宋体" w:eastAsia="宋体" w:cs="宋体"/>
          <w:spacing w:val="-2"/>
          <w:kern w:val="0"/>
          <w:szCs w:val="21"/>
          <w:highlight w:val="none"/>
        </w:rPr>
        <w:t>投</w:t>
      </w:r>
      <w:r>
        <w:rPr>
          <w:rFonts w:hint="eastAsia" w:ascii="宋体" w:hAnsi="宋体" w:eastAsia="宋体" w:cs="宋体"/>
          <w:kern w:val="0"/>
          <w:szCs w:val="21"/>
          <w:highlight w:val="none"/>
        </w:rPr>
        <w:t>标</w:t>
      </w:r>
      <w:r>
        <w:rPr>
          <w:rFonts w:hint="eastAsia" w:ascii="宋体" w:hAnsi="宋体" w:eastAsia="宋体" w:cs="宋体"/>
          <w:spacing w:val="-2"/>
          <w:kern w:val="0"/>
          <w:szCs w:val="21"/>
          <w:highlight w:val="none"/>
        </w:rPr>
        <w:t>文</w:t>
      </w:r>
      <w:r>
        <w:rPr>
          <w:rFonts w:hint="eastAsia" w:ascii="宋体" w:hAnsi="宋体" w:eastAsia="宋体" w:cs="宋体"/>
          <w:kern w:val="0"/>
          <w:szCs w:val="21"/>
          <w:highlight w:val="none"/>
        </w:rPr>
        <w:t>件</w:t>
      </w:r>
      <w:r>
        <w:rPr>
          <w:rFonts w:hint="eastAsia" w:ascii="宋体" w:hAnsi="宋体" w:eastAsia="宋体" w:cs="宋体"/>
          <w:spacing w:val="-2"/>
          <w:kern w:val="0"/>
          <w:szCs w:val="21"/>
          <w:highlight w:val="none"/>
        </w:rPr>
        <w:t>进</w:t>
      </w:r>
      <w:r>
        <w:rPr>
          <w:rFonts w:hint="eastAsia" w:ascii="宋体" w:hAnsi="宋体" w:eastAsia="宋体" w:cs="宋体"/>
          <w:kern w:val="0"/>
          <w:szCs w:val="21"/>
          <w:highlight w:val="none"/>
        </w:rPr>
        <w:t>行</w:t>
      </w:r>
      <w:r>
        <w:rPr>
          <w:rFonts w:hint="eastAsia" w:ascii="宋体" w:hAnsi="宋体" w:eastAsia="宋体" w:cs="宋体"/>
          <w:spacing w:val="-2"/>
          <w:kern w:val="0"/>
          <w:szCs w:val="21"/>
          <w:highlight w:val="none"/>
        </w:rPr>
        <w:t>资</w:t>
      </w:r>
      <w:r>
        <w:rPr>
          <w:rFonts w:hint="eastAsia" w:ascii="宋体" w:hAnsi="宋体" w:eastAsia="宋体" w:cs="宋体"/>
          <w:kern w:val="0"/>
          <w:szCs w:val="21"/>
          <w:highlight w:val="none"/>
        </w:rPr>
        <w:t>格性审查，以确定投标供应商是否具备投标资格，有一项不符合审查标准的，资格审查人员将认定其投标无效，合格投标供应商不足3家的，将不进入评审阶段。</w:t>
      </w:r>
    </w:p>
    <w:p>
      <w:pPr>
        <w:pStyle w:val="26"/>
        <w:tabs>
          <w:tab w:val="left" w:pos="720"/>
        </w:tabs>
        <w:spacing w:line="360" w:lineRule="auto"/>
        <w:ind w:left="0" w:firstLine="0"/>
        <w:jc w:val="center"/>
        <w:rPr>
          <w:rFonts w:hint="eastAsia" w:ascii="宋体" w:hAnsi="宋体" w:eastAsia="宋体" w:cs="宋体"/>
          <w:sz w:val="24"/>
          <w:highlight w:val="none"/>
        </w:rPr>
        <w:sectPr>
          <w:headerReference r:id="rId5" w:type="default"/>
          <w:footerReference r:id="rId6" w:type="default"/>
          <w:pgSz w:w="11906" w:h="16838"/>
          <w:pgMar w:top="1440" w:right="1080" w:bottom="1440" w:left="1196" w:header="851" w:footer="992" w:gutter="0"/>
          <w:pgBorders>
            <w:top w:val="none" w:sz="0" w:space="0"/>
            <w:left w:val="none" w:sz="0" w:space="0"/>
            <w:bottom w:val="none" w:sz="0" w:space="0"/>
            <w:right w:val="none" w:sz="0" w:space="0"/>
          </w:pgBorders>
          <w:pgNumType w:fmt="decimal" w:start="1"/>
          <w:cols w:space="720" w:num="1"/>
          <w:docGrid w:type="linesAndChars" w:linePitch="314" w:charSpace="532"/>
        </w:sectPr>
      </w:pPr>
    </w:p>
    <w:p>
      <w:pPr>
        <w:pStyle w:val="2"/>
        <w:numPr>
          <w:ilvl w:val="0"/>
          <w:numId w:val="0"/>
        </w:numPr>
        <w:jc w:val="center"/>
        <w:rPr>
          <w:rFonts w:hint="eastAsia" w:ascii="宋体" w:hAnsi="宋体" w:eastAsia="宋体" w:cs="宋体"/>
          <w:highlight w:val="none"/>
        </w:rPr>
      </w:pPr>
      <w:bookmarkStart w:id="151" w:name="_Toc18644"/>
      <w:bookmarkStart w:id="152" w:name="_Toc1733"/>
      <w:bookmarkStart w:id="153" w:name="_Toc21159"/>
      <w:r>
        <w:rPr>
          <w:rFonts w:hint="eastAsia" w:ascii="宋体" w:hAnsi="宋体" w:eastAsia="宋体" w:cs="宋体"/>
          <w:b/>
          <w:bCs/>
          <w:sz w:val="28"/>
          <w:szCs w:val="28"/>
          <w:highlight w:val="none"/>
        </w:rPr>
        <w:t>第四章 符合性审查表</w:t>
      </w:r>
      <w:bookmarkEnd w:id="151"/>
      <w:bookmarkEnd w:id="152"/>
      <w:bookmarkEnd w:id="153"/>
      <w:bookmarkStart w:id="154" w:name="_Toc2524"/>
      <w:bookmarkStart w:id="155" w:name="_Toc15953"/>
      <w:bookmarkStart w:id="156" w:name="_Toc4403"/>
    </w:p>
    <w:tbl>
      <w:tblPr>
        <w:tblStyle w:val="34"/>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821"/>
        <w:gridCol w:w="4902"/>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8" w:type="dxa"/>
            <w:tcMar>
              <w:top w:w="0" w:type="dxa"/>
              <w:left w:w="57" w:type="dxa"/>
              <w:bottom w:w="0" w:type="dxa"/>
              <w:right w:w="57" w:type="dxa"/>
            </w:tcMar>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1821" w:type="dxa"/>
            <w:tcMar>
              <w:top w:w="0" w:type="dxa"/>
              <w:left w:w="57" w:type="dxa"/>
              <w:bottom w:w="0" w:type="dxa"/>
              <w:right w:w="57" w:type="dxa"/>
            </w:tcMar>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审查因素</w:t>
            </w:r>
          </w:p>
        </w:tc>
        <w:tc>
          <w:tcPr>
            <w:tcW w:w="4902" w:type="dxa"/>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审查内容</w:t>
            </w:r>
          </w:p>
        </w:tc>
        <w:tc>
          <w:tcPr>
            <w:tcW w:w="1316" w:type="dxa"/>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758" w:type="dxa"/>
            <w:tcMar>
              <w:top w:w="0" w:type="dxa"/>
              <w:left w:w="57" w:type="dxa"/>
              <w:bottom w:w="0" w:type="dxa"/>
              <w:right w:w="57"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821" w:type="dxa"/>
            <w:tcMar>
              <w:top w:w="0" w:type="dxa"/>
              <w:left w:w="57" w:type="dxa"/>
              <w:bottom w:w="0" w:type="dxa"/>
              <w:right w:w="57" w:type="dxa"/>
            </w:tcMar>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标书雷同性分析</w:t>
            </w:r>
          </w:p>
        </w:tc>
        <w:tc>
          <w:tcPr>
            <w:tcW w:w="4902" w:type="dxa"/>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投标文件制作机器码是否一致</w:t>
            </w:r>
          </w:p>
        </w:tc>
        <w:tc>
          <w:tcPr>
            <w:tcW w:w="1316" w:type="dxa"/>
            <w:vAlign w:val="center"/>
          </w:tcPr>
          <w:p>
            <w:pPr>
              <w:jc w:val="lef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58" w:type="dxa"/>
            <w:tcMar>
              <w:top w:w="0" w:type="dxa"/>
              <w:left w:w="57" w:type="dxa"/>
              <w:bottom w:w="0" w:type="dxa"/>
              <w:right w:w="57"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821" w:type="dxa"/>
            <w:tcMar>
              <w:top w:w="0" w:type="dxa"/>
              <w:left w:w="57" w:type="dxa"/>
              <w:bottom w:w="0" w:type="dxa"/>
              <w:right w:w="57" w:type="dxa"/>
            </w:tcMar>
            <w:vAlign w:val="center"/>
          </w:tcPr>
          <w:p>
            <w:pPr>
              <w:rPr>
                <w:rFonts w:hint="eastAsia" w:ascii="宋体" w:hAnsi="宋体" w:eastAsia="宋体" w:cs="宋体"/>
                <w:szCs w:val="21"/>
                <w:highlight w:val="none"/>
              </w:rPr>
            </w:pPr>
            <w:r>
              <w:rPr>
                <w:rFonts w:hint="eastAsia" w:ascii="宋体" w:hAnsi="宋体" w:eastAsia="宋体" w:cs="宋体"/>
                <w:szCs w:val="21"/>
                <w:highlight w:val="none"/>
              </w:rPr>
              <w:t>投标签字盖章</w:t>
            </w:r>
          </w:p>
        </w:tc>
        <w:tc>
          <w:tcPr>
            <w:tcW w:w="4902" w:type="dxa"/>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符合“投标文件格式”的规定</w:t>
            </w:r>
          </w:p>
        </w:tc>
        <w:tc>
          <w:tcPr>
            <w:tcW w:w="1316" w:type="dxa"/>
            <w:vAlign w:val="center"/>
          </w:tcPr>
          <w:p>
            <w:pPr>
              <w:jc w:val="lef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758" w:type="dxa"/>
            <w:tcMar>
              <w:top w:w="0" w:type="dxa"/>
              <w:left w:w="57" w:type="dxa"/>
              <w:bottom w:w="0" w:type="dxa"/>
              <w:right w:w="57"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821" w:type="dxa"/>
            <w:tcMar>
              <w:top w:w="0" w:type="dxa"/>
              <w:left w:w="57" w:type="dxa"/>
              <w:bottom w:w="0" w:type="dxa"/>
              <w:right w:w="57" w:type="dxa"/>
            </w:tcMar>
            <w:vAlign w:val="center"/>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投标供应商名称</w:t>
            </w:r>
          </w:p>
        </w:tc>
        <w:tc>
          <w:tcPr>
            <w:tcW w:w="4902" w:type="dxa"/>
            <w:vAlign w:val="center"/>
          </w:tcPr>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与营业执照一致</w:t>
            </w:r>
          </w:p>
        </w:tc>
        <w:tc>
          <w:tcPr>
            <w:tcW w:w="1316" w:type="dxa"/>
            <w:vAlign w:val="center"/>
          </w:tcPr>
          <w:p>
            <w:pPr>
              <w:tabs>
                <w:tab w:val="left" w:pos="2730"/>
              </w:tabs>
              <w:jc w:val="lef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758" w:type="dxa"/>
            <w:tcMar>
              <w:top w:w="0" w:type="dxa"/>
              <w:left w:w="57" w:type="dxa"/>
              <w:bottom w:w="0" w:type="dxa"/>
              <w:right w:w="57"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821" w:type="dxa"/>
            <w:tcMar>
              <w:top w:w="0" w:type="dxa"/>
              <w:left w:w="57" w:type="dxa"/>
              <w:bottom w:w="0" w:type="dxa"/>
              <w:right w:w="57" w:type="dxa"/>
            </w:tcMar>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投标报价</w:t>
            </w:r>
          </w:p>
        </w:tc>
        <w:tc>
          <w:tcPr>
            <w:tcW w:w="4902" w:type="dxa"/>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投标报价未超出最高限价且只有一个有效报价</w:t>
            </w:r>
          </w:p>
        </w:tc>
        <w:tc>
          <w:tcPr>
            <w:tcW w:w="1316" w:type="dxa"/>
            <w:vAlign w:val="center"/>
          </w:tcPr>
          <w:p>
            <w:pPr>
              <w:jc w:val="lef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758" w:type="dxa"/>
            <w:tcMar>
              <w:top w:w="0" w:type="dxa"/>
              <w:left w:w="57" w:type="dxa"/>
              <w:bottom w:w="0" w:type="dxa"/>
              <w:right w:w="57"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1821" w:type="dxa"/>
            <w:tcMar>
              <w:top w:w="0" w:type="dxa"/>
              <w:left w:w="57" w:type="dxa"/>
              <w:bottom w:w="0" w:type="dxa"/>
              <w:right w:w="57" w:type="dxa"/>
            </w:tcMar>
            <w:vAlign w:val="center"/>
          </w:tcPr>
          <w:p>
            <w:pPr>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投标内容</w:t>
            </w:r>
          </w:p>
        </w:tc>
        <w:tc>
          <w:tcPr>
            <w:tcW w:w="4902" w:type="dxa"/>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符合第二章“投标人须知”第1.3.</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项规定</w:t>
            </w:r>
          </w:p>
        </w:tc>
        <w:tc>
          <w:tcPr>
            <w:tcW w:w="1316" w:type="dxa"/>
            <w:vAlign w:val="center"/>
          </w:tcPr>
          <w:p>
            <w:pPr>
              <w:jc w:val="lef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758" w:type="dxa"/>
            <w:tcMar>
              <w:top w:w="0" w:type="dxa"/>
              <w:left w:w="57" w:type="dxa"/>
              <w:bottom w:w="0" w:type="dxa"/>
              <w:right w:w="57"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1821" w:type="dxa"/>
            <w:tcMar>
              <w:top w:w="0" w:type="dxa"/>
              <w:left w:w="57" w:type="dxa"/>
              <w:bottom w:w="0" w:type="dxa"/>
              <w:right w:w="57" w:type="dxa"/>
            </w:tcMar>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质量要求</w:t>
            </w:r>
          </w:p>
        </w:tc>
        <w:tc>
          <w:tcPr>
            <w:tcW w:w="4902" w:type="dxa"/>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符合第二章“投标人须知”第1.3.</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项规定</w:t>
            </w:r>
          </w:p>
        </w:tc>
        <w:tc>
          <w:tcPr>
            <w:tcW w:w="1316" w:type="dxa"/>
            <w:vAlign w:val="center"/>
          </w:tcPr>
          <w:p>
            <w:pPr>
              <w:jc w:val="lef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758" w:type="dxa"/>
            <w:tcMar>
              <w:top w:w="0" w:type="dxa"/>
              <w:left w:w="57" w:type="dxa"/>
              <w:bottom w:w="0" w:type="dxa"/>
              <w:right w:w="57"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1821" w:type="dxa"/>
            <w:tcMar>
              <w:top w:w="0" w:type="dxa"/>
              <w:left w:w="57" w:type="dxa"/>
              <w:bottom w:w="0" w:type="dxa"/>
              <w:right w:w="57" w:type="dxa"/>
            </w:tcMar>
            <w:vAlign w:val="center"/>
          </w:tcPr>
          <w:p>
            <w:pPr>
              <w:jc w:val="lef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交货期</w:t>
            </w:r>
          </w:p>
        </w:tc>
        <w:tc>
          <w:tcPr>
            <w:tcW w:w="4902" w:type="dxa"/>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符合第二章“投标人须知”第1.3.</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项规定</w:t>
            </w:r>
          </w:p>
        </w:tc>
        <w:tc>
          <w:tcPr>
            <w:tcW w:w="1316" w:type="dxa"/>
            <w:vAlign w:val="center"/>
          </w:tcPr>
          <w:p>
            <w:pPr>
              <w:jc w:val="lef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758" w:type="dxa"/>
            <w:tcMar>
              <w:top w:w="0" w:type="dxa"/>
              <w:left w:w="57" w:type="dxa"/>
              <w:bottom w:w="0" w:type="dxa"/>
              <w:right w:w="57" w:type="dxa"/>
            </w:tcMar>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8</w:t>
            </w:r>
          </w:p>
        </w:tc>
        <w:tc>
          <w:tcPr>
            <w:tcW w:w="1821" w:type="dxa"/>
            <w:tcMar>
              <w:top w:w="0" w:type="dxa"/>
              <w:left w:w="57" w:type="dxa"/>
              <w:bottom w:w="0" w:type="dxa"/>
              <w:right w:w="57" w:type="dxa"/>
            </w:tcMar>
            <w:vAlign w:val="center"/>
          </w:tcPr>
          <w:p>
            <w:pPr>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交货地点</w:t>
            </w:r>
          </w:p>
        </w:tc>
        <w:tc>
          <w:tcPr>
            <w:tcW w:w="4902" w:type="dxa"/>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符合第二章“投标人须知”第1.3.4项规定</w:t>
            </w:r>
          </w:p>
        </w:tc>
        <w:tc>
          <w:tcPr>
            <w:tcW w:w="1316" w:type="dxa"/>
            <w:vAlign w:val="center"/>
          </w:tcPr>
          <w:p>
            <w:pPr>
              <w:jc w:val="lef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758" w:type="dxa"/>
            <w:tcMar>
              <w:top w:w="0" w:type="dxa"/>
              <w:left w:w="57" w:type="dxa"/>
              <w:bottom w:w="0" w:type="dxa"/>
              <w:right w:w="57" w:type="dxa"/>
            </w:tcMar>
            <w:vAlign w:val="center"/>
          </w:tcPr>
          <w:p>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w:t>
            </w:r>
          </w:p>
        </w:tc>
        <w:tc>
          <w:tcPr>
            <w:tcW w:w="1821" w:type="dxa"/>
            <w:tcMar>
              <w:top w:w="0" w:type="dxa"/>
              <w:left w:w="57" w:type="dxa"/>
              <w:bottom w:w="0" w:type="dxa"/>
              <w:right w:w="57" w:type="dxa"/>
            </w:tcMar>
            <w:vAlign w:val="center"/>
          </w:tcPr>
          <w:p>
            <w:pPr>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质保期</w:t>
            </w:r>
          </w:p>
        </w:tc>
        <w:tc>
          <w:tcPr>
            <w:tcW w:w="4902" w:type="dxa"/>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符合第二章“投标人须知”第1.3.</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项规定</w:t>
            </w:r>
          </w:p>
        </w:tc>
        <w:tc>
          <w:tcPr>
            <w:tcW w:w="1316" w:type="dxa"/>
            <w:vAlign w:val="center"/>
          </w:tcPr>
          <w:p>
            <w:pPr>
              <w:jc w:val="lef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758" w:type="dxa"/>
            <w:tcMar>
              <w:top w:w="0" w:type="dxa"/>
              <w:left w:w="57" w:type="dxa"/>
              <w:bottom w:w="0" w:type="dxa"/>
              <w:right w:w="57" w:type="dxa"/>
            </w:tcMar>
            <w:vAlign w:val="center"/>
          </w:tcPr>
          <w:p>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1821" w:type="dxa"/>
            <w:tcMar>
              <w:top w:w="0" w:type="dxa"/>
              <w:left w:w="57" w:type="dxa"/>
              <w:bottom w:w="0" w:type="dxa"/>
              <w:right w:w="57" w:type="dxa"/>
            </w:tcMar>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投标有效期</w:t>
            </w:r>
          </w:p>
        </w:tc>
        <w:tc>
          <w:tcPr>
            <w:tcW w:w="4902" w:type="dxa"/>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符合第二章“投标人须知”第3.3.1项规定</w:t>
            </w:r>
          </w:p>
        </w:tc>
        <w:tc>
          <w:tcPr>
            <w:tcW w:w="1316" w:type="dxa"/>
            <w:vAlign w:val="center"/>
          </w:tcPr>
          <w:p>
            <w:pPr>
              <w:jc w:val="lef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758" w:type="dxa"/>
            <w:tcMar>
              <w:top w:w="0" w:type="dxa"/>
              <w:left w:w="57" w:type="dxa"/>
              <w:bottom w:w="0" w:type="dxa"/>
              <w:right w:w="57" w:type="dxa"/>
            </w:tcMar>
            <w:vAlign w:val="center"/>
          </w:tcPr>
          <w:p>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1</w:t>
            </w:r>
          </w:p>
        </w:tc>
        <w:tc>
          <w:tcPr>
            <w:tcW w:w="1821" w:type="dxa"/>
            <w:tcMar>
              <w:top w:w="0" w:type="dxa"/>
              <w:left w:w="57" w:type="dxa"/>
              <w:bottom w:w="0" w:type="dxa"/>
              <w:right w:w="57" w:type="dxa"/>
            </w:tcMar>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其他情况</w:t>
            </w:r>
          </w:p>
        </w:tc>
        <w:tc>
          <w:tcPr>
            <w:tcW w:w="4902" w:type="dxa"/>
            <w:vAlign w:val="center"/>
          </w:tcPr>
          <w:p>
            <w:pPr>
              <w:jc w:val="left"/>
              <w:rPr>
                <w:rFonts w:hint="eastAsia" w:ascii="宋体" w:hAnsi="宋体" w:eastAsia="宋体" w:cs="宋体"/>
                <w:szCs w:val="21"/>
                <w:highlight w:val="none"/>
              </w:rPr>
            </w:pPr>
            <w:r>
              <w:rPr>
                <w:rFonts w:hint="eastAsia" w:ascii="宋体" w:hAnsi="宋体" w:eastAsia="宋体" w:cs="宋体"/>
                <w:szCs w:val="21"/>
                <w:highlight w:val="none"/>
              </w:rPr>
              <w:t>未发现投标文件含有采购人不能接受的情况</w:t>
            </w:r>
          </w:p>
        </w:tc>
        <w:tc>
          <w:tcPr>
            <w:tcW w:w="1316" w:type="dxa"/>
            <w:vAlign w:val="center"/>
          </w:tcPr>
          <w:p>
            <w:pPr>
              <w:jc w:val="lef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579" w:type="dxa"/>
            <w:gridSpan w:val="2"/>
            <w:tcMar>
              <w:top w:w="0" w:type="dxa"/>
              <w:left w:w="57" w:type="dxa"/>
              <w:bottom w:w="0" w:type="dxa"/>
              <w:right w:w="57" w:type="dxa"/>
            </w:tcMar>
            <w:vAlign w:val="center"/>
          </w:tcPr>
          <w:p>
            <w:pPr>
              <w:jc w:val="center"/>
              <w:outlineLvl w:val="1"/>
              <w:rPr>
                <w:rFonts w:hint="eastAsia" w:ascii="宋体" w:hAnsi="宋体" w:eastAsia="宋体" w:cs="宋体"/>
                <w:b/>
                <w:bCs/>
                <w:szCs w:val="21"/>
                <w:highlight w:val="none"/>
              </w:rPr>
            </w:pPr>
            <w:bookmarkStart w:id="157" w:name="_Toc6508"/>
            <w:bookmarkStart w:id="158" w:name="_Toc21755"/>
            <w:bookmarkStart w:id="159" w:name="_Toc2312"/>
            <w:bookmarkStart w:id="160" w:name="_Toc9255"/>
            <w:bookmarkStart w:id="161" w:name="_Toc22091"/>
            <w:bookmarkStart w:id="162" w:name="_Toc14702"/>
            <w:bookmarkStart w:id="163" w:name="_Toc9283"/>
            <w:bookmarkStart w:id="164" w:name="_Toc25994"/>
            <w:bookmarkStart w:id="165" w:name="_Toc20845"/>
            <w:bookmarkStart w:id="166" w:name="_Toc32439"/>
            <w:bookmarkStart w:id="167" w:name="_Toc79579468"/>
            <w:bookmarkStart w:id="168" w:name="_Toc13145"/>
            <w:bookmarkStart w:id="169" w:name="_Toc4506"/>
            <w:bookmarkStart w:id="170" w:name="_Toc1046"/>
            <w:bookmarkStart w:id="171" w:name="_Toc25724"/>
            <w:r>
              <w:rPr>
                <w:rFonts w:hint="eastAsia" w:ascii="宋体" w:hAnsi="宋体" w:eastAsia="宋体" w:cs="宋体"/>
                <w:b/>
                <w:bCs/>
                <w:szCs w:val="21"/>
                <w:highlight w:val="none"/>
              </w:rPr>
              <w:t>结  论</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tc>
        <w:tc>
          <w:tcPr>
            <w:tcW w:w="4902" w:type="dxa"/>
            <w:vAlign w:val="center"/>
          </w:tcPr>
          <w:p>
            <w:pPr>
              <w:jc w:val="center"/>
              <w:outlineLvl w:val="1"/>
              <w:rPr>
                <w:rFonts w:hint="eastAsia" w:ascii="宋体" w:hAnsi="宋体" w:eastAsia="宋体" w:cs="宋体"/>
                <w:b/>
                <w:bCs/>
                <w:szCs w:val="21"/>
                <w:highlight w:val="none"/>
              </w:rPr>
            </w:pPr>
            <w:bookmarkStart w:id="172" w:name="_Toc27839"/>
            <w:bookmarkStart w:id="173" w:name="_Toc15485"/>
            <w:bookmarkStart w:id="174" w:name="_Toc23795"/>
            <w:bookmarkStart w:id="175" w:name="_Toc30991"/>
            <w:bookmarkStart w:id="176" w:name="_Toc29905"/>
            <w:bookmarkStart w:id="177" w:name="_Toc79579469"/>
            <w:bookmarkStart w:id="178" w:name="_Toc23350"/>
            <w:bookmarkStart w:id="179" w:name="_Toc2716"/>
            <w:bookmarkStart w:id="180" w:name="_Toc28383"/>
            <w:bookmarkStart w:id="181" w:name="_Toc28708"/>
            <w:bookmarkStart w:id="182" w:name="_Toc10522"/>
            <w:bookmarkStart w:id="183" w:name="_Toc22873"/>
            <w:bookmarkStart w:id="184" w:name="_Toc8703"/>
            <w:bookmarkStart w:id="185" w:name="_Toc15225"/>
            <w:bookmarkStart w:id="186" w:name="_Toc16879"/>
            <w:r>
              <w:rPr>
                <w:rFonts w:hint="eastAsia" w:ascii="宋体" w:hAnsi="宋体" w:eastAsia="宋体" w:cs="宋体"/>
                <w:b/>
                <w:bCs/>
                <w:szCs w:val="21"/>
                <w:highlight w:val="none"/>
              </w:rPr>
              <w:t>是否通过符合性审查</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tc>
        <w:tc>
          <w:tcPr>
            <w:tcW w:w="1316" w:type="dxa"/>
            <w:vAlign w:val="center"/>
          </w:tcPr>
          <w:p>
            <w:pPr>
              <w:rPr>
                <w:rFonts w:hint="eastAsia" w:ascii="宋体" w:hAnsi="宋体" w:eastAsia="宋体" w:cs="宋体"/>
                <w:b/>
                <w:bCs/>
                <w:szCs w:val="21"/>
                <w:highlight w:val="none"/>
              </w:rPr>
            </w:pPr>
          </w:p>
        </w:tc>
      </w:tr>
    </w:tbl>
    <w:p>
      <w:pPr>
        <w:pStyle w:val="4"/>
        <w:numPr>
          <w:ilvl w:val="2"/>
          <w:numId w:val="0"/>
        </w:numPr>
        <w:spacing w:line="4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1.符合性审查</w:t>
      </w:r>
    </w:p>
    <w:p>
      <w:pPr>
        <w:pStyle w:val="4"/>
        <w:numPr>
          <w:ilvl w:val="2"/>
          <w:numId w:val="0"/>
        </w:numPr>
        <w:spacing w:line="400" w:lineRule="exact"/>
        <w:ind w:firstLine="420" w:firstLineChars="200"/>
        <w:rPr>
          <w:rFonts w:hint="eastAsia" w:ascii="宋体" w:hAnsi="宋体" w:eastAsia="宋体" w:cs="宋体"/>
          <w:bCs/>
          <w:sz w:val="21"/>
          <w:szCs w:val="21"/>
          <w:highlight w:val="none"/>
        </w:rPr>
      </w:pPr>
      <w:r>
        <w:rPr>
          <w:rFonts w:hint="eastAsia" w:ascii="宋体" w:hAnsi="宋体" w:eastAsia="宋体" w:cs="宋体"/>
          <w:b w:val="0"/>
          <w:bCs/>
          <w:sz w:val="21"/>
          <w:szCs w:val="21"/>
          <w:highlight w:val="none"/>
        </w:rPr>
        <w:t>资格审查结束后，评标委员会依法对供应商的符合性进行审查。</w:t>
      </w:r>
    </w:p>
    <w:p>
      <w:pPr>
        <w:pStyle w:val="4"/>
        <w:numPr>
          <w:ilvl w:val="2"/>
          <w:numId w:val="0"/>
        </w:numPr>
        <w:spacing w:line="4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2.符合性审查标准</w:t>
      </w:r>
    </w:p>
    <w:p>
      <w:pPr>
        <w:pStyle w:val="4"/>
        <w:numPr>
          <w:ilvl w:val="2"/>
          <w:numId w:val="0"/>
        </w:numPr>
        <w:spacing w:line="400" w:lineRule="exact"/>
        <w:ind w:firstLine="420" w:firstLineChars="200"/>
        <w:rPr>
          <w:rFonts w:hint="eastAsia" w:ascii="宋体" w:hAnsi="宋体" w:eastAsia="宋体" w:cs="宋体"/>
          <w:bCs/>
          <w:sz w:val="21"/>
          <w:szCs w:val="21"/>
          <w:highlight w:val="none"/>
        </w:rPr>
      </w:pPr>
      <w:r>
        <w:rPr>
          <w:rFonts w:hint="eastAsia" w:ascii="宋体" w:hAnsi="宋体" w:eastAsia="宋体" w:cs="宋体"/>
          <w:b w:val="0"/>
          <w:bCs/>
          <w:sz w:val="21"/>
          <w:szCs w:val="21"/>
          <w:highlight w:val="none"/>
        </w:rPr>
        <w:t>资格审查标准：见“评标办法前附表”前附表。</w:t>
      </w:r>
    </w:p>
    <w:p>
      <w:pPr>
        <w:pStyle w:val="4"/>
        <w:numPr>
          <w:ilvl w:val="2"/>
          <w:numId w:val="0"/>
        </w:numPr>
        <w:spacing w:line="40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3.符合性审查程序</w:t>
      </w:r>
      <w:bookmarkStart w:id="187" w:name="_Toc31245"/>
    </w:p>
    <w:p>
      <w:pPr>
        <w:pStyle w:val="4"/>
        <w:numPr>
          <w:ilvl w:val="2"/>
          <w:numId w:val="0"/>
        </w:numPr>
        <w:spacing w:line="400" w:lineRule="exact"/>
        <w:ind w:firstLine="412" w:firstLineChars="200"/>
        <w:rPr>
          <w:rFonts w:hint="eastAsia" w:ascii="宋体" w:hAnsi="宋体" w:eastAsia="宋体" w:cs="宋体"/>
          <w:bCs/>
          <w:sz w:val="21"/>
          <w:szCs w:val="21"/>
          <w:highlight w:val="none"/>
        </w:rPr>
      </w:pPr>
      <w:r>
        <w:rPr>
          <w:rFonts w:hint="eastAsia" w:ascii="宋体" w:hAnsi="宋体" w:eastAsia="宋体" w:cs="宋体"/>
          <w:b w:val="0"/>
          <w:bCs/>
          <w:spacing w:val="-2"/>
          <w:sz w:val="21"/>
          <w:szCs w:val="21"/>
          <w:highlight w:val="none"/>
        </w:rPr>
        <w:t>评标委员会依</w:t>
      </w:r>
      <w:r>
        <w:rPr>
          <w:rFonts w:hint="eastAsia" w:ascii="宋体" w:hAnsi="宋体" w:eastAsia="宋体" w:cs="宋体"/>
          <w:b w:val="0"/>
          <w:bCs/>
          <w:sz w:val="21"/>
          <w:szCs w:val="21"/>
          <w:highlight w:val="none"/>
        </w:rPr>
        <w:t>据“评标办法前附表”中2.1.1的</w:t>
      </w:r>
      <w:r>
        <w:rPr>
          <w:rFonts w:hint="eastAsia" w:ascii="宋体" w:hAnsi="宋体" w:eastAsia="宋体" w:cs="宋体"/>
          <w:b w:val="0"/>
          <w:bCs/>
          <w:spacing w:val="-2"/>
          <w:sz w:val="21"/>
          <w:szCs w:val="21"/>
          <w:highlight w:val="none"/>
        </w:rPr>
        <w:t>标</w:t>
      </w:r>
      <w:r>
        <w:rPr>
          <w:rFonts w:hint="eastAsia" w:ascii="宋体" w:hAnsi="宋体" w:eastAsia="宋体" w:cs="宋体"/>
          <w:b w:val="0"/>
          <w:bCs/>
          <w:sz w:val="21"/>
          <w:szCs w:val="21"/>
          <w:highlight w:val="none"/>
        </w:rPr>
        <w:t>准对</w:t>
      </w:r>
      <w:r>
        <w:rPr>
          <w:rFonts w:hint="eastAsia" w:ascii="宋体" w:hAnsi="宋体" w:eastAsia="宋体" w:cs="宋体"/>
          <w:b w:val="0"/>
          <w:bCs/>
          <w:spacing w:val="-2"/>
          <w:sz w:val="21"/>
          <w:szCs w:val="21"/>
          <w:highlight w:val="none"/>
        </w:rPr>
        <w:t>投</w:t>
      </w:r>
      <w:r>
        <w:rPr>
          <w:rFonts w:hint="eastAsia" w:ascii="宋体" w:hAnsi="宋体" w:eastAsia="宋体" w:cs="宋体"/>
          <w:b w:val="0"/>
          <w:bCs/>
          <w:sz w:val="21"/>
          <w:szCs w:val="21"/>
          <w:highlight w:val="none"/>
        </w:rPr>
        <w:t>标</w:t>
      </w:r>
      <w:r>
        <w:rPr>
          <w:rFonts w:hint="eastAsia" w:ascii="宋体" w:hAnsi="宋体" w:eastAsia="宋体" w:cs="宋体"/>
          <w:b w:val="0"/>
          <w:bCs/>
          <w:spacing w:val="-2"/>
          <w:sz w:val="21"/>
          <w:szCs w:val="21"/>
          <w:highlight w:val="none"/>
        </w:rPr>
        <w:t>文</w:t>
      </w:r>
      <w:r>
        <w:rPr>
          <w:rFonts w:hint="eastAsia" w:ascii="宋体" w:hAnsi="宋体" w:eastAsia="宋体" w:cs="宋体"/>
          <w:b w:val="0"/>
          <w:bCs/>
          <w:sz w:val="21"/>
          <w:szCs w:val="21"/>
          <w:highlight w:val="none"/>
        </w:rPr>
        <w:t>件</w:t>
      </w:r>
      <w:r>
        <w:rPr>
          <w:rFonts w:hint="eastAsia" w:ascii="宋体" w:hAnsi="宋体" w:eastAsia="宋体" w:cs="宋体"/>
          <w:b w:val="0"/>
          <w:bCs/>
          <w:spacing w:val="-2"/>
          <w:sz w:val="21"/>
          <w:szCs w:val="21"/>
          <w:highlight w:val="none"/>
        </w:rPr>
        <w:t>进</w:t>
      </w:r>
      <w:r>
        <w:rPr>
          <w:rFonts w:hint="eastAsia" w:ascii="宋体" w:hAnsi="宋体" w:eastAsia="宋体" w:cs="宋体"/>
          <w:b w:val="0"/>
          <w:bCs/>
          <w:sz w:val="21"/>
          <w:szCs w:val="21"/>
          <w:highlight w:val="none"/>
        </w:rPr>
        <w:t>行</w:t>
      </w:r>
      <w:r>
        <w:rPr>
          <w:rFonts w:hint="eastAsia" w:ascii="宋体" w:hAnsi="宋体" w:eastAsia="宋体" w:cs="宋体"/>
          <w:b w:val="0"/>
          <w:bCs/>
          <w:spacing w:val="-2"/>
          <w:sz w:val="21"/>
          <w:szCs w:val="21"/>
          <w:highlight w:val="none"/>
        </w:rPr>
        <w:t>符合性</w:t>
      </w:r>
      <w:r>
        <w:rPr>
          <w:rFonts w:hint="eastAsia" w:ascii="宋体" w:hAnsi="宋体" w:eastAsia="宋体" w:cs="宋体"/>
          <w:b w:val="0"/>
          <w:bCs/>
          <w:sz w:val="21"/>
          <w:szCs w:val="21"/>
          <w:highlight w:val="none"/>
        </w:rPr>
        <w:t>审查，未通过符合性审查的，其投标无效，将不进行详细评审。</w:t>
      </w:r>
      <w:r>
        <w:rPr>
          <w:rFonts w:hint="eastAsia" w:ascii="宋体" w:hAnsi="宋体" w:eastAsia="宋体" w:cs="宋体"/>
          <w:b w:val="0"/>
          <w:sz w:val="21"/>
          <w:szCs w:val="21"/>
          <w:highlight w:val="none"/>
        </w:rPr>
        <w:br w:type="page"/>
      </w:r>
      <w:bookmarkEnd w:id="154"/>
      <w:bookmarkEnd w:id="155"/>
      <w:bookmarkEnd w:id="156"/>
      <w:bookmarkEnd w:id="187"/>
    </w:p>
    <w:p>
      <w:pPr>
        <w:pStyle w:val="2"/>
        <w:numPr>
          <w:ilvl w:val="0"/>
          <w:numId w:val="3"/>
        </w:numPr>
        <w:jc w:val="center"/>
        <w:rPr>
          <w:rFonts w:hint="eastAsia" w:ascii="宋体" w:hAnsi="宋体" w:eastAsia="宋体" w:cs="宋体"/>
          <w:b/>
          <w:sz w:val="28"/>
          <w:szCs w:val="28"/>
          <w:highlight w:val="none"/>
        </w:rPr>
      </w:pPr>
      <w:bookmarkStart w:id="188" w:name="_Toc6643"/>
      <w:bookmarkStart w:id="189" w:name="_Toc19327"/>
      <w:r>
        <w:rPr>
          <w:rFonts w:hint="eastAsia" w:ascii="宋体" w:hAnsi="宋体" w:eastAsia="宋体" w:cs="宋体"/>
          <w:b/>
          <w:sz w:val="28"/>
          <w:szCs w:val="28"/>
          <w:highlight w:val="none"/>
        </w:rPr>
        <w:t xml:space="preserve"> 评标办法（综合评分法）</w:t>
      </w:r>
      <w:bookmarkEnd w:id="188"/>
      <w:bookmarkEnd w:id="189"/>
      <w:bookmarkStart w:id="190" w:name="_Toc18047"/>
      <w:bookmarkStart w:id="191" w:name="_Toc345178458"/>
    </w:p>
    <w:p>
      <w:pPr>
        <w:numPr>
          <w:ilvl w:val="0"/>
          <w:numId w:val="3"/>
        </w:numPr>
        <w:rPr>
          <w:rFonts w:hint="eastAsia"/>
          <w:highlight w:val="none"/>
        </w:rPr>
      </w:pPr>
    </w:p>
    <w:bookmarkEnd w:id="190"/>
    <w:bookmarkEnd w:id="191"/>
    <w:tbl>
      <w:tblPr>
        <w:tblStyle w:val="34"/>
        <w:tblpPr w:leftFromText="180" w:rightFromText="180" w:vertAnchor="text" w:horzAnchor="page" w:tblpX="1078" w:tblpY="243"/>
        <w:tblOverlap w:val="never"/>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0"/>
        <w:gridCol w:w="1179"/>
        <w:gridCol w:w="1383"/>
        <w:gridCol w:w="5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1380" w:type="dxa"/>
            <w:noWrap w:val="0"/>
            <w:vAlign w:val="center"/>
          </w:tcPr>
          <w:p>
            <w:pPr>
              <w:spacing w:line="360" w:lineRule="exact"/>
              <w:ind w:left="0" w:leftChars="0" w:right="0" w:rightChars="0"/>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条款号</w:t>
            </w:r>
          </w:p>
        </w:tc>
        <w:tc>
          <w:tcPr>
            <w:tcW w:w="2562" w:type="dxa"/>
            <w:gridSpan w:val="2"/>
            <w:noWrap w:val="0"/>
            <w:vAlign w:val="center"/>
          </w:tcPr>
          <w:p>
            <w:pPr>
              <w:spacing w:line="360" w:lineRule="exact"/>
              <w:ind w:left="0" w:leftChars="0" w:right="0" w:rightChars="0"/>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条款内容</w:t>
            </w:r>
          </w:p>
        </w:tc>
        <w:tc>
          <w:tcPr>
            <w:tcW w:w="5336" w:type="dxa"/>
            <w:noWrap w:val="0"/>
            <w:vAlign w:val="center"/>
          </w:tcPr>
          <w:p>
            <w:pPr>
              <w:spacing w:line="360" w:lineRule="exact"/>
              <w:ind w:left="0" w:leftChars="0" w:right="0" w:rightChars="0"/>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1380" w:type="dxa"/>
            <w:noWrap w:val="0"/>
            <w:vAlign w:val="center"/>
          </w:tcPr>
          <w:p>
            <w:pPr>
              <w:widowControl/>
              <w:spacing w:line="288" w:lineRule="auto"/>
              <w:ind w:left="0" w:leftChars="0" w:right="0" w:right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p>
        </w:tc>
        <w:tc>
          <w:tcPr>
            <w:tcW w:w="2562" w:type="dxa"/>
            <w:gridSpan w:val="2"/>
            <w:noWrap w:val="0"/>
            <w:vAlign w:val="center"/>
          </w:tcPr>
          <w:p>
            <w:pPr>
              <w:spacing w:line="288" w:lineRule="auto"/>
              <w:ind w:left="105" w:leftChars="50" w:right="105" w:right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分值组成</w:t>
            </w:r>
          </w:p>
          <w:p>
            <w:pPr>
              <w:spacing w:line="288" w:lineRule="auto"/>
              <w:ind w:left="105" w:leftChars="50" w:right="105" w:right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（100分）</w:t>
            </w:r>
          </w:p>
        </w:tc>
        <w:tc>
          <w:tcPr>
            <w:tcW w:w="5336" w:type="dxa"/>
            <w:noWrap w:val="0"/>
            <w:vAlign w:val="center"/>
          </w:tcPr>
          <w:p>
            <w:pPr>
              <w:spacing w:line="288" w:lineRule="auto"/>
              <w:ind w:left="21" w:leftChars="10" w:right="21" w:rightChars="1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报价</w:t>
            </w:r>
            <w:r>
              <w:rPr>
                <w:rFonts w:hint="eastAsia" w:ascii="宋体" w:hAnsi="宋体" w:eastAsia="宋体" w:cs="宋体"/>
                <w:sz w:val="21"/>
                <w:szCs w:val="21"/>
                <w:highlight w:val="none"/>
                <w:lang w:val="en-US" w:eastAsia="zh-CN"/>
              </w:rPr>
              <w:t>部分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w:t>
            </w:r>
          </w:p>
          <w:p>
            <w:pPr>
              <w:spacing w:line="288" w:lineRule="auto"/>
              <w:ind w:left="21" w:leftChars="10" w:right="21" w:rightChars="10"/>
              <w:rPr>
                <w:rFonts w:hint="eastAsia" w:ascii="宋体" w:hAnsi="宋体" w:eastAsia="宋体" w:cs="宋体"/>
                <w:sz w:val="21"/>
                <w:szCs w:val="21"/>
                <w:highlight w:val="none"/>
              </w:rPr>
            </w:pPr>
            <w:r>
              <w:rPr>
                <w:rFonts w:hint="eastAsia" w:ascii="宋体" w:hAnsi="宋体" w:eastAsia="宋体" w:cs="宋体"/>
                <w:sz w:val="21"/>
                <w:szCs w:val="21"/>
                <w:highlight w:val="none"/>
              </w:rPr>
              <w:t>技术部分：</w:t>
            </w:r>
            <w:r>
              <w:rPr>
                <w:rFonts w:hint="eastAsia" w:ascii="宋体" w:hAnsi="宋体" w:eastAsia="宋体" w:cs="宋体"/>
                <w:sz w:val="21"/>
                <w:szCs w:val="21"/>
                <w:highlight w:val="none"/>
                <w:lang w:val="en-US" w:eastAsia="zh-CN"/>
              </w:rPr>
              <w:t>40</w:t>
            </w:r>
            <w:r>
              <w:rPr>
                <w:rFonts w:hint="eastAsia" w:ascii="宋体" w:hAnsi="宋体" w:eastAsia="宋体" w:cs="宋体"/>
                <w:sz w:val="21"/>
                <w:szCs w:val="21"/>
                <w:highlight w:val="none"/>
              </w:rPr>
              <w:t>分</w:t>
            </w:r>
          </w:p>
          <w:p>
            <w:pPr>
              <w:spacing w:line="288" w:lineRule="auto"/>
              <w:ind w:left="21" w:leftChars="10" w:right="21" w:rightChars="1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综合</w:t>
            </w:r>
            <w:r>
              <w:rPr>
                <w:rFonts w:hint="eastAsia" w:ascii="宋体" w:hAnsi="宋体" w:eastAsia="宋体" w:cs="宋体"/>
                <w:sz w:val="21"/>
                <w:szCs w:val="21"/>
                <w:highlight w:val="none"/>
              </w:rPr>
              <w:t>部分：</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1380" w:type="dxa"/>
            <w:noWrap w:val="0"/>
            <w:vAlign w:val="center"/>
          </w:tcPr>
          <w:p>
            <w:pPr>
              <w:keepNext w:val="0"/>
              <w:keepLines w:val="0"/>
              <w:pageBreakBefore w:val="0"/>
              <w:widowControl w:val="0"/>
              <w:kinsoku/>
              <w:wordWrap/>
              <w:overflowPunct/>
              <w:topLinePunct/>
              <w:autoSpaceDE/>
              <w:autoSpaceDN/>
              <w:bidi w:val="0"/>
              <w:adjustRightInd w:val="0"/>
              <w:snapToGrid w:val="0"/>
              <w:spacing w:line="440" w:lineRule="exact"/>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b/>
                <w:bCs/>
                <w:snapToGrid w:val="0"/>
                <w:kern w:val="0"/>
                <w:sz w:val="21"/>
                <w:szCs w:val="21"/>
                <w:highlight w:val="none"/>
              </w:rPr>
              <w:t>评分项</w:t>
            </w:r>
          </w:p>
        </w:tc>
        <w:tc>
          <w:tcPr>
            <w:tcW w:w="1179" w:type="dxa"/>
            <w:noWrap w:val="0"/>
            <w:vAlign w:val="center"/>
          </w:tcPr>
          <w:p>
            <w:pPr>
              <w:keepNext w:val="0"/>
              <w:keepLines w:val="0"/>
              <w:pageBreakBefore w:val="0"/>
              <w:widowControl w:val="0"/>
              <w:kinsoku/>
              <w:wordWrap/>
              <w:overflowPunct/>
              <w:topLinePunct/>
              <w:autoSpaceDE/>
              <w:autoSpaceDN/>
              <w:bidi w:val="0"/>
              <w:adjustRightInd w:val="0"/>
              <w:snapToGrid w:val="0"/>
              <w:spacing w:line="440" w:lineRule="exact"/>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b/>
                <w:bCs/>
                <w:kern w:val="0"/>
                <w:sz w:val="21"/>
                <w:szCs w:val="21"/>
                <w:highlight w:val="none"/>
              </w:rPr>
              <w:t>评分内容</w:t>
            </w:r>
          </w:p>
        </w:tc>
        <w:tc>
          <w:tcPr>
            <w:tcW w:w="1383" w:type="dxa"/>
            <w:noWrap w:val="0"/>
            <w:vAlign w:val="center"/>
          </w:tcPr>
          <w:p>
            <w:pPr>
              <w:keepNext w:val="0"/>
              <w:keepLines w:val="0"/>
              <w:pageBreakBefore w:val="0"/>
              <w:widowControl w:val="0"/>
              <w:kinsoku/>
              <w:wordWrap/>
              <w:overflowPunct/>
              <w:topLinePunct/>
              <w:autoSpaceDE/>
              <w:autoSpaceDN/>
              <w:bidi w:val="0"/>
              <w:adjustRightInd w:val="0"/>
              <w:snapToGrid w:val="0"/>
              <w:spacing w:line="440" w:lineRule="exact"/>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b/>
                <w:bCs/>
                <w:snapToGrid w:val="0"/>
                <w:kern w:val="0"/>
                <w:sz w:val="21"/>
                <w:szCs w:val="21"/>
                <w:highlight w:val="none"/>
              </w:rPr>
              <w:t>得分</w:t>
            </w:r>
          </w:p>
        </w:tc>
        <w:tc>
          <w:tcPr>
            <w:tcW w:w="5336" w:type="dxa"/>
            <w:noWrap w:val="0"/>
            <w:vAlign w:val="center"/>
          </w:tcPr>
          <w:p>
            <w:pPr>
              <w:keepNext w:val="0"/>
              <w:keepLines w:val="0"/>
              <w:pageBreakBefore w:val="0"/>
              <w:widowControl w:val="0"/>
              <w:kinsoku/>
              <w:wordWrap/>
              <w:overflowPunct/>
              <w:topLinePunct/>
              <w:autoSpaceDE/>
              <w:autoSpaceDN/>
              <w:bidi w:val="0"/>
              <w:adjustRightInd w:val="0"/>
              <w:snapToGrid w:val="0"/>
              <w:spacing w:line="440" w:lineRule="exact"/>
              <w:ind w:left="0" w:leftChars="0" w:right="0" w:rightChars="0"/>
              <w:jc w:val="center"/>
              <w:textAlignment w:val="auto"/>
              <w:rPr>
                <w:rFonts w:hint="eastAsia" w:ascii="宋体" w:hAnsi="宋体" w:eastAsia="宋体" w:cs="宋体"/>
                <w:sz w:val="21"/>
                <w:szCs w:val="21"/>
                <w:highlight w:val="none"/>
              </w:rPr>
            </w:pPr>
            <w:r>
              <w:rPr>
                <w:rFonts w:hint="eastAsia" w:ascii="宋体" w:hAnsi="宋体" w:eastAsia="宋体" w:cs="宋体"/>
                <w:b/>
                <w:bCs/>
                <w:snapToGrid w:val="0"/>
                <w:kern w:val="0"/>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1380" w:type="dxa"/>
            <w:noWrap w:val="0"/>
            <w:vAlign w:val="center"/>
          </w:tcPr>
          <w:p>
            <w:pPr>
              <w:spacing w:line="288" w:lineRule="auto"/>
              <w:ind w:left="21" w:leftChars="10"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w:t>
            </w:r>
            <w:r>
              <w:rPr>
                <w:rFonts w:hint="eastAsia" w:ascii="宋体" w:hAnsi="宋体" w:eastAsia="宋体" w:cs="宋体"/>
                <w:sz w:val="21"/>
                <w:szCs w:val="21"/>
                <w:highlight w:val="none"/>
                <w:lang w:val="en-US" w:eastAsia="zh-CN"/>
              </w:rPr>
              <w:t>部分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w:t>
            </w:r>
          </w:p>
        </w:tc>
        <w:tc>
          <w:tcPr>
            <w:tcW w:w="1179" w:type="dxa"/>
            <w:noWrap w:val="0"/>
            <w:vAlign w:val="center"/>
          </w:tcPr>
          <w:p>
            <w:pPr>
              <w:spacing w:line="288" w:lineRule="auto"/>
              <w:ind w:left="21" w:leftChars="10"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报价得分</w:t>
            </w:r>
          </w:p>
        </w:tc>
        <w:tc>
          <w:tcPr>
            <w:tcW w:w="1383" w:type="dxa"/>
            <w:noWrap w:val="0"/>
            <w:vAlign w:val="center"/>
          </w:tcPr>
          <w:p>
            <w:pPr>
              <w:spacing w:line="288" w:lineRule="auto"/>
              <w:ind w:left="21" w:leftChars="10"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30分</w:t>
            </w:r>
          </w:p>
        </w:tc>
        <w:tc>
          <w:tcPr>
            <w:tcW w:w="5336" w:type="dxa"/>
            <w:noWrap w:val="0"/>
            <w:vAlign w:val="center"/>
          </w:tcPr>
          <w:p>
            <w:pPr>
              <w:spacing w:line="288" w:lineRule="auto"/>
              <w:ind w:left="21" w:leftChars="10" w:right="21" w:rightChars="10"/>
              <w:rPr>
                <w:rFonts w:hint="eastAsia" w:ascii="宋体" w:hAnsi="宋体" w:eastAsia="宋体" w:cs="宋体"/>
                <w:sz w:val="21"/>
                <w:szCs w:val="21"/>
                <w:highlight w:val="none"/>
              </w:rPr>
            </w:pPr>
            <w:r>
              <w:rPr>
                <w:rFonts w:hint="eastAsia" w:ascii="宋体" w:hAnsi="宋体" w:eastAsia="宋体" w:cs="宋体"/>
                <w:sz w:val="21"/>
                <w:szCs w:val="21"/>
                <w:highlight w:val="none"/>
              </w:rPr>
              <w:t>实质性满足招标文件要求且投标价格最低的投标评审价为评标基准价，其价格分为满分。</w:t>
            </w:r>
          </w:p>
          <w:p>
            <w:pPr>
              <w:spacing w:line="360" w:lineRule="exact"/>
              <w:ind w:right="105" w:rightChars="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b w:val="0"/>
                <w:bCs/>
                <w:highlight w:val="none"/>
                <w:lang w:val="en-US" w:eastAsia="zh-CN"/>
              </w:rPr>
              <w:t>本项目为专门面向中小企业采购，价格不予扣除。</w:t>
            </w:r>
          </w:p>
          <w:p>
            <w:pPr>
              <w:spacing w:line="360" w:lineRule="exact"/>
              <w:ind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）价格分采用低价优先法计算：</w:t>
            </w:r>
          </w:p>
          <w:p>
            <w:pPr>
              <w:spacing w:line="360" w:lineRule="exact"/>
              <w:ind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报价得分=（评标基准价/评标报价）×</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×100%</w:t>
            </w:r>
          </w:p>
          <w:p>
            <w:pPr>
              <w:spacing w:line="360" w:lineRule="exact"/>
              <w:ind w:right="105"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最终得分计算保留小数点后两位。</w:t>
            </w:r>
          </w:p>
          <w:p>
            <w:pPr>
              <w:spacing w:line="288" w:lineRule="auto"/>
              <w:ind w:left="21" w:leftChars="10" w:right="21" w:rightChars="10"/>
              <w:rPr>
                <w:rFonts w:hint="eastAsia" w:ascii="宋体" w:hAnsi="宋体" w:eastAsia="宋体" w:cs="宋体"/>
                <w:sz w:val="21"/>
                <w:szCs w:val="21"/>
                <w:highlight w:val="none"/>
              </w:rPr>
            </w:pPr>
            <w:r>
              <w:rPr>
                <w:rFonts w:hint="eastAsia" w:ascii="宋体" w:hAnsi="宋体" w:eastAsia="宋体" w:cs="宋体"/>
                <w:color w:val="auto"/>
                <w:szCs w:val="21"/>
                <w:highlight w:val="none"/>
              </w:rPr>
              <w:t>投标供应商报价不得低于成本价：评标委员会认为投标供应商的报价明显低于其他通过初步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1380" w:type="dxa"/>
            <w:noWrap w:val="0"/>
            <w:vAlign w:val="center"/>
          </w:tcPr>
          <w:p>
            <w:pPr>
              <w:spacing w:line="288" w:lineRule="auto"/>
              <w:ind w:left="21" w:leftChars="10"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技术部分(</w:t>
            </w:r>
            <w:r>
              <w:rPr>
                <w:rFonts w:hint="eastAsia" w:ascii="宋体" w:hAnsi="宋体" w:eastAsia="宋体" w:cs="宋体"/>
                <w:sz w:val="21"/>
                <w:szCs w:val="21"/>
                <w:highlight w:val="none"/>
                <w:lang w:val="en-US" w:eastAsia="zh-CN"/>
              </w:rPr>
              <w:t>40</w:t>
            </w:r>
            <w:r>
              <w:rPr>
                <w:rFonts w:hint="eastAsia" w:ascii="宋体" w:hAnsi="宋体" w:eastAsia="宋体" w:cs="宋体"/>
                <w:sz w:val="21"/>
                <w:szCs w:val="21"/>
                <w:highlight w:val="none"/>
              </w:rPr>
              <w:t>分)</w:t>
            </w:r>
          </w:p>
        </w:tc>
        <w:tc>
          <w:tcPr>
            <w:tcW w:w="1179" w:type="dxa"/>
            <w:noWrap w:val="0"/>
            <w:vAlign w:val="center"/>
          </w:tcPr>
          <w:p>
            <w:pPr>
              <w:spacing w:line="288" w:lineRule="auto"/>
              <w:ind w:left="21" w:leftChars="10"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设备配置及技术指标</w:t>
            </w:r>
          </w:p>
        </w:tc>
        <w:tc>
          <w:tcPr>
            <w:tcW w:w="1383" w:type="dxa"/>
            <w:noWrap w:val="0"/>
            <w:vAlign w:val="center"/>
          </w:tcPr>
          <w:p>
            <w:pPr>
              <w:spacing w:line="288" w:lineRule="auto"/>
              <w:ind w:left="21" w:leftChars="10" w:right="21" w:rightChars="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40分</w:t>
            </w:r>
          </w:p>
        </w:tc>
        <w:tc>
          <w:tcPr>
            <w:tcW w:w="5336" w:type="dxa"/>
            <w:noWrap w:val="0"/>
            <w:vAlign w:val="center"/>
          </w:tcPr>
          <w:p>
            <w:pPr>
              <w:spacing w:line="288" w:lineRule="auto"/>
              <w:ind w:left="21" w:leftChars="10" w:right="21" w:rightChars="1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评标委员会根据投标文件对招标文件的响应情况，对照判断所投设备是否满足</w:t>
            </w:r>
            <w:r>
              <w:rPr>
                <w:rFonts w:hint="eastAsia" w:ascii="宋体" w:hAnsi="宋体" w:eastAsia="宋体" w:cs="宋体"/>
                <w:sz w:val="21"/>
                <w:szCs w:val="21"/>
                <w:highlight w:val="none"/>
                <w:lang w:eastAsia="zh-CN"/>
              </w:rPr>
              <w:t>“第</w:t>
            </w:r>
            <w:r>
              <w:rPr>
                <w:rFonts w:hint="eastAsia" w:ascii="宋体" w:hAnsi="宋体" w:eastAsia="宋体" w:cs="宋体"/>
                <w:sz w:val="21"/>
                <w:szCs w:val="21"/>
                <w:highlight w:val="none"/>
                <w:lang w:val="en-US" w:eastAsia="zh-CN"/>
              </w:rPr>
              <w:t>七</w:t>
            </w:r>
            <w:r>
              <w:rPr>
                <w:rFonts w:hint="eastAsia" w:ascii="宋体" w:hAnsi="宋体" w:eastAsia="宋体" w:cs="宋体"/>
                <w:sz w:val="21"/>
                <w:szCs w:val="21"/>
                <w:highlight w:val="none"/>
                <w:lang w:eastAsia="zh-CN"/>
              </w:rPr>
              <w:t>章货物需求及技术要求”</w:t>
            </w:r>
            <w:r>
              <w:rPr>
                <w:rFonts w:hint="eastAsia" w:ascii="宋体" w:hAnsi="宋体" w:eastAsia="宋体" w:cs="宋体"/>
                <w:sz w:val="21"/>
                <w:szCs w:val="21"/>
                <w:highlight w:val="none"/>
                <w:lang w:val="en-US" w:eastAsia="zh-CN"/>
              </w:rPr>
              <w:t>中的“三、技术参数及要求”</w:t>
            </w:r>
            <w:r>
              <w:rPr>
                <w:rFonts w:hint="eastAsia" w:ascii="宋体" w:hAnsi="宋体" w:eastAsia="宋体" w:cs="宋体"/>
                <w:sz w:val="21"/>
                <w:szCs w:val="21"/>
                <w:highlight w:val="none"/>
              </w:rPr>
              <w:t>招标的要求</w:t>
            </w:r>
            <w:r>
              <w:rPr>
                <w:rFonts w:hint="eastAsia" w:ascii="宋体" w:hAnsi="宋体" w:eastAsia="宋体" w:cs="宋体"/>
                <w:sz w:val="21"/>
                <w:szCs w:val="21"/>
                <w:highlight w:val="none"/>
                <w:lang w:eastAsia="zh-CN"/>
              </w:rPr>
              <w:t>。</w:t>
            </w:r>
          </w:p>
          <w:p>
            <w:pPr>
              <w:spacing w:line="288" w:lineRule="auto"/>
              <w:ind w:left="21" w:leftChars="10"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全部参数满足招标文件要求的得</w:t>
            </w:r>
            <w:r>
              <w:rPr>
                <w:rFonts w:hint="eastAsia" w:ascii="宋体" w:hAnsi="宋体" w:eastAsia="宋体" w:cs="宋体"/>
                <w:sz w:val="21"/>
                <w:szCs w:val="21"/>
                <w:highlight w:val="none"/>
                <w:lang w:val="en-US" w:eastAsia="zh-CN"/>
              </w:rPr>
              <w:t>40</w:t>
            </w:r>
            <w:r>
              <w:rPr>
                <w:rFonts w:hint="eastAsia" w:ascii="宋体" w:hAnsi="宋体" w:eastAsia="宋体" w:cs="宋体"/>
                <w:sz w:val="21"/>
                <w:szCs w:val="21"/>
                <w:highlight w:val="none"/>
              </w:rPr>
              <w:t>分；</w:t>
            </w:r>
          </w:p>
          <w:p>
            <w:pPr>
              <w:spacing w:line="288" w:lineRule="auto"/>
              <w:ind w:left="21" w:leftChars="10" w:right="21" w:rightChars="10"/>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号的技术参数及功能要求每有一项不满足的扣</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扣完为止</w:t>
            </w:r>
            <w:r>
              <w:rPr>
                <w:rFonts w:hint="eastAsia" w:ascii="宋体" w:hAnsi="宋体" w:cs="宋体"/>
                <w:sz w:val="21"/>
                <w:szCs w:val="21"/>
                <w:highlight w:val="none"/>
                <w:lang w:eastAsia="zh-CN"/>
              </w:rPr>
              <w:t>；</w:t>
            </w:r>
          </w:p>
          <w:p>
            <w:pPr>
              <w:spacing w:line="288" w:lineRule="auto"/>
              <w:ind w:left="21" w:leftChars="10" w:right="21" w:rightChars="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非</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号的技术参数及功能要求每有一项不满足的扣</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380" w:type="dxa"/>
            <w:vMerge w:val="restart"/>
            <w:noWrap w:val="0"/>
            <w:vAlign w:val="center"/>
          </w:tcPr>
          <w:p>
            <w:pPr>
              <w:spacing w:line="288" w:lineRule="auto"/>
              <w:ind w:left="21" w:leftChars="10" w:right="21" w:rightChars="10"/>
              <w:jc w:val="center"/>
              <w:rPr>
                <w:rFonts w:hint="eastAsia" w:ascii="宋体" w:hAnsi="宋体" w:eastAsia="宋体" w:cs="宋体"/>
                <w:sz w:val="21"/>
                <w:szCs w:val="21"/>
                <w:highlight w:val="none"/>
              </w:rPr>
            </w:pPr>
          </w:p>
          <w:p>
            <w:pPr>
              <w:spacing w:line="288" w:lineRule="auto"/>
              <w:ind w:left="21" w:leftChars="10" w:right="21" w:rightChars="10"/>
              <w:jc w:val="center"/>
              <w:rPr>
                <w:rFonts w:hint="eastAsia" w:ascii="宋体" w:hAnsi="宋体" w:eastAsia="宋体" w:cs="宋体"/>
                <w:sz w:val="21"/>
                <w:szCs w:val="21"/>
                <w:highlight w:val="none"/>
              </w:rPr>
            </w:pPr>
          </w:p>
          <w:p>
            <w:pPr>
              <w:spacing w:line="288" w:lineRule="auto"/>
              <w:ind w:left="21" w:leftChars="10" w:right="21" w:rightChars="10"/>
              <w:jc w:val="center"/>
              <w:rPr>
                <w:rFonts w:hint="eastAsia" w:ascii="宋体" w:hAnsi="宋体" w:eastAsia="宋体" w:cs="宋体"/>
                <w:sz w:val="21"/>
                <w:szCs w:val="21"/>
                <w:highlight w:val="none"/>
              </w:rPr>
            </w:pPr>
          </w:p>
          <w:p>
            <w:pPr>
              <w:spacing w:line="288" w:lineRule="auto"/>
              <w:ind w:left="21" w:leftChars="10" w:right="21" w:rightChars="10"/>
              <w:jc w:val="center"/>
              <w:rPr>
                <w:rFonts w:hint="eastAsia" w:ascii="宋体" w:hAnsi="宋体" w:eastAsia="宋体" w:cs="宋体"/>
                <w:sz w:val="21"/>
                <w:szCs w:val="21"/>
                <w:highlight w:val="none"/>
              </w:rPr>
            </w:pPr>
          </w:p>
          <w:p>
            <w:pPr>
              <w:spacing w:line="288" w:lineRule="auto"/>
              <w:ind w:left="21" w:leftChars="10" w:right="21" w:rightChars="10"/>
              <w:jc w:val="center"/>
              <w:rPr>
                <w:rFonts w:hint="eastAsia" w:ascii="宋体" w:hAnsi="宋体" w:eastAsia="宋体" w:cs="宋体"/>
                <w:sz w:val="21"/>
                <w:szCs w:val="21"/>
                <w:highlight w:val="none"/>
              </w:rPr>
            </w:pPr>
          </w:p>
          <w:p>
            <w:pPr>
              <w:spacing w:line="288" w:lineRule="auto"/>
              <w:ind w:left="21" w:leftChars="10" w:right="21" w:rightChars="10"/>
              <w:jc w:val="center"/>
              <w:rPr>
                <w:rFonts w:hint="eastAsia" w:ascii="宋体" w:hAnsi="宋体" w:eastAsia="宋体" w:cs="宋体"/>
                <w:sz w:val="21"/>
                <w:szCs w:val="21"/>
                <w:highlight w:val="none"/>
              </w:rPr>
            </w:pPr>
          </w:p>
          <w:p>
            <w:pPr>
              <w:spacing w:line="288" w:lineRule="auto"/>
              <w:ind w:left="21" w:leftChars="10" w:right="21" w:rightChars="10"/>
              <w:jc w:val="center"/>
              <w:rPr>
                <w:rFonts w:hint="eastAsia" w:ascii="宋体" w:hAnsi="宋体" w:eastAsia="宋体" w:cs="宋体"/>
                <w:sz w:val="21"/>
                <w:szCs w:val="21"/>
                <w:highlight w:val="none"/>
              </w:rPr>
            </w:pPr>
          </w:p>
          <w:p>
            <w:pPr>
              <w:spacing w:line="288" w:lineRule="auto"/>
              <w:ind w:left="21" w:leftChars="10" w:right="21" w:rightChars="10"/>
              <w:jc w:val="center"/>
              <w:rPr>
                <w:rFonts w:hint="eastAsia" w:ascii="宋体" w:hAnsi="宋体" w:eastAsia="宋体" w:cs="宋体"/>
                <w:sz w:val="21"/>
                <w:szCs w:val="21"/>
                <w:highlight w:val="none"/>
              </w:rPr>
            </w:pPr>
          </w:p>
          <w:p>
            <w:pPr>
              <w:spacing w:line="288" w:lineRule="auto"/>
              <w:ind w:left="21" w:leftChars="10"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综合</w:t>
            </w:r>
            <w:r>
              <w:rPr>
                <w:rFonts w:hint="eastAsia" w:ascii="宋体" w:hAnsi="宋体" w:eastAsia="宋体" w:cs="宋体"/>
                <w:sz w:val="21"/>
                <w:szCs w:val="21"/>
                <w:highlight w:val="none"/>
              </w:rPr>
              <w:t>部分（</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w:t>
            </w:r>
          </w:p>
        </w:tc>
        <w:tc>
          <w:tcPr>
            <w:tcW w:w="1179" w:type="dxa"/>
            <w:noWrap w:val="0"/>
            <w:vAlign w:val="center"/>
          </w:tcPr>
          <w:p>
            <w:pPr>
              <w:spacing w:line="288" w:lineRule="auto"/>
              <w:ind w:left="21" w:leftChars="10"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合同业绩</w:t>
            </w:r>
          </w:p>
        </w:tc>
        <w:tc>
          <w:tcPr>
            <w:tcW w:w="1383" w:type="dxa"/>
            <w:noWrap w:val="0"/>
            <w:vAlign w:val="center"/>
          </w:tcPr>
          <w:p>
            <w:pPr>
              <w:spacing w:line="288" w:lineRule="auto"/>
              <w:ind w:left="21" w:leftChars="10" w:right="21" w:rightChars="1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分</w:t>
            </w:r>
          </w:p>
        </w:tc>
        <w:tc>
          <w:tcPr>
            <w:tcW w:w="5336" w:type="dxa"/>
            <w:noWrap w:val="0"/>
            <w:vAlign w:val="center"/>
          </w:tcPr>
          <w:p>
            <w:pPr>
              <w:spacing w:line="288" w:lineRule="auto"/>
              <w:ind w:left="21" w:leftChars="10" w:right="21" w:rightChars="10"/>
              <w:rPr>
                <w:rFonts w:hint="eastAsia" w:ascii="宋体" w:hAnsi="宋体" w:eastAsia="宋体" w:cs="宋体"/>
                <w:sz w:val="21"/>
                <w:szCs w:val="21"/>
                <w:highlight w:val="none"/>
              </w:rPr>
            </w:pPr>
            <w:r>
              <w:rPr>
                <w:rFonts w:hint="eastAsia" w:ascii="宋体" w:hAnsi="宋体" w:eastAsia="宋体" w:cs="宋体"/>
                <w:sz w:val="21"/>
                <w:szCs w:val="21"/>
                <w:highlight w:val="none"/>
              </w:rPr>
              <w:t>投标人应提供20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年1月1日（合同签订日期）以来的</w:t>
            </w:r>
            <w:r>
              <w:rPr>
                <w:rFonts w:hint="eastAsia" w:ascii="宋体" w:hAnsi="宋体" w:eastAsia="宋体" w:cs="宋体"/>
                <w:sz w:val="21"/>
                <w:szCs w:val="21"/>
                <w:highlight w:val="none"/>
                <w:lang w:val="en-US" w:eastAsia="zh-CN"/>
              </w:rPr>
              <w:t>同类</w:t>
            </w:r>
            <w:r>
              <w:rPr>
                <w:rFonts w:hint="eastAsia" w:ascii="宋体" w:hAnsi="宋体" w:eastAsia="宋体" w:cs="宋体"/>
                <w:sz w:val="21"/>
                <w:szCs w:val="21"/>
                <w:highlight w:val="none"/>
              </w:rPr>
              <w:t>合同案例</w:t>
            </w:r>
            <w:r>
              <w:rPr>
                <w:rFonts w:hint="eastAsia" w:ascii="宋体" w:hAnsi="宋体" w:eastAsia="宋体" w:cs="宋体"/>
                <w:sz w:val="21"/>
                <w:szCs w:val="21"/>
                <w:highlight w:val="none"/>
                <w:lang w:eastAsia="zh-CN"/>
              </w:rPr>
              <w:t>（所投设备制造商或经销商业绩均可）</w:t>
            </w:r>
            <w:r>
              <w:rPr>
                <w:rFonts w:hint="eastAsia" w:ascii="宋体" w:hAnsi="宋体" w:eastAsia="宋体" w:cs="宋体"/>
                <w:sz w:val="21"/>
                <w:szCs w:val="21"/>
                <w:highlight w:val="none"/>
              </w:rPr>
              <w:t>，每提供一份完整业绩得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 xml:space="preserve"> 分，提供资料不完整的不得分；最多得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380" w:type="dxa"/>
            <w:vMerge w:val="continue"/>
            <w:noWrap w:val="0"/>
            <w:vAlign w:val="center"/>
          </w:tcPr>
          <w:p>
            <w:pPr>
              <w:spacing w:line="288" w:lineRule="auto"/>
              <w:ind w:left="21" w:leftChars="10" w:right="21" w:rightChars="10"/>
              <w:jc w:val="center"/>
              <w:rPr>
                <w:rFonts w:hint="eastAsia" w:ascii="宋体" w:hAnsi="宋体" w:eastAsia="宋体" w:cs="宋体"/>
                <w:sz w:val="21"/>
                <w:szCs w:val="21"/>
                <w:highlight w:val="none"/>
                <w:lang w:val="en-US" w:eastAsia="zh-CN"/>
              </w:rPr>
            </w:pPr>
          </w:p>
        </w:tc>
        <w:tc>
          <w:tcPr>
            <w:tcW w:w="1179" w:type="dxa"/>
            <w:noWrap w:val="0"/>
            <w:vAlign w:val="center"/>
          </w:tcPr>
          <w:p>
            <w:pPr>
              <w:spacing w:line="288" w:lineRule="auto"/>
              <w:ind w:left="21" w:leftChars="10" w:right="21" w:rightChars="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供货方案</w:t>
            </w:r>
          </w:p>
        </w:tc>
        <w:tc>
          <w:tcPr>
            <w:tcW w:w="1383" w:type="dxa"/>
            <w:noWrap w:val="0"/>
            <w:vAlign w:val="center"/>
          </w:tcPr>
          <w:p>
            <w:pPr>
              <w:spacing w:line="288" w:lineRule="auto"/>
              <w:ind w:left="21" w:leftChars="10" w:right="21" w:rightChars="1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p>
        </w:tc>
        <w:tc>
          <w:tcPr>
            <w:tcW w:w="5336" w:type="dxa"/>
            <w:noWrap w:val="0"/>
            <w:vAlign w:val="center"/>
          </w:tcPr>
          <w:p>
            <w:pPr>
              <w:spacing w:line="288" w:lineRule="auto"/>
              <w:ind w:left="21" w:leftChars="10" w:right="21" w:rightChars="10"/>
              <w:rPr>
                <w:rFonts w:hint="eastAsia" w:ascii="宋体" w:hAnsi="宋体" w:eastAsia="宋体" w:cs="宋体"/>
                <w:sz w:val="21"/>
                <w:szCs w:val="21"/>
                <w:highlight w:val="none"/>
              </w:rPr>
            </w:pPr>
            <w:r>
              <w:rPr>
                <w:rFonts w:hint="eastAsia" w:ascii="宋体" w:hAnsi="宋体" w:eastAsia="宋体" w:cs="宋体"/>
                <w:sz w:val="21"/>
                <w:szCs w:val="21"/>
                <w:highlight w:val="none"/>
              </w:rPr>
              <w:t>根据供应商提供的供货方案，包括但不仅限于供货时间、运输方式、应急处理、供货安排和实施进度计划等方面按以下标准进行打分：</w:t>
            </w:r>
          </w:p>
          <w:p>
            <w:pPr>
              <w:spacing w:line="288" w:lineRule="auto"/>
              <w:ind w:left="21" w:leftChars="10" w:right="21" w:rightChars="10"/>
              <w:rPr>
                <w:rFonts w:hint="eastAsia" w:ascii="宋体" w:hAnsi="宋体" w:eastAsia="宋体" w:cs="宋体"/>
                <w:sz w:val="21"/>
                <w:szCs w:val="21"/>
                <w:highlight w:val="none"/>
              </w:rPr>
            </w:pPr>
            <w:r>
              <w:rPr>
                <w:rFonts w:hint="eastAsia" w:ascii="宋体" w:hAnsi="宋体" w:eastAsia="宋体" w:cs="宋体"/>
                <w:sz w:val="21"/>
                <w:szCs w:val="21"/>
                <w:highlight w:val="none"/>
              </w:rPr>
              <w:t>1.方案安排全面详尽、考虑</w:t>
            </w:r>
            <w:r>
              <w:rPr>
                <w:rFonts w:hint="eastAsia" w:ascii="宋体" w:hAnsi="宋体" w:eastAsia="宋体" w:cs="宋体"/>
                <w:sz w:val="21"/>
                <w:szCs w:val="21"/>
                <w:highlight w:val="none"/>
                <w:lang w:val="en-US"/>
              </w:rPr>
              <w:t>周全</w:t>
            </w:r>
            <w:r>
              <w:rPr>
                <w:rFonts w:hint="eastAsia" w:ascii="宋体" w:hAnsi="宋体" w:eastAsia="宋体" w:cs="宋体"/>
                <w:sz w:val="21"/>
                <w:szCs w:val="21"/>
                <w:highlight w:val="none"/>
              </w:rPr>
              <w:t>，科学完整、合理，完全满足或优于采购人</w:t>
            </w:r>
            <w:r>
              <w:rPr>
                <w:rFonts w:hint="eastAsia" w:ascii="宋体" w:hAnsi="宋体" w:eastAsia="宋体" w:cs="宋体"/>
                <w:sz w:val="21"/>
                <w:szCs w:val="21"/>
                <w:highlight w:val="none"/>
                <w:lang w:val="en-US"/>
              </w:rPr>
              <w:t>交货期要求</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rPr>
              <w:t>分</w:t>
            </w:r>
            <w:r>
              <w:rPr>
                <w:rFonts w:hint="eastAsia" w:ascii="宋体" w:hAnsi="宋体" w:eastAsia="宋体" w:cs="宋体"/>
                <w:sz w:val="21"/>
                <w:szCs w:val="21"/>
                <w:highlight w:val="none"/>
              </w:rPr>
              <w:t>；</w:t>
            </w:r>
          </w:p>
          <w:p>
            <w:pPr>
              <w:spacing w:line="288" w:lineRule="auto"/>
              <w:ind w:left="21" w:leftChars="10" w:right="21" w:rightChars="10"/>
              <w:rPr>
                <w:rFonts w:hint="eastAsia" w:ascii="宋体" w:hAnsi="宋体" w:eastAsia="宋体" w:cs="宋体"/>
                <w:sz w:val="21"/>
                <w:szCs w:val="21"/>
                <w:highlight w:val="none"/>
              </w:rPr>
            </w:pPr>
            <w:r>
              <w:rPr>
                <w:rFonts w:hint="eastAsia" w:ascii="宋体" w:hAnsi="宋体" w:eastAsia="宋体" w:cs="宋体"/>
                <w:sz w:val="21"/>
                <w:szCs w:val="21"/>
                <w:highlight w:val="none"/>
              </w:rPr>
              <w:t>2.方案安排</w:t>
            </w:r>
            <w:r>
              <w:rPr>
                <w:rFonts w:hint="eastAsia" w:ascii="宋体" w:hAnsi="宋体" w:eastAsia="宋体" w:cs="宋体"/>
                <w:sz w:val="21"/>
                <w:szCs w:val="21"/>
                <w:highlight w:val="none"/>
                <w:lang w:val="en-US"/>
              </w:rPr>
              <w:t>全面</w:t>
            </w:r>
            <w:r>
              <w:rPr>
                <w:rFonts w:hint="eastAsia" w:ascii="宋体" w:hAnsi="宋体" w:eastAsia="宋体" w:cs="宋体"/>
                <w:sz w:val="21"/>
                <w:szCs w:val="21"/>
                <w:highlight w:val="none"/>
              </w:rPr>
              <w:t>、考虑</w:t>
            </w:r>
            <w:r>
              <w:rPr>
                <w:rFonts w:hint="eastAsia" w:ascii="宋体" w:hAnsi="宋体" w:eastAsia="宋体" w:cs="宋体"/>
                <w:sz w:val="21"/>
                <w:szCs w:val="21"/>
                <w:highlight w:val="none"/>
                <w:lang w:val="en-US"/>
              </w:rPr>
              <w:t>较</w:t>
            </w:r>
            <w:r>
              <w:rPr>
                <w:rFonts w:hint="eastAsia" w:ascii="宋体" w:hAnsi="宋体" w:eastAsia="宋体" w:cs="宋体"/>
                <w:sz w:val="21"/>
                <w:szCs w:val="21"/>
                <w:highlight w:val="none"/>
              </w:rPr>
              <w:t>周全，</w:t>
            </w:r>
            <w:r>
              <w:rPr>
                <w:rFonts w:hint="eastAsia" w:ascii="宋体" w:hAnsi="宋体" w:eastAsia="宋体" w:cs="宋体"/>
                <w:sz w:val="21"/>
                <w:szCs w:val="21"/>
                <w:highlight w:val="none"/>
                <w:lang w:val="en-US"/>
              </w:rPr>
              <w:t>具有科学性及合理性</w:t>
            </w:r>
            <w:r>
              <w:rPr>
                <w:rFonts w:hint="eastAsia" w:ascii="宋体" w:hAnsi="宋体" w:eastAsia="宋体" w:cs="宋体"/>
                <w:sz w:val="21"/>
                <w:szCs w:val="21"/>
                <w:highlight w:val="none"/>
              </w:rPr>
              <w:t>，完全满足采购人</w:t>
            </w:r>
            <w:r>
              <w:rPr>
                <w:rFonts w:hint="eastAsia" w:ascii="宋体" w:hAnsi="宋体" w:eastAsia="宋体" w:cs="宋体"/>
                <w:sz w:val="21"/>
                <w:szCs w:val="21"/>
                <w:highlight w:val="none"/>
                <w:lang w:val="en-US"/>
              </w:rPr>
              <w:t>交货期要求，</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p>
            <w:pPr>
              <w:spacing w:line="288" w:lineRule="auto"/>
              <w:ind w:left="21" w:leftChars="10" w:right="21" w:rightChars="10"/>
              <w:rPr>
                <w:rFonts w:hint="eastAsia" w:ascii="宋体" w:hAnsi="宋体" w:eastAsia="宋体" w:cs="宋体"/>
                <w:sz w:val="21"/>
                <w:szCs w:val="21"/>
                <w:highlight w:val="none"/>
              </w:rPr>
            </w:pPr>
            <w:r>
              <w:rPr>
                <w:rFonts w:hint="eastAsia" w:ascii="宋体" w:hAnsi="宋体" w:eastAsia="宋体" w:cs="宋体"/>
                <w:sz w:val="21"/>
                <w:szCs w:val="21"/>
                <w:highlight w:val="none"/>
              </w:rPr>
              <w:t>3.方案</w:t>
            </w:r>
            <w:r>
              <w:rPr>
                <w:rFonts w:hint="eastAsia" w:ascii="宋体" w:hAnsi="宋体" w:eastAsia="宋体" w:cs="宋体"/>
                <w:sz w:val="21"/>
                <w:szCs w:val="21"/>
                <w:highlight w:val="none"/>
                <w:lang w:val="en-US"/>
              </w:rPr>
              <w:t>计划能</w:t>
            </w:r>
            <w:r>
              <w:rPr>
                <w:rFonts w:hint="eastAsia" w:ascii="宋体" w:hAnsi="宋体" w:eastAsia="宋体" w:cs="宋体"/>
                <w:sz w:val="21"/>
                <w:szCs w:val="21"/>
                <w:highlight w:val="none"/>
              </w:rPr>
              <w:t>满足采购人</w:t>
            </w:r>
            <w:r>
              <w:rPr>
                <w:rFonts w:hint="eastAsia" w:ascii="宋体" w:hAnsi="宋体" w:eastAsia="宋体" w:cs="宋体"/>
                <w:sz w:val="21"/>
                <w:szCs w:val="21"/>
                <w:highlight w:val="none"/>
                <w:lang w:val="en-US"/>
              </w:rPr>
              <w:t>交货期要求</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但安排及考虑计划可操作性一般，</w:t>
            </w:r>
            <w:r>
              <w:rPr>
                <w:rFonts w:hint="eastAsia" w:ascii="宋体" w:hAnsi="宋体" w:eastAsia="宋体" w:cs="宋体"/>
                <w:sz w:val="21"/>
                <w:szCs w:val="21"/>
                <w:highlight w:val="none"/>
              </w:rPr>
              <w:t>得1分；</w:t>
            </w:r>
          </w:p>
          <w:p>
            <w:pPr>
              <w:spacing w:line="288" w:lineRule="auto"/>
              <w:ind w:left="21" w:leftChars="10" w:right="21" w:rightChars="10"/>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4.</w:t>
            </w:r>
            <w:r>
              <w:rPr>
                <w:rFonts w:hint="eastAsia" w:ascii="宋体" w:hAnsi="宋体" w:eastAsia="宋体" w:cs="宋体"/>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380" w:type="dxa"/>
            <w:vMerge w:val="continue"/>
            <w:noWrap w:val="0"/>
            <w:vAlign w:val="center"/>
          </w:tcPr>
          <w:p>
            <w:pPr>
              <w:spacing w:line="288" w:lineRule="auto"/>
              <w:ind w:left="21" w:leftChars="10" w:right="21" w:rightChars="10"/>
              <w:jc w:val="center"/>
              <w:rPr>
                <w:rFonts w:hint="eastAsia" w:ascii="宋体" w:hAnsi="宋体" w:eastAsia="宋体" w:cs="宋体"/>
                <w:sz w:val="21"/>
                <w:szCs w:val="21"/>
                <w:highlight w:val="none"/>
                <w:lang w:val="en-US" w:eastAsia="zh-CN"/>
              </w:rPr>
            </w:pPr>
          </w:p>
        </w:tc>
        <w:tc>
          <w:tcPr>
            <w:tcW w:w="1179" w:type="dxa"/>
            <w:noWrap w:val="0"/>
            <w:vAlign w:val="center"/>
          </w:tcPr>
          <w:p>
            <w:pPr>
              <w:spacing w:line="288" w:lineRule="auto"/>
              <w:ind w:left="21" w:leftChars="10" w:right="21" w:rightChars="1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产品综合评价</w:t>
            </w:r>
          </w:p>
        </w:tc>
        <w:tc>
          <w:tcPr>
            <w:tcW w:w="1383" w:type="dxa"/>
            <w:noWrap w:val="0"/>
            <w:vAlign w:val="center"/>
          </w:tcPr>
          <w:p>
            <w:pPr>
              <w:spacing w:line="288" w:lineRule="auto"/>
              <w:ind w:left="21" w:leftChars="10" w:right="21" w:rightChars="1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5分</w:t>
            </w:r>
          </w:p>
        </w:tc>
        <w:tc>
          <w:tcPr>
            <w:tcW w:w="5336" w:type="dxa"/>
            <w:noWrap w:val="0"/>
            <w:vAlign w:val="center"/>
          </w:tcPr>
          <w:p>
            <w:pPr>
              <w:spacing w:line="288" w:lineRule="auto"/>
              <w:ind w:left="21" w:leftChars="10" w:right="21" w:rightChars="10"/>
              <w:rPr>
                <w:rFonts w:hint="eastAsia" w:ascii="宋体" w:hAnsi="宋体" w:eastAsia="宋体" w:cs="宋体"/>
                <w:sz w:val="21"/>
                <w:szCs w:val="21"/>
                <w:highlight w:val="none"/>
                <w:lang w:val="en-US"/>
              </w:rPr>
            </w:pPr>
            <w:r>
              <w:rPr>
                <w:rFonts w:hint="eastAsia" w:ascii="宋体" w:hAnsi="宋体" w:eastAsia="宋体" w:cs="宋体"/>
                <w:color w:val="auto"/>
                <w:kern w:val="2"/>
                <w:sz w:val="21"/>
                <w:szCs w:val="21"/>
                <w:highlight w:val="none"/>
                <w:lang w:eastAsia="zh-CN"/>
              </w:rPr>
              <w:t>根据</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eastAsia="zh-CN"/>
              </w:rPr>
              <w:t>所投产品从可靠性、成熟性、易用性、可管理性、品牌知名度、</w:t>
            </w:r>
            <w:r>
              <w:rPr>
                <w:rFonts w:hint="eastAsia" w:ascii="宋体" w:hAnsi="宋体" w:cs="宋体"/>
                <w:color w:val="auto"/>
                <w:kern w:val="2"/>
                <w:sz w:val="21"/>
                <w:szCs w:val="21"/>
                <w:highlight w:val="none"/>
                <w:lang w:eastAsia="zh-CN"/>
              </w:rPr>
              <w:t>市场认可度、</w:t>
            </w:r>
            <w:r>
              <w:rPr>
                <w:rFonts w:hint="eastAsia" w:ascii="宋体" w:hAnsi="宋体" w:eastAsia="宋体" w:cs="宋体"/>
                <w:color w:val="auto"/>
                <w:kern w:val="2"/>
                <w:sz w:val="21"/>
                <w:szCs w:val="21"/>
                <w:highlight w:val="none"/>
                <w:lang w:eastAsia="zh-CN"/>
              </w:rPr>
              <w:t>整包的综合性能等方面进行整体评价，优得</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分，良得</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分，一般得</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分，整体缺项得0分。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380" w:type="dxa"/>
            <w:vMerge w:val="continue"/>
            <w:noWrap w:val="0"/>
            <w:vAlign w:val="center"/>
          </w:tcPr>
          <w:p>
            <w:pPr>
              <w:spacing w:line="288" w:lineRule="auto"/>
              <w:ind w:left="21" w:leftChars="10" w:right="21" w:rightChars="10"/>
              <w:jc w:val="center"/>
              <w:rPr>
                <w:rFonts w:hint="eastAsia" w:ascii="宋体" w:hAnsi="宋体" w:eastAsia="宋体" w:cs="宋体"/>
                <w:sz w:val="21"/>
                <w:szCs w:val="21"/>
                <w:highlight w:val="none"/>
                <w:lang w:val="en-US" w:eastAsia="zh-CN"/>
              </w:rPr>
            </w:pPr>
          </w:p>
        </w:tc>
        <w:tc>
          <w:tcPr>
            <w:tcW w:w="1179" w:type="dxa"/>
            <w:noWrap w:val="0"/>
            <w:vAlign w:val="center"/>
          </w:tcPr>
          <w:p>
            <w:pPr>
              <w:tabs>
                <w:tab w:val="left" w:pos="1162"/>
              </w:tabs>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安装调试</w:t>
            </w:r>
          </w:p>
          <w:p>
            <w:pPr>
              <w:spacing w:line="288" w:lineRule="auto"/>
              <w:ind w:left="21" w:leftChars="10" w:right="21" w:rightChars="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方案</w:t>
            </w:r>
          </w:p>
        </w:tc>
        <w:tc>
          <w:tcPr>
            <w:tcW w:w="1383" w:type="dxa"/>
            <w:noWrap w:val="0"/>
            <w:vAlign w:val="center"/>
          </w:tcPr>
          <w:p>
            <w:pPr>
              <w:spacing w:line="288" w:lineRule="auto"/>
              <w:ind w:left="21" w:leftChars="10" w:right="21" w:rightChars="1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w:t>
            </w:r>
          </w:p>
        </w:tc>
        <w:tc>
          <w:tcPr>
            <w:tcW w:w="5336" w:type="dxa"/>
            <w:noWrap w:val="0"/>
            <w:vAlign w:val="center"/>
          </w:tcPr>
          <w:p>
            <w:pPr>
              <w:spacing w:line="288" w:lineRule="auto"/>
              <w:ind w:left="21" w:leftChars="10" w:right="21" w:rightChars="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根据供应商提供的安装调试方案，包括但不限于安装进度计划、安装方法、安装质量保障、试运行测试、运行维护等方面按以下标准进行打分：</w:t>
            </w:r>
          </w:p>
          <w:p>
            <w:pPr>
              <w:spacing w:line="288" w:lineRule="auto"/>
              <w:ind w:left="21" w:leftChars="10" w:right="21" w:rightChars="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1.安装调试方案安排全面详尽、科学，考虑周全，有合理且完善的试运行测试方案及运行维护方案，得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w:t>
            </w:r>
          </w:p>
          <w:p>
            <w:pPr>
              <w:spacing w:line="288" w:lineRule="auto"/>
              <w:ind w:left="21" w:leftChars="10" w:right="21" w:rightChars="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2.安装调试方案安排较为全面，考虑周全，有具体可行的试运行测试方案及运行维护方案，得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p>
          <w:p>
            <w:pPr>
              <w:spacing w:line="288" w:lineRule="auto"/>
              <w:ind w:left="21" w:leftChars="10" w:right="21" w:rightChars="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3.有安装调试、试运行及运行维护方案，但安排及计划可操作性一般，得1分；</w:t>
            </w:r>
          </w:p>
          <w:p>
            <w:pPr>
              <w:spacing w:line="288" w:lineRule="auto"/>
              <w:ind w:left="21" w:leftChars="10" w:right="21" w:rightChars="10"/>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380" w:type="dxa"/>
            <w:vMerge w:val="continue"/>
            <w:noWrap w:val="0"/>
            <w:vAlign w:val="center"/>
          </w:tcPr>
          <w:p>
            <w:pPr>
              <w:spacing w:line="288" w:lineRule="auto"/>
              <w:ind w:left="21" w:leftChars="10" w:right="21" w:rightChars="10"/>
              <w:jc w:val="center"/>
              <w:rPr>
                <w:rFonts w:hint="eastAsia" w:ascii="宋体" w:hAnsi="宋体" w:eastAsia="宋体" w:cs="宋体"/>
                <w:sz w:val="21"/>
                <w:szCs w:val="21"/>
                <w:highlight w:val="none"/>
                <w:lang w:val="en-US" w:eastAsia="zh-CN"/>
              </w:rPr>
            </w:pPr>
          </w:p>
        </w:tc>
        <w:tc>
          <w:tcPr>
            <w:tcW w:w="1179" w:type="dxa"/>
            <w:noWrap w:val="0"/>
            <w:vAlign w:val="center"/>
          </w:tcPr>
          <w:p>
            <w:pPr>
              <w:tabs>
                <w:tab w:val="left" w:pos="1162"/>
              </w:tabs>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培训方案</w:t>
            </w:r>
          </w:p>
        </w:tc>
        <w:tc>
          <w:tcPr>
            <w:tcW w:w="1383" w:type="dxa"/>
            <w:noWrap w:val="0"/>
            <w:vAlign w:val="center"/>
          </w:tcPr>
          <w:p>
            <w:pPr>
              <w:tabs>
                <w:tab w:val="left" w:pos="1162"/>
              </w:tabs>
              <w:adjustRightInd w:val="0"/>
              <w:snapToGrid w:val="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w:t>
            </w:r>
          </w:p>
        </w:tc>
        <w:tc>
          <w:tcPr>
            <w:tcW w:w="5336" w:type="dxa"/>
            <w:noWrap w:val="0"/>
            <w:vAlign w:val="center"/>
          </w:tcPr>
          <w:p>
            <w:pPr>
              <w:spacing w:line="288" w:lineRule="auto"/>
              <w:ind w:left="21" w:leftChars="10" w:right="21" w:rightChars="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根据供应商提供的培训方案进行评审，包括但不限于人员培训方案、培训计划、操作指导、维护培训等方面按以下标准进行打分：</w:t>
            </w:r>
          </w:p>
          <w:p>
            <w:pPr>
              <w:spacing w:line="288" w:lineRule="auto"/>
              <w:ind w:left="21" w:leftChars="10" w:right="21" w:rightChars="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1.培训方案特别全面，合理、可行，可实施性强，对采购人有制定培训计划，所供产品操作指南简单易懂，能很好的满足本项目要求的得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w:t>
            </w:r>
          </w:p>
          <w:p>
            <w:pPr>
              <w:spacing w:line="288" w:lineRule="auto"/>
              <w:ind w:left="21" w:leftChars="10" w:right="21" w:rightChars="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2.培训方案各方面安排较合理，对采购人有培训计划，能够提供产品操作指南，可实践实施的得3分；</w:t>
            </w:r>
          </w:p>
          <w:p>
            <w:pPr>
              <w:spacing w:line="288" w:lineRule="auto"/>
              <w:ind w:left="21" w:leftChars="10" w:right="21" w:rightChars="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3.有培训方案，但内容与本项目实际不符，操作性一般的得1分；</w:t>
            </w:r>
          </w:p>
          <w:p>
            <w:pPr>
              <w:spacing w:line="288" w:lineRule="auto"/>
              <w:ind w:left="21" w:leftChars="10" w:right="21" w:rightChars="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1380" w:type="dxa"/>
            <w:vMerge w:val="continue"/>
            <w:noWrap w:val="0"/>
            <w:vAlign w:val="center"/>
          </w:tcPr>
          <w:p>
            <w:pPr>
              <w:spacing w:line="288" w:lineRule="auto"/>
              <w:ind w:left="21" w:leftChars="10" w:right="21" w:rightChars="10"/>
              <w:jc w:val="center"/>
              <w:rPr>
                <w:rFonts w:hint="eastAsia" w:ascii="宋体" w:hAnsi="宋体" w:eastAsia="宋体" w:cs="宋体"/>
                <w:sz w:val="21"/>
                <w:szCs w:val="21"/>
                <w:highlight w:val="none"/>
              </w:rPr>
            </w:pPr>
          </w:p>
        </w:tc>
        <w:tc>
          <w:tcPr>
            <w:tcW w:w="1179" w:type="dxa"/>
            <w:noWrap w:val="0"/>
            <w:vAlign w:val="center"/>
          </w:tcPr>
          <w:p>
            <w:pPr>
              <w:spacing w:line="288" w:lineRule="auto"/>
              <w:ind w:left="21" w:leftChars="10" w:right="21" w:rightChars="10"/>
              <w:jc w:val="center"/>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售后服务方案</w:t>
            </w:r>
          </w:p>
        </w:tc>
        <w:tc>
          <w:tcPr>
            <w:tcW w:w="1383" w:type="dxa"/>
            <w:noWrap w:val="0"/>
            <w:vAlign w:val="center"/>
          </w:tcPr>
          <w:p>
            <w:pPr>
              <w:spacing w:line="288" w:lineRule="auto"/>
              <w:ind w:left="21" w:leftChars="10" w:right="21" w:rightChars="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6分</w:t>
            </w:r>
          </w:p>
        </w:tc>
        <w:tc>
          <w:tcPr>
            <w:tcW w:w="5336" w:type="dxa"/>
            <w:noWrap w:val="0"/>
            <w:vAlign w:val="center"/>
          </w:tcPr>
          <w:p>
            <w:pPr>
              <w:spacing w:line="288" w:lineRule="auto"/>
              <w:ind w:left="21" w:leftChars="10" w:right="21" w:rightChars="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根据供应商提供的售后服务方案，包括但不限于质保期内外的售后计划安排、内容、形式、故障响应时间、到达现场响应时间、应急维修措施等方案。按以下标准进行评审：</w:t>
            </w:r>
          </w:p>
          <w:p>
            <w:pPr>
              <w:spacing w:line="288" w:lineRule="auto"/>
              <w:ind w:left="21" w:leftChars="10" w:right="21" w:rightChars="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1.方案安排全面详尽、考虑周全，科学完整、合理，得6分；</w:t>
            </w:r>
          </w:p>
          <w:p>
            <w:pPr>
              <w:spacing w:line="288" w:lineRule="auto"/>
              <w:ind w:left="21" w:leftChars="10" w:right="21" w:rightChars="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2.方案安排不全面、操作性一般的得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p>
          <w:p>
            <w:pPr>
              <w:spacing w:line="288" w:lineRule="auto"/>
              <w:ind w:left="21" w:leftChars="10" w:right="21" w:rightChars="1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3.未提供的不得分。</w:t>
            </w:r>
          </w:p>
        </w:tc>
      </w:tr>
    </w:tbl>
    <w:p>
      <w:pPr>
        <w:pStyle w:val="4"/>
        <w:rPr>
          <w:rFonts w:hint="eastAsia" w:ascii="宋体" w:hAnsi="宋体" w:eastAsia="宋体" w:cs="宋体"/>
          <w:sz w:val="24"/>
          <w:szCs w:val="18"/>
          <w:highlight w:val="none"/>
        </w:rPr>
      </w:pPr>
      <w:bookmarkStart w:id="192" w:name="_Toc25084"/>
      <w:r>
        <w:rPr>
          <w:rFonts w:hint="eastAsia" w:ascii="宋体" w:hAnsi="宋体" w:eastAsia="宋体" w:cs="宋体"/>
          <w:sz w:val="24"/>
          <w:szCs w:val="18"/>
          <w:highlight w:val="none"/>
        </w:rPr>
        <w:t>1.评标方法</w:t>
      </w:r>
      <w:bookmarkEnd w:id="192"/>
    </w:p>
    <w:p>
      <w:pPr>
        <w:autoSpaceDE w:val="0"/>
        <w:autoSpaceDN w:val="0"/>
        <w:adjustRightInd w:val="0"/>
        <w:spacing w:line="520" w:lineRule="exact"/>
        <w:ind w:firstLine="420"/>
        <w:rPr>
          <w:rFonts w:hint="eastAsia" w:ascii="宋体" w:hAnsi="宋体" w:eastAsia="宋体" w:cs="宋体"/>
          <w:kern w:val="0"/>
          <w:szCs w:val="16"/>
          <w:highlight w:val="none"/>
        </w:rPr>
      </w:pPr>
      <w:bookmarkStart w:id="193" w:name="_Toc345178460"/>
      <w:bookmarkStart w:id="194" w:name="_Toc184635094"/>
      <w:r>
        <w:rPr>
          <w:rFonts w:hint="eastAsia" w:ascii="宋体" w:hAnsi="宋体" w:eastAsia="宋体" w:cs="宋体"/>
          <w:kern w:val="0"/>
          <w:szCs w:val="16"/>
          <w:highlight w:val="none"/>
        </w:rPr>
        <w:t>本次评标采用综合评分法。评标委员会对满足招标文件实质性要求的投标文件，按照本章第2.2款规定的评分标准进行打分，并按得分由高到低顺序推荐中标候选人，或根据采购人授权直接确定中标供应商，但投标报价低于其成本的除外。综合评分相等时，以投标报价低的优先；投标报价也相等的，由采购人自行确定。</w:t>
      </w:r>
    </w:p>
    <w:p>
      <w:pPr>
        <w:pStyle w:val="4"/>
        <w:rPr>
          <w:rFonts w:hint="eastAsia" w:ascii="宋体" w:hAnsi="宋体" w:eastAsia="宋体" w:cs="宋体"/>
          <w:sz w:val="24"/>
          <w:szCs w:val="18"/>
          <w:highlight w:val="none"/>
        </w:rPr>
      </w:pPr>
      <w:bookmarkStart w:id="195" w:name="_Toc11629"/>
      <w:r>
        <w:rPr>
          <w:rFonts w:hint="eastAsia" w:ascii="宋体" w:hAnsi="宋体" w:eastAsia="宋体" w:cs="宋体"/>
          <w:sz w:val="24"/>
          <w:szCs w:val="18"/>
          <w:highlight w:val="none"/>
        </w:rPr>
        <w:t>2.评审标准</w:t>
      </w:r>
      <w:bookmarkEnd w:id="193"/>
      <w:bookmarkEnd w:id="194"/>
      <w:bookmarkEnd w:id="195"/>
    </w:p>
    <w:p>
      <w:pPr>
        <w:keepNext/>
        <w:keepLines/>
        <w:spacing w:line="540" w:lineRule="exact"/>
        <w:outlineLvl w:val="3"/>
        <w:rPr>
          <w:rFonts w:hint="eastAsia" w:ascii="宋体" w:hAnsi="宋体" w:eastAsia="宋体" w:cs="宋体"/>
          <w:b/>
          <w:szCs w:val="21"/>
          <w:highlight w:val="none"/>
        </w:rPr>
      </w:pPr>
      <w:bookmarkStart w:id="196" w:name="_Toc24638"/>
      <w:r>
        <w:rPr>
          <w:rFonts w:hint="eastAsia" w:ascii="宋体" w:hAnsi="宋体" w:eastAsia="宋体" w:cs="宋体"/>
          <w:b/>
          <w:szCs w:val="21"/>
          <w:highlight w:val="none"/>
        </w:rPr>
        <w:t>2.1 初步评审标准</w:t>
      </w:r>
      <w:bookmarkEnd w:id="196"/>
    </w:p>
    <w:p>
      <w:pPr>
        <w:autoSpaceDE w:val="0"/>
        <w:autoSpaceDN w:val="0"/>
        <w:adjustRightInd w:val="0"/>
        <w:spacing w:before="64" w:line="440" w:lineRule="exact"/>
        <w:ind w:right="-125" w:firstLine="420" w:firstLineChars="200"/>
        <w:rPr>
          <w:rFonts w:hint="eastAsia" w:ascii="宋体" w:hAnsi="宋体" w:eastAsia="宋体" w:cs="宋体"/>
          <w:bCs/>
          <w:szCs w:val="16"/>
          <w:highlight w:val="none"/>
        </w:rPr>
      </w:pPr>
      <w:r>
        <w:rPr>
          <w:rFonts w:hint="eastAsia" w:ascii="宋体" w:hAnsi="宋体" w:eastAsia="宋体" w:cs="宋体"/>
          <w:bCs/>
          <w:szCs w:val="16"/>
          <w:highlight w:val="none"/>
        </w:rPr>
        <w:t>2.1.1 符合性评审标准：见评标办法前附表。</w:t>
      </w:r>
    </w:p>
    <w:p>
      <w:pPr>
        <w:keepNext/>
        <w:keepLines/>
        <w:spacing w:line="540" w:lineRule="exact"/>
        <w:outlineLvl w:val="3"/>
        <w:rPr>
          <w:rFonts w:hint="eastAsia" w:ascii="宋体" w:hAnsi="宋体" w:eastAsia="宋体" w:cs="宋体"/>
          <w:b/>
          <w:szCs w:val="21"/>
          <w:highlight w:val="none"/>
        </w:rPr>
      </w:pPr>
      <w:bookmarkStart w:id="197" w:name="_Toc25617"/>
      <w:r>
        <w:rPr>
          <w:rFonts w:hint="eastAsia" w:ascii="宋体" w:hAnsi="宋体" w:eastAsia="宋体" w:cs="宋体"/>
          <w:b/>
          <w:szCs w:val="21"/>
          <w:highlight w:val="none"/>
        </w:rPr>
        <w:t>2.2 分值构成与评分标准</w:t>
      </w:r>
      <w:bookmarkEnd w:id="197"/>
    </w:p>
    <w:p>
      <w:pPr>
        <w:spacing w:line="480" w:lineRule="exact"/>
        <w:ind w:firstLine="420" w:firstLineChars="200"/>
        <w:rPr>
          <w:rFonts w:hint="eastAsia" w:ascii="宋体" w:hAnsi="宋体" w:eastAsia="宋体" w:cs="宋体"/>
          <w:kern w:val="0"/>
          <w:szCs w:val="16"/>
          <w:highlight w:val="none"/>
        </w:rPr>
      </w:pPr>
      <w:bookmarkStart w:id="198" w:name="_Toc184635095"/>
      <w:bookmarkStart w:id="199" w:name="_Toc345178461"/>
      <w:r>
        <w:rPr>
          <w:rFonts w:hint="eastAsia" w:ascii="宋体" w:hAnsi="宋体" w:eastAsia="宋体" w:cs="宋体"/>
          <w:kern w:val="0"/>
          <w:szCs w:val="16"/>
          <w:highlight w:val="none"/>
        </w:rPr>
        <w:t>2.2.1 分值构成</w:t>
      </w:r>
    </w:p>
    <w:p>
      <w:pPr>
        <w:spacing w:line="480" w:lineRule="exact"/>
        <w:ind w:firstLine="420" w:firstLineChars="200"/>
        <w:rPr>
          <w:rFonts w:hint="eastAsia" w:ascii="宋体" w:hAnsi="宋体" w:eastAsia="宋体" w:cs="宋体"/>
          <w:kern w:val="0"/>
          <w:szCs w:val="16"/>
          <w:highlight w:val="none"/>
        </w:rPr>
      </w:pPr>
      <w:r>
        <w:rPr>
          <w:rFonts w:hint="eastAsia" w:ascii="宋体" w:hAnsi="宋体" w:eastAsia="宋体" w:cs="宋体"/>
          <w:kern w:val="0"/>
          <w:szCs w:val="16"/>
          <w:highlight w:val="none"/>
        </w:rPr>
        <w:t>（1）投标报价：见评标办法前附表；</w:t>
      </w:r>
    </w:p>
    <w:p>
      <w:pPr>
        <w:spacing w:line="480" w:lineRule="exact"/>
        <w:ind w:firstLine="420" w:firstLineChars="200"/>
        <w:rPr>
          <w:rFonts w:hint="eastAsia" w:ascii="宋体" w:hAnsi="宋体" w:eastAsia="宋体" w:cs="宋体"/>
          <w:kern w:val="0"/>
          <w:szCs w:val="16"/>
          <w:highlight w:val="none"/>
        </w:rPr>
      </w:pPr>
      <w:r>
        <w:rPr>
          <w:rFonts w:hint="eastAsia" w:ascii="宋体" w:hAnsi="宋体" w:eastAsia="宋体" w:cs="宋体"/>
          <w:kern w:val="0"/>
          <w:szCs w:val="16"/>
          <w:highlight w:val="none"/>
        </w:rPr>
        <w:t>（2）技术部分：见评标办法前附表；</w:t>
      </w:r>
    </w:p>
    <w:p>
      <w:pPr>
        <w:spacing w:line="480" w:lineRule="exact"/>
        <w:ind w:firstLine="420" w:firstLineChars="200"/>
        <w:rPr>
          <w:rFonts w:hint="eastAsia" w:ascii="宋体" w:hAnsi="宋体" w:eastAsia="宋体" w:cs="宋体"/>
          <w:kern w:val="0"/>
          <w:szCs w:val="16"/>
          <w:highlight w:val="none"/>
        </w:rPr>
      </w:pPr>
      <w:r>
        <w:rPr>
          <w:rFonts w:hint="eastAsia" w:ascii="宋体" w:hAnsi="宋体" w:eastAsia="宋体" w:cs="宋体"/>
          <w:kern w:val="0"/>
          <w:szCs w:val="16"/>
          <w:highlight w:val="none"/>
        </w:rPr>
        <w:t>（3）</w:t>
      </w:r>
      <w:r>
        <w:rPr>
          <w:rFonts w:hint="eastAsia" w:ascii="宋体" w:hAnsi="宋体" w:eastAsia="宋体" w:cs="宋体"/>
          <w:kern w:val="0"/>
          <w:szCs w:val="16"/>
          <w:highlight w:val="none"/>
          <w:lang w:eastAsia="zh-CN"/>
        </w:rPr>
        <w:t>综合部分</w:t>
      </w:r>
      <w:r>
        <w:rPr>
          <w:rFonts w:hint="eastAsia" w:ascii="宋体" w:hAnsi="宋体" w:eastAsia="宋体" w:cs="宋体"/>
          <w:kern w:val="0"/>
          <w:szCs w:val="16"/>
          <w:highlight w:val="none"/>
        </w:rPr>
        <w:t>：见评标办法前附表；</w:t>
      </w:r>
    </w:p>
    <w:p>
      <w:pPr>
        <w:spacing w:line="480" w:lineRule="exact"/>
        <w:ind w:firstLine="420" w:firstLineChars="200"/>
        <w:rPr>
          <w:rFonts w:hint="eastAsia" w:ascii="宋体" w:hAnsi="宋体" w:eastAsia="宋体" w:cs="宋体"/>
          <w:kern w:val="0"/>
          <w:szCs w:val="16"/>
          <w:highlight w:val="none"/>
        </w:rPr>
      </w:pPr>
      <w:r>
        <w:rPr>
          <w:rFonts w:hint="eastAsia" w:ascii="宋体" w:hAnsi="宋体" w:eastAsia="宋体" w:cs="宋体"/>
          <w:kern w:val="0"/>
          <w:szCs w:val="16"/>
          <w:highlight w:val="none"/>
        </w:rPr>
        <w:t>2.2.2 评标基准价计算</w:t>
      </w:r>
    </w:p>
    <w:p>
      <w:pPr>
        <w:spacing w:line="480" w:lineRule="exact"/>
        <w:ind w:firstLine="420" w:firstLineChars="200"/>
        <w:rPr>
          <w:rFonts w:hint="eastAsia" w:ascii="宋体" w:hAnsi="宋体" w:eastAsia="宋体" w:cs="宋体"/>
          <w:kern w:val="0"/>
          <w:szCs w:val="16"/>
          <w:highlight w:val="none"/>
        </w:rPr>
      </w:pPr>
      <w:r>
        <w:rPr>
          <w:rFonts w:hint="eastAsia" w:ascii="宋体" w:hAnsi="宋体" w:eastAsia="宋体" w:cs="宋体"/>
          <w:kern w:val="0"/>
          <w:szCs w:val="16"/>
          <w:highlight w:val="none"/>
        </w:rPr>
        <w:t>评标基准价计算方法：见评标办法前附表。</w:t>
      </w:r>
    </w:p>
    <w:p>
      <w:pPr>
        <w:spacing w:line="480" w:lineRule="exact"/>
        <w:ind w:firstLine="420" w:firstLineChars="200"/>
        <w:rPr>
          <w:rFonts w:hint="eastAsia" w:ascii="宋体" w:hAnsi="宋体" w:eastAsia="宋体" w:cs="宋体"/>
          <w:kern w:val="0"/>
          <w:szCs w:val="16"/>
          <w:highlight w:val="none"/>
        </w:rPr>
      </w:pPr>
      <w:r>
        <w:rPr>
          <w:rFonts w:hint="eastAsia" w:ascii="宋体" w:hAnsi="宋体" w:eastAsia="宋体" w:cs="宋体"/>
          <w:kern w:val="0"/>
          <w:szCs w:val="16"/>
          <w:highlight w:val="none"/>
        </w:rPr>
        <w:t>2.2.3 评分标准</w:t>
      </w:r>
    </w:p>
    <w:p>
      <w:pPr>
        <w:spacing w:line="480" w:lineRule="exact"/>
        <w:ind w:firstLine="420" w:firstLineChars="200"/>
        <w:rPr>
          <w:rFonts w:hint="eastAsia" w:ascii="宋体" w:hAnsi="宋体" w:eastAsia="宋体" w:cs="宋体"/>
          <w:kern w:val="0"/>
          <w:szCs w:val="16"/>
          <w:highlight w:val="none"/>
        </w:rPr>
      </w:pPr>
      <w:r>
        <w:rPr>
          <w:rFonts w:hint="eastAsia" w:ascii="宋体" w:hAnsi="宋体" w:eastAsia="宋体" w:cs="宋体"/>
          <w:kern w:val="0"/>
          <w:szCs w:val="16"/>
          <w:highlight w:val="none"/>
        </w:rPr>
        <w:t>（1）投标报价评分标准：见评标办法前附表；</w:t>
      </w:r>
    </w:p>
    <w:p>
      <w:pPr>
        <w:spacing w:line="480" w:lineRule="exact"/>
        <w:ind w:firstLine="420" w:firstLineChars="200"/>
        <w:rPr>
          <w:rFonts w:hint="eastAsia" w:ascii="宋体" w:hAnsi="宋体" w:eastAsia="宋体" w:cs="宋体"/>
          <w:kern w:val="0"/>
          <w:szCs w:val="16"/>
          <w:highlight w:val="none"/>
        </w:rPr>
      </w:pPr>
      <w:r>
        <w:rPr>
          <w:rFonts w:hint="eastAsia" w:ascii="宋体" w:hAnsi="宋体" w:eastAsia="宋体" w:cs="宋体"/>
          <w:kern w:val="0"/>
          <w:szCs w:val="16"/>
          <w:highlight w:val="none"/>
        </w:rPr>
        <w:t>（2）技术部分评分标准：见评标办法前附表；</w:t>
      </w:r>
    </w:p>
    <w:p>
      <w:pPr>
        <w:spacing w:line="480" w:lineRule="exact"/>
        <w:ind w:firstLine="420" w:firstLineChars="200"/>
        <w:rPr>
          <w:rFonts w:hint="eastAsia" w:ascii="宋体" w:hAnsi="宋体" w:eastAsia="宋体" w:cs="宋体"/>
          <w:kern w:val="0"/>
          <w:szCs w:val="16"/>
          <w:highlight w:val="none"/>
        </w:rPr>
      </w:pPr>
      <w:r>
        <w:rPr>
          <w:rFonts w:hint="eastAsia" w:ascii="宋体" w:hAnsi="宋体" w:eastAsia="宋体" w:cs="宋体"/>
          <w:kern w:val="0"/>
          <w:szCs w:val="16"/>
          <w:highlight w:val="none"/>
        </w:rPr>
        <w:t>（3）</w:t>
      </w:r>
      <w:r>
        <w:rPr>
          <w:rFonts w:hint="eastAsia" w:ascii="宋体" w:hAnsi="宋体" w:eastAsia="宋体" w:cs="宋体"/>
          <w:kern w:val="0"/>
          <w:szCs w:val="16"/>
          <w:highlight w:val="none"/>
          <w:lang w:eastAsia="zh-CN"/>
        </w:rPr>
        <w:t>综合部分</w:t>
      </w:r>
      <w:r>
        <w:rPr>
          <w:rFonts w:hint="eastAsia" w:ascii="宋体" w:hAnsi="宋体" w:eastAsia="宋体" w:cs="宋体"/>
          <w:kern w:val="0"/>
          <w:szCs w:val="16"/>
          <w:highlight w:val="none"/>
        </w:rPr>
        <w:t>评分标准：见评标办法前附表；</w:t>
      </w:r>
    </w:p>
    <w:p>
      <w:pPr>
        <w:pStyle w:val="4"/>
        <w:rPr>
          <w:rFonts w:hint="eastAsia" w:ascii="宋体" w:hAnsi="宋体" w:eastAsia="宋体" w:cs="宋体"/>
          <w:sz w:val="24"/>
          <w:szCs w:val="18"/>
          <w:highlight w:val="none"/>
        </w:rPr>
      </w:pPr>
      <w:bookmarkStart w:id="200" w:name="_Toc12468"/>
      <w:r>
        <w:rPr>
          <w:rFonts w:hint="eastAsia" w:ascii="宋体" w:hAnsi="宋体" w:eastAsia="宋体" w:cs="宋体"/>
          <w:sz w:val="24"/>
          <w:szCs w:val="18"/>
          <w:highlight w:val="none"/>
        </w:rPr>
        <w:t>3.评标程序</w:t>
      </w:r>
      <w:bookmarkEnd w:id="198"/>
      <w:bookmarkEnd w:id="199"/>
      <w:bookmarkEnd w:id="200"/>
    </w:p>
    <w:p>
      <w:pPr>
        <w:keepNext/>
        <w:keepLines/>
        <w:spacing w:line="540" w:lineRule="exact"/>
        <w:outlineLvl w:val="3"/>
        <w:rPr>
          <w:rFonts w:hint="eastAsia" w:ascii="宋体" w:hAnsi="宋体" w:eastAsia="宋体" w:cs="宋体"/>
          <w:b/>
          <w:szCs w:val="21"/>
          <w:highlight w:val="none"/>
        </w:rPr>
      </w:pPr>
      <w:bookmarkStart w:id="201" w:name="_Toc31655"/>
      <w:r>
        <w:rPr>
          <w:rFonts w:hint="eastAsia" w:ascii="宋体" w:hAnsi="宋体" w:eastAsia="宋体" w:cs="宋体"/>
          <w:b/>
          <w:szCs w:val="21"/>
          <w:highlight w:val="none"/>
        </w:rPr>
        <w:t>3.1 初步评审</w:t>
      </w:r>
      <w:bookmarkEnd w:id="201"/>
    </w:p>
    <w:p>
      <w:pPr>
        <w:autoSpaceDE w:val="0"/>
        <w:autoSpaceDN w:val="0"/>
        <w:adjustRightInd w:val="0"/>
        <w:spacing w:line="5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3.1.1 评标委员会依据本章规定的标准对投标文件进行初步评审。有一项不符合评审标准的，作废标处理。</w:t>
      </w:r>
    </w:p>
    <w:p>
      <w:pPr>
        <w:autoSpaceDE w:val="0"/>
        <w:autoSpaceDN w:val="0"/>
        <w:adjustRightInd w:val="0"/>
        <w:spacing w:line="5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3.1.2 投标供应商有以下情形之一的，其投标作无效标处理：</w:t>
      </w:r>
    </w:p>
    <w:p>
      <w:pPr>
        <w:autoSpaceDE w:val="0"/>
        <w:autoSpaceDN w:val="0"/>
        <w:adjustRightInd w:val="0"/>
        <w:spacing w:line="5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w:t>
      </w:r>
      <w:bookmarkStart w:id="202" w:name="_Hlk19085906"/>
      <w:r>
        <w:rPr>
          <w:rFonts w:hint="eastAsia" w:ascii="宋体" w:hAnsi="宋体" w:eastAsia="宋体" w:cs="宋体"/>
          <w:kern w:val="0"/>
          <w:szCs w:val="21"/>
          <w:highlight w:val="none"/>
        </w:rPr>
        <w:t>不满足</w:t>
      </w:r>
      <w:bookmarkEnd w:id="202"/>
      <w:r>
        <w:rPr>
          <w:rFonts w:hint="eastAsia" w:ascii="宋体" w:hAnsi="宋体" w:eastAsia="宋体" w:cs="宋体"/>
          <w:kern w:val="0"/>
          <w:szCs w:val="21"/>
          <w:highlight w:val="none"/>
        </w:rPr>
        <w:t>第二章“投标人须知”第1.4.1项规定的任何一种情形的；</w:t>
      </w:r>
    </w:p>
    <w:p>
      <w:pPr>
        <w:autoSpaceDE w:val="0"/>
        <w:autoSpaceDN w:val="0"/>
        <w:adjustRightInd w:val="0"/>
        <w:spacing w:line="5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（2）串通投标或弄虚作假或有其他违法行为的；</w:t>
      </w:r>
    </w:p>
    <w:p>
      <w:pPr>
        <w:autoSpaceDE w:val="0"/>
        <w:autoSpaceDN w:val="0"/>
        <w:adjustRightInd w:val="0"/>
        <w:spacing w:line="5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（3）投标供应商递交两份或多份内容不同的投标文件，或在一份投标文件中对同一采购项目报两个或多个报价的；</w:t>
      </w:r>
    </w:p>
    <w:p>
      <w:pPr>
        <w:autoSpaceDE w:val="0"/>
        <w:autoSpaceDN w:val="0"/>
        <w:adjustRightInd w:val="0"/>
        <w:spacing w:line="5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（4）同一投标供应商针对同一设备提供不同型号产品的；</w:t>
      </w:r>
    </w:p>
    <w:p>
      <w:pPr>
        <w:autoSpaceDE w:val="0"/>
        <w:autoSpaceDN w:val="0"/>
        <w:adjustRightInd w:val="0"/>
        <w:spacing w:line="5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（5）不同投标供应商的投标文件制作机器码一致的；</w:t>
      </w:r>
    </w:p>
    <w:p>
      <w:pPr>
        <w:autoSpaceDE w:val="0"/>
        <w:autoSpaceDN w:val="0"/>
        <w:adjustRightInd w:val="0"/>
        <w:spacing w:line="5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（6）不按评标委员会要求澄清、说明或补正的。</w:t>
      </w:r>
    </w:p>
    <w:p>
      <w:pPr>
        <w:autoSpaceDE w:val="0"/>
        <w:autoSpaceDN w:val="0"/>
        <w:adjustRightInd w:val="0"/>
        <w:spacing w:line="5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（7）采购人不能接受的其他实质性条款。</w:t>
      </w:r>
    </w:p>
    <w:p>
      <w:pPr>
        <w:autoSpaceDE w:val="0"/>
        <w:autoSpaceDN w:val="0"/>
        <w:adjustRightInd w:val="0"/>
        <w:spacing w:line="5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3.1.3 投标报价有算术错误的，评标委员会按以下原则对投标报价进行修正，修正的价格经投标供应商确认后具有约束力。投标供应商不接受修正价格的，其投标作废标处理。</w:t>
      </w:r>
    </w:p>
    <w:p>
      <w:pPr>
        <w:autoSpaceDE w:val="0"/>
        <w:autoSpaceDN w:val="0"/>
        <w:adjustRightInd w:val="0"/>
        <w:spacing w:line="520" w:lineRule="exact"/>
        <w:ind w:firstLine="420" w:firstLineChars="200"/>
        <w:jc w:val="left"/>
        <w:rPr>
          <w:rFonts w:hint="eastAsia" w:ascii="宋体" w:hAnsi="宋体" w:eastAsia="宋体" w:cs="宋体"/>
          <w:kern w:val="0"/>
          <w:szCs w:val="21"/>
          <w:highlight w:val="none"/>
        </w:rPr>
      </w:pPr>
      <w:bookmarkStart w:id="203" w:name="_Toc152042383"/>
      <w:r>
        <w:rPr>
          <w:rFonts w:hint="eastAsia" w:ascii="宋体" w:hAnsi="宋体" w:eastAsia="宋体" w:cs="宋体"/>
          <w:kern w:val="0"/>
          <w:szCs w:val="21"/>
          <w:highlight w:val="none"/>
        </w:rPr>
        <w:t>（1）投标文件中的大写金额与小写金额不一致的，以大写金额为准；</w:t>
      </w:r>
      <w:bookmarkEnd w:id="203"/>
    </w:p>
    <w:p>
      <w:pPr>
        <w:autoSpaceDE w:val="0"/>
        <w:autoSpaceDN w:val="0"/>
        <w:adjustRightInd w:val="0"/>
        <w:spacing w:line="5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（2）总价金额与依据单价计算出的结果不一致的，以单价金额为准修正总价，但单价金额小数点有明显错误的除外。</w:t>
      </w:r>
    </w:p>
    <w:p>
      <w:pPr>
        <w:keepNext/>
        <w:keepLines/>
        <w:spacing w:line="540" w:lineRule="exact"/>
        <w:outlineLvl w:val="3"/>
        <w:rPr>
          <w:rFonts w:hint="eastAsia" w:ascii="宋体" w:hAnsi="宋体" w:eastAsia="宋体" w:cs="宋体"/>
          <w:b/>
          <w:szCs w:val="21"/>
          <w:highlight w:val="none"/>
        </w:rPr>
      </w:pPr>
      <w:bookmarkStart w:id="204" w:name="_Toc7342"/>
      <w:r>
        <w:rPr>
          <w:rFonts w:hint="eastAsia" w:ascii="宋体" w:hAnsi="宋体" w:eastAsia="宋体" w:cs="宋体"/>
          <w:b/>
          <w:szCs w:val="21"/>
          <w:highlight w:val="none"/>
        </w:rPr>
        <w:t>3.2 详细评审</w:t>
      </w:r>
      <w:bookmarkEnd w:id="204"/>
    </w:p>
    <w:p>
      <w:pPr>
        <w:spacing w:line="48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3.2.1 评标委员会按本章规定的量化因素和分值进行打分，并计算出综合评估得分。</w:t>
      </w:r>
    </w:p>
    <w:p>
      <w:pPr>
        <w:spacing w:line="48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3.2.2 评分分值计算保留小数点后两位，小数点后第三位“四舍五入”。</w:t>
      </w:r>
    </w:p>
    <w:p>
      <w:pPr>
        <w:spacing w:line="48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3.2.3 投标供应商得分=A+B+C，投标供应商的最终得分为所有评委对其打分的算术平均值。</w:t>
      </w:r>
    </w:p>
    <w:p>
      <w:pPr>
        <w:autoSpaceDE w:val="0"/>
        <w:autoSpaceDN w:val="0"/>
        <w:adjustRightInd w:val="0"/>
        <w:spacing w:line="5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3.2.4 评标委员会发现投标供应商的报价明显低于其他投标报价，或者在设有标底时明显低于标底，使得其投标报价可能低于其个别成本的，应当要求该投标供应商作出书面说明并提供相应的证明材料。投标供应商不能合理说明或者不能提供相应证明材料的，由评标委员会认定该投标供应商以低于成本报价竞标，其投标作废标处理。</w:t>
      </w:r>
    </w:p>
    <w:p>
      <w:pPr>
        <w:keepNext/>
        <w:keepLines/>
        <w:spacing w:line="540" w:lineRule="exact"/>
        <w:outlineLvl w:val="3"/>
        <w:rPr>
          <w:rFonts w:hint="eastAsia" w:ascii="宋体" w:hAnsi="宋体" w:eastAsia="宋体" w:cs="宋体"/>
          <w:b/>
          <w:szCs w:val="21"/>
          <w:highlight w:val="none"/>
        </w:rPr>
      </w:pPr>
      <w:bookmarkStart w:id="205" w:name="_Toc13990"/>
      <w:r>
        <w:rPr>
          <w:rFonts w:hint="eastAsia" w:ascii="宋体" w:hAnsi="宋体" w:eastAsia="宋体" w:cs="宋体"/>
          <w:b/>
          <w:szCs w:val="21"/>
          <w:highlight w:val="none"/>
        </w:rPr>
        <w:t>3.3 投标文件的澄清和补正</w:t>
      </w:r>
      <w:bookmarkEnd w:id="205"/>
    </w:p>
    <w:p>
      <w:pPr>
        <w:autoSpaceDE w:val="0"/>
        <w:autoSpaceDN w:val="0"/>
        <w:adjustRightInd w:val="0"/>
        <w:spacing w:before="70" w:line="480" w:lineRule="exact"/>
        <w:ind w:right="-20" w:firstLine="411" w:firstLineChars="196"/>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w:t>
      </w:r>
      <w:r>
        <w:rPr>
          <w:rFonts w:hint="eastAsia" w:ascii="宋体" w:hAnsi="宋体" w:eastAsia="宋体" w:cs="宋体"/>
          <w:spacing w:val="-1"/>
          <w:kern w:val="0"/>
          <w:szCs w:val="21"/>
          <w:highlight w:val="none"/>
        </w:rPr>
        <w:t>3</w:t>
      </w:r>
      <w:r>
        <w:rPr>
          <w:rFonts w:hint="eastAsia" w:ascii="宋体" w:hAnsi="宋体" w:eastAsia="宋体" w:cs="宋体"/>
          <w:kern w:val="0"/>
          <w:szCs w:val="21"/>
          <w:highlight w:val="none"/>
        </w:rPr>
        <w:t>.1 在评标过程中，</w:t>
      </w:r>
      <w:r>
        <w:rPr>
          <w:rFonts w:hint="eastAsia" w:ascii="宋体" w:hAnsi="宋体" w:eastAsia="宋体" w:cs="宋体"/>
          <w:spacing w:val="1"/>
          <w:kern w:val="0"/>
          <w:szCs w:val="21"/>
          <w:highlight w:val="none"/>
        </w:rPr>
        <w:t>评</w:t>
      </w:r>
      <w:r>
        <w:rPr>
          <w:rFonts w:hint="eastAsia" w:ascii="宋体" w:hAnsi="宋体" w:eastAsia="宋体" w:cs="宋体"/>
          <w:kern w:val="0"/>
          <w:szCs w:val="21"/>
          <w:highlight w:val="none"/>
        </w:rPr>
        <w:t>标委员会</w:t>
      </w:r>
      <w:r>
        <w:rPr>
          <w:rFonts w:hint="eastAsia" w:ascii="宋体" w:hAnsi="宋体" w:eastAsia="宋体" w:cs="宋体"/>
          <w:spacing w:val="1"/>
          <w:kern w:val="0"/>
          <w:szCs w:val="21"/>
          <w:highlight w:val="none"/>
        </w:rPr>
        <w:t>可</w:t>
      </w:r>
      <w:r>
        <w:rPr>
          <w:rFonts w:hint="eastAsia" w:ascii="宋体" w:hAnsi="宋体" w:eastAsia="宋体" w:cs="宋体"/>
          <w:kern w:val="0"/>
          <w:szCs w:val="21"/>
          <w:highlight w:val="none"/>
        </w:rPr>
        <w:t>以书面形</w:t>
      </w:r>
      <w:r>
        <w:rPr>
          <w:rFonts w:hint="eastAsia" w:ascii="宋体" w:hAnsi="宋体" w:eastAsia="宋体" w:cs="宋体"/>
          <w:spacing w:val="1"/>
          <w:kern w:val="0"/>
          <w:szCs w:val="21"/>
          <w:highlight w:val="none"/>
        </w:rPr>
        <w:t>式</w:t>
      </w:r>
      <w:r>
        <w:rPr>
          <w:rFonts w:hint="eastAsia" w:ascii="宋体" w:hAnsi="宋体" w:eastAsia="宋体" w:cs="宋体"/>
          <w:kern w:val="0"/>
          <w:szCs w:val="21"/>
          <w:highlight w:val="none"/>
        </w:rPr>
        <w:t>要求投标供应商对所提交</w:t>
      </w:r>
      <w:r>
        <w:rPr>
          <w:rFonts w:hint="eastAsia" w:ascii="宋体" w:hAnsi="宋体" w:eastAsia="宋体" w:cs="宋体"/>
          <w:spacing w:val="1"/>
          <w:kern w:val="0"/>
          <w:szCs w:val="21"/>
          <w:highlight w:val="none"/>
        </w:rPr>
        <w:t>投</w:t>
      </w:r>
      <w:r>
        <w:rPr>
          <w:rFonts w:hint="eastAsia" w:ascii="宋体" w:hAnsi="宋体" w:eastAsia="宋体" w:cs="宋体"/>
          <w:kern w:val="0"/>
          <w:szCs w:val="21"/>
          <w:highlight w:val="none"/>
        </w:rPr>
        <w:t>标文件中</w:t>
      </w:r>
      <w:r>
        <w:rPr>
          <w:rFonts w:hint="eastAsia" w:ascii="宋体" w:hAnsi="宋体" w:eastAsia="宋体" w:cs="宋体"/>
          <w:spacing w:val="1"/>
          <w:kern w:val="0"/>
          <w:szCs w:val="21"/>
          <w:highlight w:val="none"/>
        </w:rPr>
        <w:t>不明</w:t>
      </w:r>
      <w:r>
        <w:rPr>
          <w:rFonts w:hint="eastAsia" w:ascii="宋体" w:hAnsi="宋体" w:eastAsia="宋体" w:cs="宋体"/>
          <w:kern w:val="0"/>
          <w:szCs w:val="21"/>
          <w:highlight w:val="none"/>
        </w:rPr>
        <w:t>确的内容进行书面澄清或说明</w:t>
      </w:r>
      <w:r>
        <w:rPr>
          <w:rFonts w:hint="eastAsia" w:ascii="宋体" w:hAnsi="宋体" w:eastAsia="宋体" w:cs="宋体"/>
          <w:spacing w:val="-47"/>
          <w:kern w:val="0"/>
          <w:szCs w:val="21"/>
          <w:highlight w:val="none"/>
        </w:rPr>
        <w:t>，</w:t>
      </w:r>
      <w:r>
        <w:rPr>
          <w:rFonts w:hint="eastAsia" w:ascii="宋体" w:hAnsi="宋体" w:eastAsia="宋体" w:cs="宋体"/>
          <w:kern w:val="0"/>
          <w:szCs w:val="21"/>
          <w:highlight w:val="none"/>
        </w:rPr>
        <w:t>或者对细微偏差进行补正</w:t>
      </w:r>
      <w:r>
        <w:rPr>
          <w:rFonts w:hint="eastAsia" w:ascii="宋体" w:hAnsi="宋体" w:eastAsia="宋体" w:cs="宋体"/>
          <w:spacing w:val="-47"/>
          <w:kern w:val="0"/>
          <w:szCs w:val="21"/>
          <w:highlight w:val="none"/>
        </w:rPr>
        <w:t>。</w:t>
      </w:r>
      <w:r>
        <w:rPr>
          <w:rFonts w:hint="eastAsia" w:ascii="宋体" w:hAnsi="宋体" w:eastAsia="宋体" w:cs="宋体"/>
          <w:kern w:val="0"/>
          <w:szCs w:val="21"/>
          <w:highlight w:val="none"/>
        </w:rPr>
        <w:t>评标委员会不接受投标供应商主动提出的澄清、说明或补正。</w:t>
      </w:r>
    </w:p>
    <w:p>
      <w:pPr>
        <w:autoSpaceDE w:val="0"/>
        <w:autoSpaceDN w:val="0"/>
        <w:adjustRightInd w:val="0"/>
        <w:spacing w:before="70" w:line="480" w:lineRule="exact"/>
        <w:ind w:right="-20" w:firstLine="415" w:firstLineChars="196"/>
        <w:jc w:val="left"/>
        <w:rPr>
          <w:rFonts w:hint="eastAsia" w:ascii="宋体" w:hAnsi="宋体" w:eastAsia="宋体" w:cs="宋体"/>
          <w:kern w:val="0"/>
          <w:szCs w:val="21"/>
          <w:highlight w:val="none"/>
        </w:rPr>
      </w:pPr>
      <w:r>
        <w:rPr>
          <w:rFonts w:hint="eastAsia" w:ascii="宋体" w:hAnsi="宋体" w:eastAsia="宋体" w:cs="宋体"/>
          <w:spacing w:val="1"/>
          <w:kern w:val="0"/>
          <w:szCs w:val="21"/>
          <w:highlight w:val="none"/>
        </w:rPr>
        <w:t>3</w:t>
      </w:r>
      <w:r>
        <w:rPr>
          <w:rFonts w:hint="eastAsia" w:ascii="宋体" w:hAnsi="宋体" w:eastAsia="宋体" w:cs="宋体"/>
          <w:kern w:val="0"/>
          <w:szCs w:val="21"/>
          <w:highlight w:val="none"/>
        </w:rPr>
        <w:t>.3.2 澄清</w:t>
      </w:r>
      <w:r>
        <w:rPr>
          <w:rFonts w:hint="eastAsia" w:ascii="宋体" w:hAnsi="宋体" w:eastAsia="宋体" w:cs="宋体"/>
          <w:spacing w:val="-32"/>
          <w:kern w:val="0"/>
          <w:szCs w:val="21"/>
          <w:highlight w:val="none"/>
        </w:rPr>
        <w:t>、</w:t>
      </w:r>
      <w:r>
        <w:rPr>
          <w:rFonts w:hint="eastAsia" w:ascii="宋体" w:hAnsi="宋体" w:eastAsia="宋体" w:cs="宋体"/>
          <w:kern w:val="0"/>
          <w:szCs w:val="21"/>
          <w:highlight w:val="none"/>
        </w:rPr>
        <w:t>说明和补正不得改变投标文件的实质性内</w:t>
      </w:r>
      <w:r>
        <w:rPr>
          <w:rFonts w:hint="eastAsia" w:ascii="宋体" w:hAnsi="宋体" w:eastAsia="宋体" w:cs="宋体"/>
          <w:spacing w:val="-31"/>
          <w:kern w:val="0"/>
          <w:szCs w:val="21"/>
          <w:highlight w:val="none"/>
        </w:rPr>
        <w:t>容</w:t>
      </w:r>
      <w:r>
        <w:rPr>
          <w:rFonts w:hint="eastAsia" w:ascii="宋体" w:hAnsi="宋体" w:eastAsia="宋体" w:cs="宋体"/>
          <w:kern w:val="0"/>
          <w:szCs w:val="21"/>
          <w:highlight w:val="none"/>
        </w:rPr>
        <w:t>（算术性错误修正的除外</w:t>
      </w:r>
      <w:r>
        <w:rPr>
          <w:rFonts w:hint="eastAsia" w:ascii="宋体" w:hAnsi="宋体" w:eastAsia="宋体" w:cs="宋体"/>
          <w:spacing w:val="-106"/>
          <w:kern w:val="0"/>
          <w:szCs w:val="21"/>
          <w:highlight w:val="none"/>
        </w:rPr>
        <w:t>）</w:t>
      </w:r>
      <w:r>
        <w:rPr>
          <w:rFonts w:hint="eastAsia" w:ascii="宋体" w:hAnsi="宋体" w:eastAsia="宋体" w:cs="宋体"/>
          <w:spacing w:val="-31"/>
          <w:kern w:val="0"/>
          <w:szCs w:val="21"/>
          <w:highlight w:val="none"/>
        </w:rPr>
        <w:t>。投标供应商</w:t>
      </w:r>
      <w:r>
        <w:rPr>
          <w:rFonts w:hint="eastAsia" w:ascii="宋体" w:hAnsi="宋体" w:eastAsia="宋体" w:cs="宋体"/>
          <w:kern w:val="0"/>
          <w:szCs w:val="21"/>
          <w:highlight w:val="none"/>
        </w:rPr>
        <w:t>的书面澄清、说明和补正属于投标文件的组成部分。</w:t>
      </w:r>
    </w:p>
    <w:p>
      <w:pPr>
        <w:autoSpaceDE w:val="0"/>
        <w:autoSpaceDN w:val="0"/>
        <w:adjustRightInd w:val="0"/>
        <w:spacing w:line="520" w:lineRule="exact"/>
        <w:ind w:firstLine="424" w:firstLineChars="200"/>
        <w:rPr>
          <w:rFonts w:hint="eastAsia" w:ascii="宋体" w:hAnsi="宋体" w:eastAsia="宋体" w:cs="宋体"/>
          <w:kern w:val="0"/>
          <w:szCs w:val="21"/>
          <w:highlight w:val="none"/>
        </w:rPr>
      </w:pPr>
      <w:r>
        <w:rPr>
          <w:rFonts w:hint="eastAsia" w:ascii="宋体" w:hAnsi="宋体" w:eastAsia="宋体" w:cs="宋体"/>
          <w:spacing w:val="1"/>
          <w:kern w:val="0"/>
          <w:szCs w:val="21"/>
          <w:highlight w:val="none"/>
        </w:rPr>
        <w:t>3.</w:t>
      </w:r>
      <w:r>
        <w:rPr>
          <w:rFonts w:hint="eastAsia" w:ascii="宋体" w:hAnsi="宋体" w:eastAsia="宋体" w:cs="宋体"/>
          <w:spacing w:val="-1"/>
          <w:kern w:val="0"/>
          <w:szCs w:val="21"/>
          <w:highlight w:val="none"/>
        </w:rPr>
        <w:t>3</w:t>
      </w:r>
      <w:r>
        <w:rPr>
          <w:rFonts w:hint="eastAsia" w:ascii="宋体" w:hAnsi="宋体" w:eastAsia="宋体" w:cs="宋体"/>
          <w:kern w:val="0"/>
          <w:szCs w:val="21"/>
          <w:highlight w:val="none"/>
        </w:rPr>
        <w:t>.3 评标委员会对投标供应商提交的</w:t>
      </w:r>
      <w:r>
        <w:rPr>
          <w:rFonts w:hint="eastAsia" w:ascii="宋体" w:hAnsi="宋体" w:eastAsia="宋体" w:cs="宋体"/>
          <w:spacing w:val="1"/>
          <w:kern w:val="0"/>
          <w:szCs w:val="21"/>
          <w:highlight w:val="none"/>
        </w:rPr>
        <w:t>澄</w:t>
      </w:r>
      <w:r>
        <w:rPr>
          <w:rFonts w:hint="eastAsia" w:ascii="宋体" w:hAnsi="宋体" w:eastAsia="宋体" w:cs="宋体"/>
          <w:kern w:val="0"/>
          <w:szCs w:val="21"/>
          <w:highlight w:val="none"/>
        </w:rPr>
        <w:t>清、说明</w:t>
      </w:r>
      <w:r>
        <w:rPr>
          <w:rFonts w:hint="eastAsia" w:ascii="宋体" w:hAnsi="宋体" w:eastAsia="宋体" w:cs="宋体"/>
          <w:spacing w:val="1"/>
          <w:kern w:val="0"/>
          <w:szCs w:val="21"/>
          <w:highlight w:val="none"/>
        </w:rPr>
        <w:t>或</w:t>
      </w:r>
      <w:r>
        <w:rPr>
          <w:rFonts w:hint="eastAsia" w:ascii="宋体" w:hAnsi="宋体" w:eastAsia="宋体" w:cs="宋体"/>
          <w:kern w:val="0"/>
          <w:szCs w:val="21"/>
          <w:highlight w:val="none"/>
        </w:rPr>
        <w:t>补正有疑</w:t>
      </w:r>
      <w:r>
        <w:rPr>
          <w:rFonts w:hint="eastAsia" w:ascii="宋体" w:hAnsi="宋体" w:eastAsia="宋体" w:cs="宋体"/>
          <w:spacing w:val="1"/>
          <w:kern w:val="0"/>
          <w:szCs w:val="21"/>
          <w:highlight w:val="none"/>
        </w:rPr>
        <w:t>问</w:t>
      </w:r>
      <w:r>
        <w:rPr>
          <w:rFonts w:hint="eastAsia" w:ascii="宋体" w:hAnsi="宋体" w:eastAsia="宋体" w:cs="宋体"/>
          <w:kern w:val="0"/>
          <w:szCs w:val="21"/>
          <w:highlight w:val="none"/>
        </w:rPr>
        <w:t>的，可以</w:t>
      </w:r>
      <w:r>
        <w:rPr>
          <w:rFonts w:hint="eastAsia" w:ascii="宋体" w:hAnsi="宋体" w:eastAsia="宋体" w:cs="宋体"/>
          <w:spacing w:val="1"/>
          <w:kern w:val="0"/>
          <w:szCs w:val="21"/>
          <w:highlight w:val="none"/>
        </w:rPr>
        <w:t>要</w:t>
      </w:r>
      <w:r>
        <w:rPr>
          <w:rFonts w:hint="eastAsia" w:ascii="宋体" w:hAnsi="宋体" w:eastAsia="宋体" w:cs="宋体"/>
          <w:kern w:val="0"/>
          <w:szCs w:val="21"/>
          <w:highlight w:val="none"/>
        </w:rPr>
        <w:t>求投标供应商</w:t>
      </w:r>
      <w:r>
        <w:rPr>
          <w:rFonts w:hint="eastAsia" w:ascii="宋体" w:hAnsi="宋体" w:eastAsia="宋体" w:cs="宋体"/>
          <w:spacing w:val="1"/>
          <w:kern w:val="0"/>
          <w:szCs w:val="21"/>
          <w:highlight w:val="none"/>
        </w:rPr>
        <w:t>进一</w:t>
      </w:r>
      <w:r>
        <w:rPr>
          <w:rFonts w:hint="eastAsia" w:ascii="宋体" w:hAnsi="宋体" w:eastAsia="宋体" w:cs="宋体"/>
          <w:kern w:val="0"/>
          <w:szCs w:val="21"/>
          <w:highlight w:val="none"/>
        </w:rPr>
        <w:t>步澄清、说明或补正，直至满足评标委员会的要求。</w:t>
      </w:r>
    </w:p>
    <w:p>
      <w:pPr>
        <w:keepNext/>
        <w:keepLines/>
        <w:spacing w:line="540" w:lineRule="exact"/>
        <w:outlineLvl w:val="3"/>
        <w:rPr>
          <w:rFonts w:hint="eastAsia" w:ascii="宋体" w:hAnsi="宋体" w:eastAsia="宋体" w:cs="宋体"/>
          <w:b/>
          <w:szCs w:val="21"/>
          <w:highlight w:val="none"/>
        </w:rPr>
      </w:pPr>
      <w:bookmarkStart w:id="206" w:name="_Toc10630"/>
      <w:r>
        <w:rPr>
          <w:rFonts w:hint="eastAsia" w:ascii="宋体" w:hAnsi="宋体" w:eastAsia="宋体" w:cs="宋体"/>
          <w:b/>
          <w:szCs w:val="21"/>
          <w:highlight w:val="none"/>
        </w:rPr>
        <w:t>3.4 评标结果</w:t>
      </w:r>
      <w:bookmarkEnd w:id="206"/>
    </w:p>
    <w:p>
      <w:pPr>
        <w:autoSpaceDE w:val="0"/>
        <w:autoSpaceDN w:val="0"/>
        <w:adjustRightInd w:val="0"/>
        <w:spacing w:line="520" w:lineRule="exact"/>
        <w:ind w:firstLine="424" w:firstLineChars="200"/>
        <w:rPr>
          <w:rFonts w:hint="eastAsia" w:ascii="宋体" w:hAnsi="宋体" w:eastAsia="宋体" w:cs="宋体"/>
          <w:spacing w:val="1"/>
          <w:kern w:val="0"/>
          <w:szCs w:val="21"/>
          <w:highlight w:val="none"/>
        </w:rPr>
      </w:pPr>
      <w:r>
        <w:rPr>
          <w:rFonts w:hint="eastAsia" w:ascii="宋体" w:hAnsi="宋体" w:eastAsia="宋体" w:cs="宋体"/>
          <w:spacing w:val="1"/>
          <w:kern w:val="0"/>
          <w:szCs w:val="21"/>
          <w:highlight w:val="none"/>
        </w:rPr>
        <w:t>3.4.1 除第二章“投标人须知”前附表授权直接确定中标供应商外，评标委员会按照得分由高到低的顺序推荐中标候选人。</w:t>
      </w:r>
      <w:r>
        <w:rPr>
          <w:rFonts w:hint="eastAsia" w:ascii="宋体" w:hAnsi="宋体" w:eastAsia="宋体" w:cs="宋体"/>
          <w:spacing w:val="1"/>
          <w:kern w:val="0"/>
          <w:szCs w:val="21"/>
          <w:highlight w:val="none"/>
          <w:lang w:eastAsia="zh-CN"/>
        </w:rPr>
        <w:t>核心产品（见招标公告）</w:t>
      </w:r>
      <w:r>
        <w:rPr>
          <w:rFonts w:hint="eastAsia" w:ascii="宋体" w:hAnsi="宋体" w:eastAsia="宋体" w:cs="宋体"/>
          <w:spacing w:val="1"/>
          <w:kern w:val="0"/>
          <w:szCs w:val="21"/>
          <w:highlight w:val="none"/>
        </w:rPr>
        <w:t>提供相同品牌产品且通过资格审查、符合性审查的不同投标供应商参加同一合同项下投标的，按一家投标供应商计算：评审后得分最高的同品牌投标供应商获得中标供应商推荐资格；评审得分相同的，技术部分得分高的获得中标供应商推荐资格；技术部分得分相同的，投标报价低的获得中标供应商推荐资格。</w:t>
      </w:r>
    </w:p>
    <w:p>
      <w:pPr>
        <w:autoSpaceDE w:val="0"/>
        <w:autoSpaceDN w:val="0"/>
        <w:adjustRightInd w:val="0"/>
        <w:spacing w:line="520" w:lineRule="exact"/>
        <w:ind w:firstLine="424" w:firstLineChars="200"/>
        <w:rPr>
          <w:rFonts w:hint="eastAsia" w:ascii="宋体" w:hAnsi="宋体" w:eastAsia="宋体" w:cs="宋体"/>
          <w:spacing w:val="1"/>
          <w:kern w:val="0"/>
          <w:szCs w:val="21"/>
          <w:highlight w:val="none"/>
        </w:rPr>
      </w:pPr>
      <w:r>
        <w:rPr>
          <w:rFonts w:hint="eastAsia" w:ascii="宋体" w:hAnsi="宋体" w:eastAsia="宋体" w:cs="宋体"/>
          <w:spacing w:val="1"/>
          <w:kern w:val="0"/>
          <w:szCs w:val="21"/>
          <w:highlight w:val="none"/>
        </w:rPr>
        <w:t>3.4.2 评标委员会完成评标后，应当向采购人提交书面评标报告。</w:t>
      </w:r>
    </w:p>
    <w:p>
      <w:pPr>
        <w:rPr>
          <w:rFonts w:hint="eastAsia" w:ascii="宋体" w:hAnsi="宋体" w:eastAsia="宋体" w:cs="宋体"/>
          <w:szCs w:val="21"/>
          <w:highlight w:val="none"/>
        </w:rPr>
      </w:pPr>
    </w:p>
    <w:p>
      <w:pPr>
        <w:spacing w:line="480" w:lineRule="exact"/>
        <w:jc w:val="center"/>
        <w:rPr>
          <w:rFonts w:hint="eastAsia" w:ascii="宋体" w:hAnsi="宋体" w:eastAsia="宋体" w:cs="宋体"/>
          <w:b/>
          <w:sz w:val="30"/>
          <w:szCs w:val="30"/>
          <w:highlight w:val="none"/>
        </w:rPr>
      </w:pPr>
    </w:p>
    <w:p>
      <w:pPr>
        <w:rPr>
          <w:rStyle w:val="79"/>
          <w:rFonts w:hint="eastAsia" w:ascii="宋体" w:hAnsi="宋体" w:eastAsia="宋体" w:cs="宋体"/>
          <w:b/>
          <w:bCs/>
          <w:sz w:val="28"/>
          <w:szCs w:val="28"/>
          <w:highlight w:val="none"/>
          <w:lang w:val="en-US" w:eastAsia="zh-CN"/>
        </w:rPr>
      </w:pPr>
      <w:bookmarkStart w:id="207" w:name="_Toc256363561"/>
      <w:bookmarkStart w:id="208" w:name="_Toc12763"/>
      <w:r>
        <w:rPr>
          <w:rStyle w:val="79"/>
          <w:rFonts w:hint="eastAsia" w:ascii="宋体" w:hAnsi="宋体" w:eastAsia="宋体" w:cs="宋体"/>
          <w:b/>
          <w:bCs/>
          <w:sz w:val="28"/>
          <w:szCs w:val="28"/>
          <w:highlight w:val="none"/>
          <w:lang w:val="en-US" w:eastAsia="zh-CN"/>
        </w:rPr>
        <w:br w:type="page"/>
      </w:r>
    </w:p>
    <w:p>
      <w:pPr>
        <w:pStyle w:val="55"/>
        <w:numPr>
          <w:ilvl w:val="0"/>
          <w:numId w:val="0"/>
        </w:numPr>
        <w:jc w:val="center"/>
        <w:outlineLvl w:val="0"/>
        <w:rPr>
          <w:rFonts w:hint="eastAsia" w:ascii="宋体" w:hAnsi="宋体" w:eastAsia="宋体" w:cs="宋体"/>
          <w:b/>
          <w:sz w:val="28"/>
          <w:szCs w:val="28"/>
          <w:highlight w:val="none"/>
        </w:rPr>
      </w:pPr>
      <w:r>
        <w:rPr>
          <w:rStyle w:val="79"/>
          <w:rFonts w:hint="eastAsia" w:ascii="宋体" w:hAnsi="宋体" w:eastAsia="宋体" w:cs="宋体"/>
          <w:b/>
          <w:bCs/>
          <w:sz w:val="28"/>
          <w:szCs w:val="28"/>
          <w:highlight w:val="none"/>
          <w:lang w:val="en-US" w:eastAsia="zh-CN"/>
        </w:rPr>
        <w:t>第六章 合同格式及合同主要条款</w:t>
      </w:r>
      <w:bookmarkEnd w:id="207"/>
      <w:bookmarkEnd w:id="208"/>
    </w:p>
    <w:p>
      <w:pPr>
        <w:pStyle w:val="55"/>
        <w:numPr>
          <w:ilvl w:val="0"/>
          <w:numId w:val="0"/>
        </w:numPr>
        <w:rPr>
          <w:rFonts w:hint="eastAsia" w:ascii="宋体" w:hAnsi="宋体" w:eastAsia="宋体" w:cs="宋体"/>
          <w:sz w:val="24"/>
          <w:szCs w:val="24"/>
          <w:highlight w:val="none"/>
        </w:rPr>
      </w:pPr>
    </w:p>
    <w:p>
      <w:pPr>
        <w:pStyle w:val="55"/>
        <w:numPr>
          <w:ilvl w:val="0"/>
          <w:numId w:val="0"/>
        </w:num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下“合同格式及合同主要条款”为合同签订时的基本内容，未尽事宜待中标人中标后签订合同时与采购人协商确定。最终文本是以招标文件和投标文件（包括评标时质询文件）相关内容为基础，经双方协商后形成的合同文本。</w:t>
      </w:r>
    </w:p>
    <w:p>
      <w:pPr>
        <w:rPr>
          <w:rFonts w:hint="eastAsia" w:ascii="宋体" w:hAnsi="宋体" w:eastAsia="宋体" w:cs="宋体"/>
          <w:b/>
          <w:bCs/>
          <w:kern w:val="44"/>
          <w:sz w:val="44"/>
          <w:szCs w:val="44"/>
          <w:highlight w:val="none"/>
        </w:rPr>
      </w:pPr>
      <w:r>
        <w:rPr>
          <w:rFonts w:hint="eastAsia" w:ascii="宋体" w:hAnsi="宋体" w:eastAsia="宋体" w:cs="宋体"/>
          <w:b/>
          <w:bCs/>
          <w:kern w:val="44"/>
          <w:sz w:val="44"/>
          <w:szCs w:val="44"/>
          <w:highlight w:val="none"/>
        </w:rPr>
        <w:br w:type="page"/>
      </w:r>
    </w:p>
    <w:p>
      <w:pPr>
        <w:keepNext/>
        <w:keepLines/>
        <w:spacing w:before="340" w:after="330" w:line="600" w:lineRule="exact"/>
        <w:jc w:val="center"/>
        <w:outlineLvl w:val="9"/>
        <w:rPr>
          <w:rFonts w:hint="eastAsia" w:ascii="宋体" w:hAnsi="宋体" w:eastAsia="宋体" w:cs="宋体"/>
          <w:b/>
          <w:bCs/>
          <w:kern w:val="44"/>
          <w:sz w:val="28"/>
          <w:szCs w:val="28"/>
          <w:highlight w:val="none"/>
        </w:rPr>
      </w:pPr>
      <w:r>
        <w:rPr>
          <w:rFonts w:hint="eastAsia" w:ascii="宋体" w:hAnsi="宋体" w:eastAsia="宋体" w:cs="宋体"/>
          <w:b/>
          <w:bCs/>
          <w:kern w:val="44"/>
          <w:sz w:val="28"/>
          <w:szCs w:val="28"/>
          <w:highlight w:val="none"/>
        </w:rPr>
        <w:t>河南省锅炉压力容器检验技术科学研究院2023年第三批检验检测设备</w:t>
      </w:r>
    </w:p>
    <w:p>
      <w:pPr>
        <w:keepNext/>
        <w:keepLines/>
        <w:spacing w:before="340" w:after="330" w:line="600" w:lineRule="exact"/>
        <w:jc w:val="center"/>
        <w:outlineLvl w:val="9"/>
        <w:rPr>
          <w:rFonts w:hint="eastAsia" w:ascii="宋体" w:hAnsi="宋体" w:eastAsia="宋体" w:cs="宋体"/>
          <w:b/>
          <w:bCs/>
          <w:kern w:val="44"/>
          <w:sz w:val="44"/>
          <w:szCs w:val="44"/>
          <w:highlight w:val="none"/>
        </w:rPr>
      </w:pPr>
      <w:r>
        <w:rPr>
          <w:rFonts w:hint="eastAsia" w:ascii="宋体" w:hAnsi="宋体" w:eastAsia="宋体" w:cs="宋体"/>
          <w:b/>
          <w:bCs/>
          <w:kern w:val="44"/>
          <w:sz w:val="28"/>
          <w:szCs w:val="28"/>
          <w:highlight w:val="none"/>
        </w:rPr>
        <w:t>采购项目合同</w:t>
      </w:r>
    </w:p>
    <w:p>
      <w:pPr>
        <w:spacing w:line="600" w:lineRule="exact"/>
        <w:ind w:right="84" w:rightChars="40"/>
        <w:jc w:val="left"/>
        <w:rPr>
          <w:rFonts w:hint="eastAsia" w:ascii="宋体" w:hAnsi="宋体" w:eastAsia="宋体" w:cs="宋体"/>
          <w:kern w:val="0"/>
          <w:sz w:val="32"/>
          <w:szCs w:val="32"/>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szCs w:val="24"/>
          <w:highlight w:val="none"/>
        </w:rPr>
        <w:t xml:space="preserve"> 合同编号：</w:t>
      </w:r>
      <w:r>
        <w:rPr>
          <w:rFonts w:hint="eastAsia" w:ascii="宋体" w:hAnsi="宋体" w:eastAsia="宋体" w:cs="宋体"/>
          <w:kern w:val="0"/>
          <w:sz w:val="24"/>
          <w:szCs w:val="24"/>
          <w:highlight w:val="none"/>
          <w:u w:val="single"/>
        </w:rPr>
        <w:t xml:space="preserve">豫财招标采购-2023-****/包*   </w:t>
      </w:r>
    </w:p>
    <w:p>
      <w:pPr>
        <w:spacing w:line="360" w:lineRule="auto"/>
        <w:ind w:right="84" w:rightChars="40"/>
        <w:jc w:val="left"/>
        <w:rPr>
          <w:rFonts w:hint="eastAsia" w:ascii="宋体" w:hAnsi="宋体" w:eastAsia="宋体" w:cs="宋体"/>
          <w:kern w:val="0"/>
          <w:sz w:val="32"/>
          <w:szCs w:val="32"/>
          <w:highlight w:val="none"/>
        </w:rPr>
      </w:pPr>
    </w:p>
    <w:p>
      <w:pPr>
        <w:spacing w:line="360" w:lineRule="auto"/>
        <w:ind w:right="84" w:rightChars="4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甲方（需方）：河南省锅炉压力容器检验技术科学研究院</w:t>
      </w:r>
    </w:p>
    <w:p>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乙方（供方）：</w:t>
      </w:r>
    </w:p>
    <w:p>
      <w:pPr>
        <w:spacing w:line="360" w:lineRule="auto"/>
        <w:ind w:left="-2"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w:t>
      </w:r>
      <w:r>
        <w:rPr>
          <w:rFonts w:hint="eastAsia" w:ascii="宋体" w:hAnsi="宋体" w:eastAsia="宋体" w:cs="宋体"/>
          <w:kern w:val="0"/>
          <w:sz w:val="21"/>
          <w:szCs w:val="21"/>
          <w:highlight w:val="none"/>
          <w:u w:val="single"/>
        </w:rPr>
        <w:t>河南省锅炉压力容器检验技术科学研究院2023年第三批检验检测设备采购项目</w:t>
      </w:r>
      <w:r>
        <w:rPr>
          <w:rFonts w:hint="eastAsia" w:ascii="宋体" w:hAnsi="宋体" w:eastAsia="宋体" w:cs="宋体"/>
          <w:kern w:val="0"/>
          <w:sz w:val="21"/>
          <w:szCs w:val="21"/>
          <w:highlight w:val="none"/>
        </w:rPr>
        <w:t>的中标通知书和招标（采购）、投标（响应性）文件（或其他采购依据），经甲乙双方协商，签订本合同。本合同中的词语和术语的含义与招标文件合同条款中定义的相同。</w:t>
      </w:r>
    </w:p>
    <w:p>
      <w:pPr>
        <w:spacing w:line="360" w:lineRule="auto"/>
        <w:ind w:firstLine="645"/>
        <w:jc w:val="left"/>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一、产品（货物或设备）明细及报价表</w:t>
      </w:r>
    </w:p>
    <w:tbl>
      <w:tblPr>
        <w:tblStyle w:val="34"/>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1101"/>
        <w:gridCol w:w="1167"/>
        <w:gridCol w:w="708"/>
        <w:gridCol w:w="709"/>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52"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1701"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名称</w:t>
            </w:r>
          </w:p>
        </w:tc>
        <w:tc>
          <w:tcPr>
            <w:tcW w:w="1101"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品牌</w:t>
            </w:r>
          </w:p>
        </w:tc>
        <w:tc>
          <w:tcPr>
            <w:tcW w:w="1167"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规格型号</w:t>
            </w:r>
          </w:p>
        </w:tc>
        <w:tc>
          <w:tcPr>
            <w:tcW w:w="708"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单位</w:t>
            </w:r>
          </w:p>
        </w:tc>
        <w:tc>
          <w:tcPr>
            <w:tcW w:w="709"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数量</w:t>
            </w:r>
          </w:p>
        </w:tc>
        <w:tc>
          <w:tcPr>
            <w:tcW w:w="1134"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单价（元）</w:t>
            </w:r>
          </w:p>
        </w:tc>
        <w:tc>
          <w:tcPr>
            <w:tcW w:w="1134"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合计（元）</w:t>
            </w:r>
          </w:p>
        </w:tc>
        <w:tc>
          <w:tcPr>
            <w:tcW w:w="1134"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52"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701" w:type="dxa"/>
            <w:vAlign w:val="center"/>
          </w:tcPr>
          <w:p>
            <w:pPr>
              <w:widowControl/>
              <w:spacing w:line="360" w:lineRule="auto"/>
              <w:jc w:val="center"/>
              <w:rPr>
                <w:rFonts w:hint="eastAsia" w:ascii="宋体" w:hAnsi="宋体" w:eastAsia="宋体" w:cs="宋体"/>
                <w:kern w:val="0"/>
                <w:sz w:val="21"/>
                <w:szCs w:val="21"/>
                <w:highlight w:val="none"/>
              </w:rPr>
            </w:pPr>
          </w:p>
        </w:tc>
        <w:tc>
          <w:tcPr>
            <w:tcW w:w="1101" w:type="dxa"/>
            <w:vAlign w:val="center"/>
          </w:tcPr>
          <w:p>
            <w:pPr>
              <w:widowControl/>
              <w:spacing w:line="360" w:lineRule="auto"/>
              <w:jc w:val="center"/>
              <w:rPr>
                <w:rFonts w:hint="eastAsia" w:ascii="宋体" w:hAnsi="宋体" w:eastAsia="宋体" w:cs="宋体"/>
                <w:kern w:val="0"/>
                <w:sz w:val="21"/>
                <w:szCs w:val="21"/>
                <w:highlight w:val="none"/>
              </w:rPr>
            </w:pPr>
          </w:p>
        </w:tc>
        <w:tc>
          <w:tcPr>
            <w:tcW w:w="1167" w:type="dxa"/>
            <w:vAlign w:val="center"/>
          </w:tcPr>
          <w:p>
            <w:pPr>
              <w:widowControl/>
              <w:spacing w:line="360" w:lineRule="auto"/>
              <w:jc w:val="center"/>
              <w:rPr>
                <w:rFonts w:hint="eastAsia" w:ascii="宋体" w:hAnsi="宋体" w:eastAsia="宋体" w:cs="宋体"/>
                <w:kern w:val="0"/>
                <w:sz w:val="21"/>
                <w:szCs w:val="21"/>
                <w:highlight w:val="none"/>
              </w:rPr>
            </w:pPr>
          </w:p>
        </w:tc>
        <w:tc>
          <w:tcPr>
            <w:tcW w:w="708" w:type="dxa"/>
            <w:vAlign w:val="center"/>
          </w:tcPr>
          <w:p>
            <w:pPr>
              <w:widowControl/>
              <w:spacing w:line="360" w:lineRule="auto"/>
              <w:jc w:val="center"/>
              <w:rPr>
                <w:rFonts w:hint="eastAsia" w:ascii="宋体" w:hAnsi="宋体" w:eastAsia="宋体" w:cs="宋体"/>
                <w:kern w:val="0"/>
                <w:sz w:val="21"/>
                <w:szCs w:val="21"/>
                <w:highlight w:val="none"/>
              </w:rPr>
            </w:pPr>
          </w:p>
        </w:tc>
        <w:tc>
          <w:tcPr>
            <w:tcW w:w="709" w:type="dxa"/>
            <w:vAlign w:val="center"/>
          </w:tcPr>
          <w:p>
            <w:pPr>
              <w:widowControl/>
              <w:spacing w:line="360" w:lineRule="auto"/>
              <w:jc w:val="center"/>
              <w:rPr>
                <w:rFonts w:hint="eastAsia" w:ascii="宋体" w:hAnsi="宋体" w:eastAsia="宋体" w:cs="宋体"/>
                <w:kern w:val="0"/>
                <w:sz w:val="21"/>
                <w:szCs w:val="21"/>
                <w:highlight w:val="none"/>
              </w:rPr>
            </w:pPr>
          </w:p>
        </w:tc>
        <w:tc>
          <w:tcPr>
            <w:tcW w:w="1134" w:type="dxa"/>
            <w:vAlign w:val="center"/>
          </w:tcPr>
          <w:p>
            <w:pPr>
              <w:widowControl/>
              <w:spacing w:line="360" w:lineRule="auto"/>
              <w:jc w:val="center"/>
              <w:rPr>
                <w:rFonts w:hint="eastAsia" w:ascii="宋体" w:hAnsi="宋体" w:eastAsia="宋体" w:cs="宋体"/>
                <w:kern w:val="0"/>
                <w:sz w:val="21"/>
                <w:szCs w:val="21"/>
                <w:highlight w:val="none"/>
              </w:rPr>
            </w:pPr>
          </w:p>
        </w:tc>
        <w:tc>
          <w:tcPr>
            <w:tcW w:w="1134" w:type="dxa"/>
            <w:vAlign w:val="center"/>
          </w:tcPr>
          <w:p>
            <w:pPr>
              <w:widowControl/>
              <w:spacing w:line="360" w:lineRule="auto"/>
              <w:jc w:val="center"/>
              <w:rPr>
                <w:rFonts w:hint="eastAsia" w:ascii="宋体" w:hAnsi="宋体" w:eastAsia="宋体" w:cs="宋体"/>
                <w:kern w:val="0"/>
                <w:sz w:val="21"/>
                <w:szCs w:val="21"/>
                <w:highlight w:val="none"/>
              </w:rPr>
            </w:pPr>
          </w:p>
        </w:tc>
        <w:tc>
          <w:tcPr>
            <w:tcW w:w="1134" w:type="dxa"/>
            <w:noWrap/>
            <w:vAlign w:val="center"/>
          </w:tcPr>
          <w:p>
            <w:pPr>
              <w:widowControl/>
              <w:spacing w:line="360" w:lineRule="auto"/>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701" w:type="dxa"/>
            <w:vAlign w:val="center"/>
          </w:tcPr>
          <w:p>
            <w:pPr>
              <w:widowControl/>
              <w:spacing w:line="360" w:lineRule="auto"/>
              <w:jc w:val="center"/>
              <w:rPr>
                <w:rFonts w:hint="eastAsia" w:ascii="宋体" w:hAnsi="宋体" w:eastAsia="宋体" w:cs="宋体"/>
                <w:kern w:val="0"/>
                <w:sz w:val="21"/>
                <w:szCs w:val="21"/>
                <w:highlight w:val="none"/>
              </w:rPr>
            </w:pPr>
          </w:p>
        </w:tc>
        <w:tc>
          <w:tcPr>
            <w:tcW w:w="1101" w:type="dxa"/>
            <w:vAlign w:val="center"/>
          </w:tcPr>
          <w:p>
            <w:pPr>
              <w:widowControl/>
              <w:spacing w:line="360" w:lineRule="auto"/>
              <w:jc w:val="center"/>
              <w:rPr>
                <w:rFonts w:hint="eastAsia" w:ascii="宋体" w:hAnsi="宋体" w:eastAsia="宋体" w:cs="宋体"/>
                <w:kern w:val="0"/>
                <w:sz w:val="21"/>
                <w:szCs w:val="21"/>
                <w:highlight w:val="none"/>
              </w:rPr>
            </w:pPr>
          </w:p>
        </w:tc>
        <w:tc>
          <w:tcPr>
            <w:tcW w:w="1167" w:type="dxa"/>
            <w:vAlign w:val="center"/>
          </w:tcPr>
          <w:p>
            <w:pPr>
              <w:widowControl/>
              <w:spacing w:line="360" w:lineRule="auto"/>
              <w:jc w:val="center"/>
              <w:rPr>
                <w:rFonts w:hint="eastAsia" w:ascii="宋体" w:hAnsi="宋体" w:eastAsia="宋体" w:cs="宋体"/>
                <w:kern w:val="0"/>
                <w:sz w:val="21"/>
                <w:szCs w:val="21"/>
                <w:highlight w:val="none"/>
              </w:rPr>
            </w:pPr>
          </w:p>
        </w:tc>
        <w:tc>
          <w:tcPr>
            <w:tcW w:w="708" w:type="dxa"/>
            <w:vAlign w:val="center"/>
          </w:tcPr>
          <w:p>
            <w:pPr>
              <w:widowControl/>
              <w:spacing w:line="360" w:lineRule="auto"/>
              <w:jc w:val="center"/>
              <w:rPr>
                <w:rFonts w:hint="eastAsia" w:ascii="宋体" w:hAnsi="宋体" w:eastAsia="宋体" w:cs="宋体"/>
                <w:kern w:val="0"/>
                <w:sz w:val="21"/>
                <w:szCs w:val="21"/>
                <w:highlight w:val="none"/>
              </w:rPr>
            </w:pPr>
          </w:p>
        </w:tc>
        <w:tc>
          <w:tcPr>
            <w:tcW w:w="709" w:type="dxa"/>
            <w:vAlign w:val="center"/>
          </w:tcPr>
          <w:p>
            <w:pPr>
              <w:widowControl/>
              <w:spacing w:line="360" w:lineRule="auto"/>
              <w:jc w:val="center"/>
              <w:rPr>
                <w:rFonts w:hint="eastAsia" w:ascii="宋体" w:hAnsi="宋体" w:eastAsia="宋体" w:cs="宋体"/>
                <w:kern w:val="0"/>
                <w:sz w:val="21"/>
                <w:szCs w:val="21"/>
                <w:highlight w:val="none"/>
              </w:rPr>
            </w:pPr>
          </w:p>
        </w:tc>
        <w:tc>
          <w:tcPr>
            <w:tcW w:w="1134" w:type="dxa"/>
            <w:vAlign w:val="center"/>
          </w:tcPr>
          <w:p>
            <w:pPr>
              <w:widowControl/>
              <w:spacing w:line="360" w:lineRule="auto"/>
              <w:jc w:val="center"/>
              <w:rPr>
                <w:rFonts w:hint="eastAsia" w:ascii="宋体" w:hAnsi="宋体" w:eastAsia="宋体" w:cs="宋体"/>
                <w:kern w:val="0"/>
                <w:sz w:val="21"/>
                <w:szCs w:val="21"/>
                <w:highlight w:val="none"/>
              </w:rPr>
            </w:pPr>
          </w:p>
        </w:tc>
        <w:tc>
          <w:tcPr>
            <w:tcW w:w="1134" w:type="dxa"/>
            <w:vAlign w:val="center"/>
          </w:tcPr>
          <w:p>
            <w:pPr>
              <w:widowControl/>
              <w:spacing w:line="360" w:lineRule="auto"/>
              <w:jc w:val="center"/>
              <w:rPr>
                <w:rFonts w:hint="eastAsia" w:ascii="宋体" w:hAnsi="宋体" w:eastAsia="宋体" w:cs="宋体"/>
                <w:kern w:val="0"/>
                <w:sz w:val="21"/>
                <w:szCs w:val="21"/>
                <w:highlight w:val="none"/>
              </w:rPr>
            </w:pPr>
          </w:p>
        </w:tc>
        <w:tc>
          <w:tcPr>
            <w:tcW w:w="1134" w:type="dxa"/>
            <w:noWrap/>
            <w:vAlign w:val="center"/>
          </w:tcPr>
          <w:p>
            <w:pPr>
              <w:widowControl/>
              <w:spacing w:line="360" w:lineRule="auto"/>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2"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701" w:type="dxa"/>
            <w:vAlign w:val="center"/>
          </w:tcPr>
          <w:p>
            <w:pPr>
              <w:widowControl/>
              <w:spacing w:line="360" w:lineRule="auto"/>
              <w:jc w:val="center"/>
              <w:rPr>
                <w:rFonts w:hint="eastAsia" w:ascii="宋体" w:hAnsi="宋体" w:eastAsia="宋体" w:cs="宋体"/>
                <w:kern w:val="0"/>
                <w:sz w:val="21"/>
                <w:szCs w:val="21"/>
                <w:highlight w:val="none"/>
              </w:rPr>
            </w:pPr>
          </w:p>
        </w:tc>
        <w:tc>
          <w:tcPr>
            <w:tcW w:w="1101" w:type="dxa"/>
            <w:vAlign w:val="center"/>
          </w:tcPr>
          <w:p>
            <w:pPr>
              <w:widowControl/>
              <w:spacing w:line="360" w:lineRule="auto"/>
              <w:jc w:val="center"/>
              <w:rPr>
                <w:rFonts w:hint="eastAsia" w:ascii="宋体" w:hAnsi="宋体" w:eastAsia="宋体" w:cs="宋体"/>
                <w:kern w:val="0"/>
                <w:sz w:val="21"/>
                <w:szCs w:val="21"/>
                <w:highlight w:val="none"/>
              </w:rPr>
            </w:pPr>
          </w:p>
        </w:tc>
        <w:tc>
          <w:tcPr>
            <w:tcW w:w="1167" w:type="dxa"/>
            <w:vAlign w:val="center"/>
          </w:tcPr>
          <w:p>
            <w:pPr>
              <w:widowControl/>
              <w:spacing w:line="360" w:lineRule="auto"/>
              <w:jc w:val="center"/>
              <w:rPr>
                <w:rFonts w:hint="eastAsia" w:ascii="宋体" w:hAnsi="宋体" w:eastAsia="宋体" w:cs="宋体"/>
                <w:kern w:val="0"/>
                <w:sz w:val="21"/>
                <w:szCs w:val="21"/>
                <w:highlight w:val="none"/>
              </w:rPr>
            </w:pPr>
          </w:p>
        </w:tc>
        <w:tc>
          <w:tcPr>
            <w:tcW w:w="708" w:type="dxa"/>
            <w:vAlign w:val="center"/>
          </w:tcPr>
          <w:p>
            <w:pPr>
              <w:widowControl/>
              <w:spacing w:line="360" w:lineRule="auto"/>
              <w:jc w:val="center"/>
              <w:rPr>
                <w:rFonts w:hint="eastAsia" w:ascii="宋体" w:hAnsi="宋体" w:eastAsia="宋体" w:cs="宋体"/>
                <w:kern w:val="0"/>
                <w:sz w:val="21"/>
                <w:szCs w:val="21"/>
                <w:highlight w:val="none"/>
              </w:rPr>
            </w:pPr>
          </w:p>
        </w:tc>
        <w:tc>
          <w:tcPr>
            <w:tcW w:w="709" w:type="dxa"/>
            <w:vAlign w:val="center"/>
          </w:tcPr>
          <w:p>
            <w:pPr>
              <w:widowControl/>
              <w:spacing w:line="360" w:lineRule="auto"/>
              <w:jc w:val="center"/>
              <w:rPr>
                <w:rFonts w:hint="eastAsia" w:ascii="宋体" w:hAnsi="宋体" w:eastAsia="宋体" w:cs="宋体"/>
                <w:kern w:val="0"/>
                <w:sz w:val="21"/>
                <w:szCs w:val="21"/>
                <w:highlight w:val="none"/>
              </w:rPr>
            </w:pPr>
          </w:p>
        </w:tc>
        <w:tc>
          <w:tcPr>
            <w:tcW w:w="1134" w:type="dxa"/>
            <w:vAlign w:val="center"/>
          </w:tcPr>
          <w:p>
            <w:pPr>
              <w:widowControl/>
              <w:spacing w:line="360" w:lineRule="auto"/>
              <w:jc w:val="center"/>
              <w:rPr>
                <w:rFonts w:hint="eastAsia" w:ascii="宋体" w:hAnsi="宋体" w:eastAsia="宋体" w:cs="宋体"/>
                <w:kern w:val="0"/>
                <w:sz w:val="21"/>
                <w:szCs w:val="21"/>
                <w:highlight w:val="none"/>
              </w:rPr>
            </w:pPr>
          </w:p>
        </w:tc>
        <w:tc>
          <w:tcPr>
            <w:tcW w:w="1134" w:type="dxa"/>
            <w:vAlign w:val="center"/>
          </w:tcPr>
          <w:p>
            <w:pPr>
              <w:widowControl/>
              <w:spacing w:line="360" w:lineRule="auto"/>
              <w:jc w:val="center"/>
              <w:rPr>
                <w:rFonts w:hint="eastAsia" w:ascii="宋体" w:hAnsi="宋体" w:eastAsia="宋体" w:cs="宋体"/>
                <w:kern w:val="0"/>
                <w:sz w:val="21"/>
                <w:szCs w:val="21"/>
                <w:highlight w:val="none"/>
              </w:rPr>
            </w:pPr>
          </w:p>
        </w:tc>
        <w:tc>
          <w:tcPr>
            <w:tcW w:w="1134" w:type="dxa"/>
            <w:vAlign w:val="center"/>
          </w:tcPr>
          <w:p>
            <w:pPr>
              <w:widowControl/>
              <w:spacing w:line="360" w:lineRule="auto"/>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52"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1701" w:type="dxa"/>
            <w:vAlign w:val="center"/>
          </w:tcPr>
          <w:p>
            <w:pPr>
              <w:widowControl/>
              <w:spacing w:line="360" w:lineRule="auto"/>
              <w:jc w:val="center"/>
              <w:rPr>
                <w:rFonts w:hint="eastAsia" w:ascii="宋体" w:hAnsi="宋体" w:eastAsia="宋体" w:cs="宋体"/>
                <w:kern w:val="0"/>
                <w:sz w:val="21"/>
                <w:szCs w:val="21"/>
                <w:highlight w:val="none"/>
              </w:rPr>
            </w:pPr>
          </w:p>
        </w:tc>
        <w:tc>
          <w:tcPr>
            <w:tcW w:w="1101" w:type="dxa"/>
            <w:vAlign w:val="center"/>
          </w:tcPr>
          <w:p>
            <w:pPr>
              <w:widowControl/>
              <w:spacing w:line="360" w:lineRule="auto"/>
              <w:jc w:val="center"/>
              <w:rPr>
                <w:rFonts w:hint="eastAsia" w:ascii="宋体" w:hAnsi="宋体" w:eastAsia="宋体" w:cs="宋体"/>
                <w:kern w:val="0"/>
                <w:sz w:val="21"/>
                <w:szCs w:val="21"/>
                <w:highlight w:val="none"/>
              </w:rPr>
            </w:pPr>
          </w:p>
        </w:tc>
        <w:tc>
          <w:tcPr>
            <w:tcW w:w="1167" w:type="dxa"/>
            <w:vAlign w:val="center"/>
          </w:tcPr>
          <w:p>
            <w:pPr>
              <w:widowControl/>
              <w:spacing w:line="360" w:lineRule="auto"/>
              <w:jc w:val="center"/>
              <w:rPr>
                <w:rFonts w:hint="eastAsia" w:ascii="宋体" w:hAnsi="宋体" w:eastAsia="宋体" w:cs="宋体"/>
                <w:kern w:val="0"/>
                <w:sz w:val="21"/>
                <w:szCs w:val="21"/>
                <w:highlight w:val="none"/>
              </w:rPr>
            </w:pPr>
          </w:p>
        </w:tc>
        <w:tc>
          <w:tcPr>
            <w:tcW w:w="708" w:type="dxa"/>
            <w:vAlign w:val="center"/>
          </w:tcPr>
          <w:p>
            <w:pPr>
              <w:widowControl/>
              <w:spacing w:line="360" w:lineRule="auto"/>
              <w:jc w:val="center"/>
              <w:rPr>
                <w:rFonts w:hint="eastAsia" w:ascii="宋体" w:hAnsi="宋体" w:eastAsia="宋体" w:cs="宋体"/>
                <w:kern w:val="0"/>
                <w:sz w:val="21"/>
                <w:szCs w:val="21"/>
                <w:highlight w:val="none"/>
              </w:rPr>
            </w:pPr>
          </w:p>
        </w:tc>
        <w:tc>
          <w:tcPr>
            <w:tcW w:w="709" w:type="dxa"/>
            <w:vAlign w:val="center"/>
          </w:tcPr>
          <w:p>
            <w:pPr>
              <w:widowControl/>
              <w:spacing w:line="360" w:lineRule="auto"/>
              <w:jc w:val="center"/>
              <w:rPr>
                <w:rFonts w:hint="eastAsia" w:ascii="宋体" w:hAnsi="宋体" w:eastAsia="宋体" w:cs="宋体"/>
                <w:kern w:val="0"/>
                <w:sz w:val="21"/>
                <w:szCs w:val="21"/>
                <w:highlight w:val="none"/>
              </w:rPr>
            </w:pPr>
          </w:p>
        </w:tc>
        <w:tc>
          <w:tcPr>
            <w:tcW w:w="1134" w:type="dxa"/>
            <w:vAlign w:val="center"/>
          </w:tcPr>
          <w:p>
            <w:pPr>
              <w:widowControl/>
              <w:spacing w:line="360" w:lineRule="auto"/>
              <w:jc w:val="center"/>
              <w:rPr>
                <w:rFonts w:hint="eastAsia" w:ascii="宋体" w:hAnsi="宋体" w:eastAsia="宋体" w:cs="宋体"/>
                <w:kern w:val="0"/>
                <w:sz w:val="21"/>
                <w:szCs w:val="21"/>
                <w:highlight w:val="none"/>
              </w:rPr>
            </w:pPr>
          </w:p>
        </w:tc>
        <w:tc>
          <w:tcPr>
            <w:tcW w:w="1134" w:type="dxa"/>
            <w:vAlign w:val="center"/>
          </w:tcPr>
          <w:p>
            <w:pPr>
              <w:widowControl/>
              <w:spacing w:line="360" w:lineRule="auto"/>
              <w:jc w:val="center"/>
              <w:rPr>
                <w:rFonts w:hint="eastAsia" w:ascii="宋体" w:hAnsi="宋体" w:eastAsia="宋体" w:cs="宋体"/>
                <w:kern w:val="0"/>
                <w:sz w:val="21"/>
                <w:szCs w:val="21"/>
                <w:highlight w:val="none"/>
              </w:rPr>
            </w:pPr>
          </w:p>
        </w:tc>
        <w:tc>
          <w:tcPr>
            <w:tcW w:w="1134" w:type="dxa"/>
            <w:noWrap/>
            <w:vAlign w:val="center"/>
          </w:tcPr>
          <w:p>
            <w:pPr>
              <w:widowControl/>
              <w:spacing w:line="360" w:lineRule="auto"/>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52"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1701" w:type="dxa"/>
            <w:vAlign w:val="center"/>
          </w:tcPr>
          <w:p>
            <w:pPr>
              <w:widowControl/>
              <w:spacing w:line="360" w:lineRule="auto"/>
              <w:jc w:val="center"/>
              <w:rPr>
                <w:rFonts w:hint="eastAsia" w:ascii="宋体" w:hAnsi="宋体" w:eastAsia="宋体" w:cs="宋体"/>
                <w:kern w:val="0"/>
                <w:sz w:val="21"/>
                <w:szCs w:val="21"/>
                <w:highlight w:val="none"/>
              </w:rPr>
            </w:pPr>
          </w:p>
        </w:tc>
        <w:tc>
          <w:tcPr>
            <w:tcW w:w="1101" w:type="dxa"/>
            <w:vAlign w:val="center"/>
          </w:tcPr>
          <w:p>
            <w:pPr>
              <w:widowControl/>
              <w:spacing w:line="360" w:lineRule="auto"/>
              <w:jc w:val="center"/>
              <w:rPr>
                <w:rFonts w:hint="eastAsia" w:ascii="宋体" w:hAnsi="宋体" w:eastAsia="宋体" w:cs="宋体"/>
                <w:kern w:val="0"/>
                <w:sz w:val="21"/>
                <w:szCs w:val="21"/>
                <w:highlight w:val="none"/>
              </w:rPr>
            </w:pPr>
          </w:p>
        </w:tc>
        <w:tc>
          <w:tcPr>
            <w:tcW w:w="1167" w:type="dxa"/>
            <w:vAlign w:val="center"/>
          </w:tcPr>
          <w:p>
            <w:pPr>
              <w:widowControl/>
              <w:spacing w:line="360" w:lineRule="auto"/>
              <w:jc w:val="center"/>
              <w:rPr>
                <w:rFonts w:hint="eastAsia" w:ascii="宋体" w:hAnsi="宋体" w:eastAsia="宋体" w:cs="宋体"/>
                <w:kern w:val="0"/>
                <w:sz w:val="21"/>
                <w:szCs w:val="21"/>
                <w:highlight w:val="none"/>
              </w:rPr>
            </w:pPr>
          </w:p>
        </w:tc>
        <w:tc>
          <w:tcPr>
            <w:tcW w:w="708" w:type="dxa"/>
            <w:vAlign w:val="center"/>
          </w:tcPr>
          <w:p>
            <w:pPr>
              <w:widowControl/>
              <w:spacing w:line="360" w:lineRule="auto"/>
              <w:jc w:val="center"/>
              <w:rPr>
                <w:rFonts w:hint="eastAsia" w:ascii="宋体" w:hAnsi="宋体" w:eastAsia="宋体" w:cs="宋体"/>
                <w:kern w:val="0"/>
                <w:sz w:val="21"/>
                <w:szCs w:val="21"/>
                <w:highlight w:val="none"/>
              </w:rPr>
            </w:pPr>
          </w:p>
        </w:tc>
        <w:tc>
          <w:tcPr>
            <w:tcW w:w="709" w:type="dxa"/>
            <w:vAlign w:val="center"/>
          </w:tcPr>
          <w:p>
            <w:pPr>
              <w:widowControl/>
              <w:spacing w:line="360" w:lineRule="auto"/>
              <w:jc w:val="center"/>
              <w:rPr>
                <w:rFonts w:hint="eastAsia" w:ascii="宋体" w:hAnsi="宋体" w:eastAsia="宋体" w:cs="宋体"/>
                <w:kern w:val="0"/>
                <w:sz w:val="21"/>
                <w:szCs w:val="21"/>
                <w:highlight w:val="none"/>
              </w:rPr>
            </w:pPr>
          </w:p>
        </w:tc>
        <w:tc>
          <w:tcPr>
            <w:tcW w:w="1134" w:type="dxa"/>
            <w:vAlign w:val="center"/>
          </w:tcPr>
          <w:p>
            <w:pPr>
              <w:widowControl/>
              <w:spacing w:line="360" w:lineRule="auto"/>
              <w:jc w:val="center"/>
              <w:rPr>
                <w:rFonts w:hint="eastAsia" w:ascii="宋体" w:hAnsi="宋体" w:eastAsia="宋体" w:cs="宋体"/>
                <w:kern w:val="0"/>
                <w:sz w:val="21"/>
                <w:szCs w:val="21"/>
                <w:highlight w:val="none"/>
              </w:rPr>
            </w:pPr>
          </w:p>
        </w:tc>
        <w:tc>
          <w:tcPr>
            <w:tcW w:w="1134" w:type="dxa"/>
            <w:vAlign w:val="center"/>
          </w:tcPr>
          <w:p>
            <w:pPr>
              <w:widowControl/>
              <w:spacing w:line="360" w:lineRule="auto"/>
              <w:jc w:val="center"/>
              <w:rPr>
                <w:rFonts w:hint="eastAsia" w:ascii="宋体" w:hAnsi="宋体" w:eastAsia="宋体" w:cs="宋体"/>
                <w:kern w:val="0"/>
                <w:sz w:val="21"/>
                <w:szCs w:val="21"/>
                <w:highlight w:val="none"/>
              </w:rPr>
            </w:pPr>
          </w:p>
        </w:tc>
        <w:tc>
          <w:tcPr>
            <w:tcW w:w="1134" w:type="dxa"/>
            <w:noWrap/>
            <w:vAlign w:val="center"/>
          </w:tcPr>
          <w:p>
            <w:pPr>
              <w:widowControl/>
              <w:spacing w:line="360" w:lineRule="auto"/>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52"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合计</w:t>
            </w:r>
          </w:p>
        </w:tc>
        <w:tc>
          <w:tcPr>
            <w:tcW w:w="8788" w:type="dxa"/>
            <w:gridSpan w:val="8"/>
            <w:vAlign w:val="center"/>
          </w:tcPr>
          <w:p>
            <w:pPr>
              <w:widowControl/>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人民币（大写）：                               </w:t>
            </w:r>
          </w:p>
        </w:tc>
      </w:tr>
    </w:tbl>
    <w:p>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附：</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1.中标通知书</w:t>
      </w:r>
    </w:p>
    <w:p>
      <w:pPr>
        <w:spacing w:line="360" w:lineRule="auto"/>
        <w:ind w:firstLine="630" w:firstLineChars="3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2.技术规格书(技术参数及要求)</w:t>
      </w:r>
    </w:p>
    <w:p>
      <w:pPr>
        <w:spacing w:line="360" w:lineRule="auto"/>
        <w:ind w:firstLine="645"/>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3.售后服务承诺</w:t>
      </w:r>
    </w:p>
    <w:p>
      <w:pPr>
        <w:spacing w:line="360" w:lineRule="auto"/>
        <w:ind w:firstLine="645"/>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4.银行保函</w:t>
      </w:r>
    </w:p>
    <w:p>
      <w:pPr>
        <w:spacing w:line="360" w:lineRule="auto"/>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 xml:space="preserve">    </w:t>
      </w:r>
      <w:r>
        <w:rPr>
          <w:rFonts w:hint="eastAsia" w:ascii="宋体" w:hAnsi="宋体" w:eastAsia="宋体" w:cs="宋体"/>
          <w:b/>
          <w:kern w:val="0"/>
          <w:sz w:val="21"/>
          <w:szCs w:val="21"/>
          <w:highlight w:val="none"/>
        </w:rPr>
        <w:t>二、合同金额</w:t>
      </w:r>
    </w:p>
    <w:p>
      <w:pPr>
        <w:spacing w:line="360" w:lineRule="auto"/>
        <w:jc w:val="left"/>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 xml:space="preserve">    </w:t>
      </w:r>
      <w:r>
        <w:rPr>
          <w:rFonts w:hint="eastAsia" w:ascii="宋体" w:hAnsi="宋体" w:eastAsia="宋体" w:cs="宋体"/>
          <w:kern w:val="0"/>
          <w:sz w:val="21"/>
          <w:szCs w:val="21"/>
          <w:highlight w:val="none"/>
        </w:rPr>
        <w:t>人民币（大写）：</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元）。</w:t>
      </w:r>
    </w:p>
    <w:p>
      <w:pPr>
        <w:spacing w:line="360" w:lineRule="auto"/>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 xml:space="preserve">    合同价款的组成：货物（设备）价款及运输、装卸、保修、人员培训、税等费用。</w:t>
      </w:r>
    </w:p>
    <w:p>
      <w:pPr>
        <w:spacing w:line="360" w:lineRule="auto"/>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    三、交货时间及地点</w:t>
      </w:r>
    </w:p>
    <w:p>
      <w:pPr>
        <w:spacing w:line="360" w:lineRule="auto"/>
        <w:ind w:firstLine="497" w:firstLineChars="237"/>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合同生效后，乙方应于</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日内将货物（设备）运到甲方指定地点。</w:t>
      </w:r>
    </w:p>
    <w:p>
      <w:pPr>
        <w:spacing w:line="360" w:lineRule="auto"/>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     四、验收、调试及人员培训</w:t>
      </w:r>
    </w:p>
    <w:p>
      <w:pPr>
        <w:spacing w:line="360" w:lineRule="auto"/>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    </w:t>
      </w:r>
      <w:r>
        <w:rPr>
          <w:rFonts w:hint="eastAsia" w:ascii="宋体" w:hAnsi="宋体" w:eastAsia="宋体" w:cs="宋体"/>
          <w:kern w:val="0"/>
          <w:sz w:val="21"/>
          <w:szCs w:val="21"/>
          <w:highlight w:val="none"/>
        </w:rPr>
        <w:t>1. 到货后，乙方向甲方提出书面验收申请，甲方组织验收，乙方须派技术人员参加；必要时可委托有资质的第三方(或政府主管部门)进行验收。</w:t>
      </w:r>
    </w:p>
    <w:p>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 调试：乙方负责对设备免费进行安装调试，并使其投入正常运行。</w:t>
      </w:r>
    </w:p>
    <w:p>
      <w:pPr>
        <w:adjustRightInd w:val="0"/>
        <w:snapToGrid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3. 人员培训：乙方免费对甲方人员进行必要的业务及服务培训，使其达到正确掌握设备使用要求。</w:t>
      </w:r>
    </w:p>
    <w:p>
      <w:pPr>
        <w:adjustRightInd w:val="0"/>
        <w:snapToGrid w:val="0"/>
        <w:spacing w:line="360" w:lineRule="auto"/>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 xml:space="preserve">    </w:t>
      </w:r>
      <w:r>
        <w:rPr>
          <w:rFonts w:hint="eastAsia" w:ascii="宋体" w:hAnsi="宋体" w:eastAsia="宋体" w:cs="宋体"/>
          <w:b/>
          <w:kern w:val="0"/>
          <w:sz w:val="21"/>
          <w:szCs w:val="21"/>
          <w:highlight w:val="none"/>
        </w:rPr>
        <w:t>五、付款方式</w:t>
      </w:r>
    </w:p>
    <w:p>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签订合同后，支付合同金额的40%；设备安装调试、验收合格后，支付合同金额的60%。</w:t>
      </w:r>
    </w:p>
    <w:p>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甲方向乙方支付尾款时，乙方需提供合同总金额5%的银行保函，即人民币（大写）：</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 xml:space="preserve">（¥ </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元）。货物（设备）正常运行满 1 年后，无质量问题银行保函予以无息退还。</w:t>
      </w:r>
    </w:p>
    <w:p>
      <w:pPr>
        <w:spacing w:line="360" w:lineRule="auto"/>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 xml:space="preserve">   </w:t>
      </w:r>
      <w:r>
        <w:rPr>
          <w:rFonts w:hint="eastAsia" w:ascii="宋体" w:hAnsi="宋体" w:eastAsia="宋体" w:cs="宋体"/>
          <w:b/>
          <w:kern w:val="0"/>
          <w:sz w:val="21"/>
          <w:szCs w:val="21"/>
          <w:highlight w:val="none"/>
        </w:rPr>
        <w:t>六、合同的履行、变更和解除</w:t>
      </w:r>
    </w:p>
    <w:p>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 合同签订后即具法律效力，甲乙双方均须认真履行，不得随意解除合同。</w:t>
      </w:r>
    </w:p>
    <w:p>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 甲乙双方不得擅自变更合同。如因项目需要变更，须经双方书面认可后方可变更。</w:t>
      </w:r>
    </w:p>
    <w:p>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 发生以下情况，经甲方通知乙方未及时整改的，甲方有权解除合同：</w:t>
      </w:r>
    </w:p>
    <w:p>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（1）乙方拒绝接受甲方的管理；</w:t>
      </w:r>
    </w:p>
    <w:p>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（2）合同执行期间，乙方因自身问题不能正常供货，致使供货期严重延误；</w:t>
      </w:r>
    </w:p>
    <w:p>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（3）所供货物（设备）不符合招标（采购）、投标（响应性）文件（或其他采购依据）。</w:t>
      </w:r>
    </w:p>
    <w:p>
      <w:pPr>
        <w:spacing w:line="360" w:lineRule="auto"/>
        <w:ind w:firstLine="422" w:firstLineChars="20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七、违约责任</w:t>
      </w:r>
    </w:p>
    <w:p>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 除如因战争、严重火灾、水灾、台风、地震和其它甲乙双方认可的不可抗力事件外，甲乙双方不得随意解除合同，否则按违约处理。</w:t>
      </w:r>
    </w:p>
    <w:p>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 若乙方所供货物（设备）的品牌、型号、规格、技术标准、质量标准和运行等，不符合招标（采购）、投标（响应性）文件（或采购依据）规定和合同规定的，乙方应负责更换并承担因此而发生的一切费用，同时甲方有权拒收并追究乙方责任。因乙方更换而造成逾期交货，则按逾期交货处理。</w:t>
      </w:r>
    </w:p>
    <w:p>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 乙方不能按时供货，除不可抗力事件外，每拖延一周（7天）应按合同款的2%作为违约金支付给甲方，不足一周（7天）的按日折算。</w:t>
      </w:r>
    </w:p>
    <w:p>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 乙方逾期不能供货，甲方有权解除合同，并追究乙方责任。</w:t>
      </w:r>
    </w:p>
    <w:p>
      <w:pPr>
        <w:adjustRightInd w:val="0"/>
        <w:snapToGrid w:val="0"/>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5. 当违约金超过履约保证金时，超过部分甲方有权从合同总价款中扣除，用于补偿违约金不足的部分。</w:t>
      </w:r>
    </w:p>
    <w:p>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 项目验收合格后，非乙方原因甲方未按期支付货款的，应按银行同期贷款利息补偿乙方损失。</w:t>
      </w:r>
    </w:p>
    <w:p>
      <w:pPr>
        <w:spacing w:line="360" w:lineRule="auto"/>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 xml:space="preserve">    八、争议解决</w:t>
      </w:r>
    </w:p>
    <w:p>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本合同的签订和履行，适用中华人民共和国法律。</w:t>
      </w:r>
    </w:p>
    <w:p>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甲乙双方因质量问题发生争议，由合同签署地点或上一级质量技术鉴定单位进行质量鉴定。经鉴定质量合格，鉴定费由甲方承担；鉴定质量不合格，鉴定费用由乙方承担，并承担违约责任，同时甲方有权解除合同。</w:t>
      </w:r>
    </w:p>
    <w:p>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2.因履行合同发生的争议，由甲乙双方直接协商解决，如协商不成可向合同签署地点的人民法院诉讼。</w:t>
      </w:r>
    </w:p>
    <w:p>
      <w:pPr>
        <w:adjustRightInd w:val="0"/>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甲乙双方以签订合同时各自法人登记注册地为有效的送达地址，如发生诉讼，该地址作为全部诉讼程序和执行程序的送达地址，发生在人民法院签署送达地址确认书的法律效力。如变更送达地址，需书面告知对方。</w:t>
      </w:r>
    </w:p>
    <w:p>
      <w:pPr>
        <w:spacing w:line="360" w:lineRule="auto"/>
        <w:ind w:firstLine="422" w:firstLineChars="200"/>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九、合同生效及其他</w:t>
      </w:r>
    </w:p>
    <w:p>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本合同一式陆份，甲方肆份、乙方贰份，经甲乙双方代表签字、加盖公章后生效,合同履行完成后自行终止。招标（采购）和投标（响应性）文件为本合同组成部分。</w:t>
      </w:r>
    </w:p>
    <w:p>
      <w:pPr>
        <w:spacing w:line="360" w:lineRule="auto"/>
        <w:ind w:firstLine="420" w:firstLineChars="200"/>
        <w:jc w:val="left"/>
        <w:rPr>
          <w:rFonts w:hint="eastAsia" w:ascii="宋体" w:hAnsi="宋体" w:eastAsia="宋体" w:cs="宋体"/>
          <w:kern w:val="0"/>
          <w:sz w:val="21"/>
          <w:szCs w:val="21"/>
          <w:highlight w:val="none"/>
        </w:rPr>
      </w:pPr>
    </w:p>
    <w:p>
      <w:pPr>
        <w:spacing w:line="360" w:lineRule="auto"/>
        <w:jc w:val="left"/>
        <w:rPr>
          <w:rFonts w:hint="eastAsia" w:ascii="宋体" w:hAnsi="宋体" w:eastAsia="宋体" w:cs="宋体"/>
          <w:kern w:val="0"/>
          <w:sz w:val="21"/>
          <w:szCs w:val="21"/>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2869"/>
        <w:gridCol w:w="1374"/>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1384" w:type="dxa"/>
            <w:vAlign w:val="center"/>
          </w:tcPr>
          <w:p>
            <w:pPr>
              <w:spacing w:line="360" w:lineRule="auto"/>
              <w:jc w:val="center"/>
              <w:rPr>
                <w:rFonts w:hint="eastAsia" w:ascii="宋体" w:hAnsi="宋体" w:eastAsia="宋体" w:cs="宋体"/>
                <w:kern w:val="0"/>
                <w:sz w:val="21"/>
                <w:szCs w:val="21"/>
                <w:highlight w:val="none"/>
                <w:shd w:val="pct10" w:color="auto" w:fill="FFFFFF"/>
              </w:rPr>
            </w:pPr>
            <w:r>
              <w:rPr>
                <w:rFonts w:hint="eastAsia" w:ascii="宋体" w:hAnsi="宋体" w:eastAsia="宋体" w:cs="宋体"/>
                <w:kern w:val="0"/>
                <w:sz w:val="21"/>
                <w:szCs w:val="21"/>
                <w:highlight w:val="none"/>
              </w:rPr>
              <w:t>甲方</w:t>
            </w:r>
          </w:p>
        </w:tc>
        <w:tc>
          <w:tcPr>
            <w:tcW w:w="2876" w:type="dxa"/>
            <w:vAlign w:val="center"/>
          </w:tcPr>
          <w:p>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河南省锅炉压力容器检验技术科学研究院</w:t>
            </w:r>
          </w:p>
          <w:p>
            <w:pPr>
              <w:spacing w:line="360" w:lineRule="auto"/>
              <w:jc w:val="center"/>
              <w:rPr>
                <w:rFonts w:hint="eastAsia" w:ascii="宋体" w:hAnsi="宋体" w:eastAsia="宋体" w:cs="宋体"/>
                <w:kern w:val="0"/>
                <w:sz w:val="21"/>
                <w:szCs w:val="21"/>
                <w:highlight w:val="none"/>
                <w:shd w:val="pct10" w:color="auto" w:fill="FFFFFF"/>
              </w:rPr>
            </w:pPr>
            <w:r>
              <w:rPr>
                <w:rFonts w:hint="eastAsia" w:ascii="宋体" w:hAnsi="宋体" w:eastAsia="宋体" w:cs="宋体"/>
                <w:kern w:val="0"/>
                <w:sz w:val="21"/>
                <w:szCs w:val="21"/>
                <w:highlight w:val="none"/>
              </w:rPr>
              <w:t>（盖章）</w:t>
            </w:r>
          </w:p>
        </w:tc>
        <w:tc>
          <w:tcPr>
            <w:tcW w:w="1377" w:type="dxa"/>
            <w:vAlign w:val="center"/>
          </w:tcPr>
          <w:p>
            <w:pPr>
              <w:spacing w:line="48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乙方</w:t>
            </w:r>
          </w:p>
        </w:tc>
        <w:tc>
          <w:tcPr>
            <w:tcW w:w="3402" w:type="dxa"/>
            <w:vAlign w:val="center"/>
          </w:tcPr>
          <w:p>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（乙方名称）</w:t>
            </w:r>
          </w:p>
          <w:p>
            <w:pPr>
              <w:spacing w:line="360" w:lineRule="auto"/>
              <w:jc w:val="center"/>
              <w:rPr>
                <w:rFonts w:hint="eastAsia" w:ascii="宋体" w:hAnsi="宋体" w:eastAsia="宋体" w:cs="宋体"/>
                <w:kern w:val="0"/>
                <w:sz w:val="21"/>
                <w:szCs w:val="21"/>
                <w:highlight w:val="none"/>
                <w:shd w:val="pct10" w:color="auto" w:fill="FFFFFF"/>
              </w:rPr>
            </w:pPr>
            <w:r>
              <w:rPr>
                <w:rFonts w:hint="eastAsia" w:ascii="宋体" w:hAnsi="宋体" w:eastAsia="宋体" w:cs="宋体"/>
                <w:kern w:val="0"/>
                <w:sz w:val="21"/>
                <w:szCs w:val="21"/>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84" w:type="dxa"/>
            <w:vAlign w:val="center"/>
          </w:tcPr>
          <w:p>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纳税人识别号</w:t>
            </w:r>
          </w:p>
        </w:tc>
        <w:tc>
          <w:tcPr>
            <w:tcW w:w="2876" w:type="dxa"/>
            <w:vAlign w:val="center"/>
          </w:tcPr>
          <w:p>
            <w:pPr>
              <w:spacing w:line="360" w:lineRule="auto"/>
              <w:jc w:val="center"/>
              <w:rPr>
                <w:rFonts w:hint="eastAsia" w:ascii="宋体" w:hAnsi="宋体" w:eastAsia="宋体" w:cs="宋体"/>
                <w:kern w:val="0"/>
                <w:sz w:val="21"/>
                <w:szCs w:val="21"/>
                <w:highlight w:val="none"/>
              </w:rPr>
            </w:pPr>
          </w:p>
        </w:tc>
        <w:tc>
          <w:tcPr>
            <w:tcW w:w="1377" w:type="dxa"/>
            <w:vAlign w:val="center"/>
          </w:tcPr>
          <w:p>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纳税人识别号</w:t>
            </w:r>
          </w:p>
        </w:tc>
        <w:tc>
          <w:tcPr>
            <w:tcW w:w="3402" w:type="dxa"/>
            <w:vAlign w:val="center"/>
          </w:tcPr>
          <w:p>
            <w:pPr>
              <w:spacing w:line="360" w:lineRule="auto"/>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rFonts w:hint="eastAsia" w:ascii="宋体" w:hAnsi="宋体" w:eastAsia="宋体" w:cs="宋体"/>
                <w:kern w:val="0"/>
                <w:sz w:val="21"/>
                <w:szCs w:val="21"/>
                <w:highlight w:val="none"/>
                <w:shd w:val="pct10" w:color="auto" w:fill="FFFFFF"/>
              </w:rPr>
            </w:pPr>
            <w:r>
              <w:rPr>
                <w:rFonts w:hint="eastAsia" w:ascii="宋体" w:hAnsi="宋体" w:eastAsia="宋体" w:cs="宋体"/>
                <w:kern w:val="0"/>
                <w:sz w:val="21"/>
                <w:szCs w:val="21"/>
                <w:highlight w:val="none"/>
              </w:rPr>
              <w:t>地址</w:t>
            </w:r>
          </w:p>
        </w:tc>
        <w:tc>
          <w:tcPr>
            <w:tcW w:w="2876" w:type="dxa"/>
            <w:vAlign w:val="center"/>
          </w:tcPr>
          <w:p>
            <w:pPr>
              <w:spacing w:line="360" w:lineRule="auto"/>
              <w:jc w:val="center"/>
              <w:rPr>
                <w:rFonts w:hint="eastAsia" w:ascii="宋体" w:hAnsi="宋体" w:eastAsia="宋体" w:cs="宋体"/>
                <w:kern w:val="0"/>
                <w:sz w:val="21"/>
                <w:szCs w:val="21"/>
                <w:highlight w:val="none"/>
              </w:rPr>
            </w:pPr>
          </w:p>
        </w:tc>
        <w:tc>
          <w:tcPr>
            <w:tcW w:w="1377" w:type="dxa"/>
            <w:vAlign w:val="center"/>
          </w:tcPr>
          <w:p>
            <w:pPr>
              <w:spacing w:line="360" w:lineRule="auto"/>
              <w:jc w:val="center"/>
              <w:rPr>
                <w:rFonts w:hint="eastAsia" w:ascii="宋体" w:hAnsi="宋体" w:eastAsia="宋体" w:cs="宋体"/>
                <w:kern w:val="0"/>
                <w:sz w:val="21"/>
                <w:szCs w:val="21"/>
                <w:highlight w:val="none"/>
                <w:shd w:val="pct10" w:color="auto" w:fill="FFFFFF"/>
              </w:rPr>
            </w:pPr>
            <w:r>
              <w:rPr>
                <w:rFonts w:hint="eastAsia" w:ascii="宋体" w:hAnsi="宋体" w:eastAsia="宋体" w:cs="宋体"/>
                <w:kern w:val="0"/>
                <w:sz w:val="21"/>
                <w:szCs w:val="21"/>
                <w:highlight w:val="none"/>
              </w:rPr>
              <w:t>地址</w:t>
            </w:r>
          </w:p>
        </w:tc>
        <w:tc>
          <w:tcPr>
            <w:tcW w:w="3402" w:type="dxa"/>
            <w:vAlign w:val="center"/>
          </w:tcPr>
          <w:p>
            <w:pPr>
              <w:spacing w:line="360" w:lineRule="auto"/>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84" w:type="dxa"/>
            <w:vAlign w:val="center"/>
          </w:tcPr>
          <w:p>
            <w:pPr>
              <w:spacing w:line="360" w:lineRule="auto"/>
              <w:jc w:val="center"/>
              <w:rPr>
                <w:rFonts w:hint="eastAsia" w:ascii="宋体" w:hAnsi="宋体" w:eastAsia="宋体" w:cs="宋体"/>
                <w:kern w:val="0"/>
                <w:sz w:val="21"/>
                <w:szCs w:val="21"/>
                <w:highlight w:val="none"/>
                <w:shd w:val="pct10" w:color="auto" w:fill="FFFFFF"/>
              </w:rPr>
            </w:pPr>
            <w:r>
              <w:rPr>
                <w:rFonts w:hint="eastAsia" w:ascii="宋体" w:hAnsi="宋体" w:eastAsia="宋体" w:cs="宋体"/>
                <w:kern w:val="0"/>
                <w:sz w:val="21"/>
                <w:szCs w:val="21"/>
                <w:highlight w:val="none"/>
              </w:rPr>
              <w:t>电话</w:t>
            </w:r>
          </w:p>
        </w:tc>
        <w:tc>
          <w:tcPr>
            <w:tcW w:w="2876" w:type="dxa"/>
            <w:vAlign w:val="center"/>
          </w:tcPr>
          <w:p>
            <w:pPr>
              <w:spacing w:line="360" w:lineRule="auto"/>
              <w:jc w:val="center"/>
              <w:rPr>
                <w:rFonts w:hint="eastAsia" w:ascii="宋体" w:hAnsi="宋体" w:eastAsia="宋体" w:cs="宋体"/>
                <w:kern w:val="0"/>
                <w:sz w:val="21"/>
                <w:szCs w:val="21"/>
                <w:highlight w:val="none"/>
              </w:rPr>
            </w:pPr>
          </w:p>
        </w:tc>
        <w:tc>
          <w:tcPr>
            <w:tcW w:w="1377" w:type="dxa"/>
            <w:vAlign w:val="center"/>
          </w:tcPr>
          <w:p>
            <w:pPr>
              <w:spacing w:line="360" w:lineRule="auto"/>
              <w:jc w:val="center"/>
              <w:rPr>
                <w:rFonts w:hint="eastAsia" w:ascii="宋体" w:hAnsi="宋体" w:eastAsia="宋体" w:cs="宋体"/>
                <w:kern w:val="0"/>
                <w:sz w:val="21"/>
                <w:szCs w:val="21"/>
                <w:highlight w:val="none"/>
                <w:shd w:val="pct10" w:color="auto" w:fill="FFFFFF"/>
              </w:rPr>
            </w:pPr>
            <w:r>
              <w:rPr>
                <w:rFonts w:hint="eastAsia" w:ascii="宋体" w:hAnsi="宋体" w:eastAsia="宋体" w:cs="宋体"/>
                <w:kern w:val="0"/>
                <w:sz w:val="21"/>
                <w:szCs w:val="21"/>
                <w:highlight w:val="none"/>
              </w:rPr>
              <w:t>电话</w:t>
            </w:r>
          </w:p>
        </w:tc>
        <w:tc>
          <w:tcPr>
            <w:tcW w:w="3402" w:type="dxa"/>
            <w:vAlign w:val="center"/>
          </w:tcPr>
          <w:p>
            <w:pPr>
              <w:spacing w:line="360" w:lineRule="auto"/>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rFonts w:hint="eastAsia" w:ascii="宋体" w:hAnsi="宋体" w:eastAsia="宋体" w:cs="宋体"/>
                <w:kern w:val="0"/>
                <w:sz w:val="21"/>
                <w:szCs w:val="21"/>
                <w:highlight w:val="none"/>
                <w:shd w:val="pct10" w:color="auto" w:fill="FFFFFF"/>
              </w:rPr>
            </w:pPr>
            <w:r>
              <w:rPr>
                <w:rFonts w:hint="eastAsia" w:ascii="宋体" w:hAnsi="宋体" w:eastAsia="宋体" w:cs="宋体"/>
                <w:kern w:val="0"/>
                <w:sz w:val="21"/>
                <w:szCs w:val="21"/>
                <w:highlight w:val="none"/>
              </w:rPr>
              <w:t>开户银行</w:t>
            </w:r>
          </w:p>
        </w:tc>
        <w:tc>
          <w:tcPr>
            <w:tcW w:w="2876" w:type="dxa"/>
            <w:vAlign w:val="center"/>
          </w:tcPr>
          <w:p>
            <w:pPr>
              <w:spacing w:line="360" w:lineRule="auto"/>
              <w:jc w:val="center"/>
              <w:rPr>
                <w:rFonts w:hint="eastAsia" w:ascii="宋体" w:hAnsi="宋体" w:eastAsia="宋体" w:cs="宋体"/>
                <w:kern w:val="0"/>
                <w:sz w:val="21"/>
                <w:szCs w:val="21"/>
                <w:highlight w:val="none"/>
              </w:rPr>
            </w:pPr>
          </w:p>
        </w:tc>
        <w:tc>
          <w:tcPr>
            <w:tcW w:w="1377" w:type="dxa"/>
            <w:vAlign w:val="center"/>
          </w:tcPr>
          <w:p>
            <w:pPr>
              <w:spacing w:line="360" w:lineRule="auto"/>
              <w:jc w:val="center"/>
              <w:rPr>
                <w:rFonts w:hint="eastAsia" w:ascii="宋体" w:hAnsi="宋体" w:eastAsia="宋体" w:cs="宋体"/>
                <w:kern w:val="0"/>
                <w:sz w:val="21"/>
                <w:szCs w:val="21"/>
                <w:highlight w:val="none"/>
                <w:shd w:val="pct10" w:color="auto" w:fill="FFFFFF"/>
              </w:rPr>
            </w:pPr>
            <w:r>
              <w:rPr>
                <w:rFonts w:hint="eastAsia" w:ascii="宋体" w:hAnsi="宋体" w:eastAsia="宋体" w:cs="宋体"/>
                <w:kern w:val="0"/>
                <w:sz w:val="21"/>
                <w:szCs w:val="21"/>
                <w:highlight w:val="none"/>
              </w:rPr>
              <w:t>开户银行</w:t>
            </w:r>
          </w:p>
        </w:tc>
        <w:tc>
          <w:tcPr>
            <w:tcW w:w="3402" w:type="dxa"/>
            <w:vAlign w:val="center"/>
          </w:tcPr>
          <w:p>
            <w:pPr>
              <w:spacing w:line="360" w:lineRule="auto"/>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384" w:type="dxa"/>
            <w:vAlign w:val="center"/>
          </w:tcPr>
          <w:p>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账号</w:t>
            </w:r>
          </w:p>
        </w:tc>
        <w:tc>
          <w:tcPr>
            <w:tcW w:w="2876" w:type="dxa"/>
            <w:vAlign w:val="center"/>
          </w:tcPr>
          <w:p>
            <w:pPr>
              <w:spacing w:line="360" w:lineRule="auto"/>
              <w:jc w:val="center"/>
              <w:rPr>
                <w:rFonts w:hint="eastAsia" w:ascii="宋体" w:hAnsi="宋体" w:eastAsia="宋体" w:cs="宋体"/>
                <w:kern w:val="0"/>
                <w:sz w:val="21"/>
                <w:szCs w:val="21"/>
                <w:highlight w:val="none"/>
              </w:rPr>
            </w:pPr>
          </w:p>
        </w:tc>
        <w:tc>
          <w:tcPr>
            <w:tcW w:w="1377" w:type="dxa"/>
            <w:vAlign w:val="center"/>
          </w:tcPr>
          <w:p>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账号</w:t>
            </w:r>
          </w:p>
        </w:tc>
        <w:tc>
          <w:tcPr>
            <w:tcW w:w="3402" w:type="dxa"/>
            <w:vAlign w:val="center"/>
          </w:tcPr>
          <w:p>
            <w:pPr>
              <w:spacing w:line="360" w:lineRule="auto"/>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384" w:type="dxa"/>
            <w:vAlign w:val="center"/>
          </w:tcPr>
          <w:p>
            <w:pPr>
              <w:spacing w:line="360" w:lineRule="auto"/>
              <w:jc w:val="center"/>
              <w:rPr>
                <w:rFonts w:hint="eastAsia" w:ascii="宋体" w:hAnsi="宋体" w:eastAsia="宋体" w:cs="宋体"/>
                <w:kern w:val="0"/>
                <w:sz w:val="21"/>
                <w:szCs w:val="21"/>
                <w:highlight w:val="none"/>
                <w:shd w:val="pct10" w:color="auto" w:fill="FFFFFF"/>
              </w:rPr>
            </w:pPr>
            <w:r>
              <w:rPr>
                <w:rFonts w:hint="eastAsia" w:ascii="宋体" w:hAnsi="宋体" w:eastAsia="宋体" w:cs="宋体"/>
                <w:kern w:val="0"/>
                <w:sz w:val="21"/>
                <w:szCs w:val="21"/>
                <w:highlight w:val="none"/>
              </w:rPr>
              <w:t>委托代理人签章</w:t>
            </w:r>
          </w:p>
        </w:tc>
        <w:tc>
          <w:tcPr>
            <w:tcW w:w="2876" w:type="dxa"/>
            <w:vAlign w:val="center"/>
          </w:tcPr>
          <w:p>
            <w:pPr>
              <w:spacing w:line="360" w:lineRule="auto"/>
              <w:jc w:val="center"/>
              <w:rPr>
                <w:rFonts w:hint="eastAsia" w:ascii="宋体" w:hAnsi="宋体" w:eastAsia="宋体" w:cs="宋体"/>
                <w:kern w:val="0"/>
                <w:sz w:val="21"/>
                <w:szCs w:val="21"/>
                <w:highlight w:val="none"/>
              </w:rPr>
            </w:pPr>
          </w:p>
        </w:tc>
        <w:tc>
          <w:tcPr>
            <w:tcW w:w="1377" w:type="dxa"/>
            <w:vAlign w:val="center"/>
          </w:tcPr>
          <w:p>
            <w:pPr>
              <w:spacing w:line="360" w:lineRule="auto"/>
              <w:jc w:val="center"/>
              <w:rPr>
                <w:rFonts w:hint="eastAsia" w:ascii="宋体" w:hAnsi="宋体" w:eastAsia="宋体" w:cs="宋体"/>
                <w:kern w:val="0"/>
                <w:sz w:val="21"/>
                <w:szCs w:val="21"/>
                <w:highlight w:val="none"/>
                <w:shd w:val="pct10" w:color="auto" w:fill="FFFFFF"/>
              </w:rPr>
            </w:pPr>
            <w:r>
              <w:rPr>
                <w:rFonts w:hint="eastAsia" w:ascii="宋体" w:hAnsi="宋体" w:eastAsia="宋体" w:cs="宋体"/>
                <w:kern w:val="0"/>
                <w:sz w:val="21"/>
                <w:szCs w:val="21"/>
                <w:highlight w:val="none"/>
              </w:rPr>
              <w:t>委托代理人签章</w:t>
            </w:r>
          </w:p>
        </w:tc>
        <w:tc>
          <w:tcPr>
            <w:tcW w:w="3402" w:type="dxa"/>
            <w:vAlign w:val="center"/>
          </w:tcPr>
          <w:p>
            <w:pPr>
              <w:spacing w:line="360" w:lineRule="auto"/>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384" w:type="dxa"/>
            <w:vAlign w:val="center"/>
          </w:tcPr>
          <w:p>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签订日期</w:t>
            </w:r>
          </w:p>
        </w:tc>
        <w:tc>
          <w:tcPr>
            <w:tcW w:w="2876" w:type="dxa"/>
            <w:vAlign w:val="center"/>
          </w:tcPr>
          <w:p>
            <w:pPr>
              <w:spacing w:line="360" w:lineRule="auto"/>
              <w:jc w:val="center"/>
              <w:rPr>
                <w:rFonts w:hint="eastAsia" w:ascii="宋体" w:hAnsi="宋体" w:eastAsia="宋体" w:cs="宋体"/>
                <w:kern w:val="0"/>
                <w:sz w:val="21"/>
                <w:szCs w:val="21"/>
                <w:highlight w:val="none"/>
              </w:rPr>
            </w:pPr>
          </w:p>
        </w:tc>
        <w:tc>
          <w:tcPr>
            <w:tcW w:w="1377" w:type="dxa"/>
            <w:vAlign w:val="center"/>
          </w:tcPr>
          <w:p>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签订日期</w:t>
            </w:r>
          </w:p>
        </w:tc>
        <w:tc>
          <w:tcPr>
            <w:tcW w:w="3402" w:type="dxa"/>
            <w:vAlign w:val="center"/>
          </w:tcPr>
          <w:p>
            <w:pPr>
              <w:spacing w:line="360" w:lineRule="auto"/>
              <w:jc w:val="center"/>
              <w:rPr>
                <w:rFonts w:hint="eastAsia" w:ascii="宋体" w:hAnsi="宋体" w:eastAsia="宋体" w:cs="宋体"/>
                <w:kern w:val="0"/>
                <w:sz w:val="21"/>
                <w:szCs w:val="21"/>
                <w:highlight w:val="none"/>
              </w:rPr>
            </w:pPr>
          </w:p>
        </w:tc>
      </w:tr>
    </w:tbl>
    <w:p>
      <w:pPr>
        <w:pStyle w:val="55"/>
        <w:numPr>
          <w:ilvl w:val="0"/>
          <w:numId w:val="0"/>
        </w:numPr>
        <w:ind w:firstLine="420" w:firstLineChars="200"/>
        <w:rPr>
          <w:rFonts w:hint="eastAsia" w:ascii="宋体" w:hAnsi="宋体" w:eastAsia="宋体" w:cs="宋体"/>
          <w:sz w:val="21"/>
          <w:szCs w:val="21"/>
          <w:highlight w:val="none"/>
        </w:rPr>
      </w:pPr>
    </w:p>
    <w:p>
      <w:pPr>
        <w:rPr>
          <w:rFonts w:hint="eastAsia" w:ascii="宋体" w:hAnsi="宋体" w:eastAsia="宋体" w:cs="宋体"/>
          <w:b/>
          <w:bCs w:val="0"/>
          <w:kern w:val="44"/>
          <w:sz w:val="44"/>
          <w:szCs w:val="44"/>
          <w:highlight w:val="none"/>
          <w:u w:val="single"/>
          <w:lang w:val="en-US" w:eastAsia="zh-CN"/>
        </w:rPr>
      </w:pPr>
      <w:r>
        <w:rPr>
          <w:rFonts w:hint="eastAsia" w:ascii="宋体" w:hAnsi="宋体" w:eastAsia="宋体" w:cs="宋体"/>
          <w:b/>
          <w:bCs w:val="0"/>
          <w:kern w:val="44"/>
          <w:sz w:val="44"/>
          <w:szCs w:val="44"/>
          <w:highlight w:val="none"/>
          <w:u w:val="single"/>
          <w:lang w:val="en-US" w:eastAsia="zh-CN"/>
        </w:rPr>
        <w:br w:type="page"/>
      </w:r>
    </w:p>
    <w:p>
      <w:pPr>
        <w:pStyle w:val="2"/>
        <w:numPr>
          <w:ilvl w:val="0"/>
          <w:numId w:val="4"/>
        </w:numPr>
        <w:ind w:leftChars="0"/>
        <w:jc w:val="center"/>
        <w:rPr>
          <w:rFonts w:hint="eastAsia" w:ascii="宋体" w:hAnsi="宋体" w:eastAsia="宋体" w:cs="宋体"/>
          <w:b/>
          <w:sz w:val="28"/>
          <w:szCs w:val="28"/>
          <w:highlight w:val="none"/>
        </w:rPr>
      </w:pPr>
      <w:bookmarkStart w:id="209" w:name="_Toc256363560"/>
      <w:r>
        <w:rPr>
          <w:rFonts w:hint="eastAsia" w:ascii="宋体" w:hAnsi="宋体" w:eastAsia="宋体" w:cs="宋体"/>
          <w:b/>
          <w:sz w:val="28"/>
          <w:szCs w:val="28"/>
          <w:highlight w:val="none"/>
        </w:rPr>
        <w:t xml:space="preserve"> </w:t>
      </w:r>
      <w:bookmarkStart w:id="210" w:name="_Toc20624"/>
      <w:r>
        <w:rPr>
          <w:rFonts w:hint="eastAsia" w:ascii="宋体" w:hAnsi="宋体" w:eastAsia="宋体" w:cs="宋体"/>
          <w:b/>
          <w:sz w:val="28"/>
          <w:szCs w:val="28"/>
          <w:highlight w:val="none"/>
        </w:rPr>
        <w:t>货物需求及技术要求</w:t>
      </w:r>
      <w:bookmarkEnd w:id="209"/>
      <w:bookmarkEnd w:id="210"/>
      <w:bookmarkStart w:id="211" w:name="_Toc256363562"/>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color w:val="auto"/>
          <w:kern w:val="0"/>
          <w:sz w:val="21"/>
          <w:szCs w:val="21"/>
          <w:highlight w:val="none"/>
        </w:rPr>
      </w:pPr>
      <w:bookmarkStart w:id="212" w:name="_Toc354342208"/>
      <w:r>
        <w:rPr>
          <w:rFonts w:hint="eastAsia" w:ascii="宋体" w:hAnsi="宋体" w:eastAsia="宋体" w:cs="宋体"/>
          <w:b/>
          <w:bCs/>
          <w:color w:val="auto"/>
          <w:kern w:val="0"/>
          <w:sz w:val="21"/>
          <w:szCs w:val="21"/>
          <w:highlight w:val="none"/>
          <w:shd w:val="clear" w:color="auto" w:fill="FFFFFF"/>
        </w:rPr>
        <w:t>一、 说明</w:t>
      </w:r>
      <w:bookmarkEnd w:id="212"/>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shd w:val="clear" w:color="auto" w:fill="FFFFFF"/>
        </w:rPr>
        <w:t>1.1 供应商务必仔细阅读采购方在技术文件中规定的所有细则，供应商要按照招标文件要求对招标文件在各方面都做出实质性响应。</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shd w:val="clear" w:color="auto" w:fill="FFFFFF"/>
        </w:rPr>
        <w:t>1.2本技术规格与要求提供的是最低限度的技术要求，并未对一切技术细节做出规定，也未充分引述有关标准和规范的条文，供应商应保证提供符合“技术规格与要求”和有关行业标准的优质产品。</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shd w:val="clear" w:color="auto" w:fill="FFFFFF"/>
        </w:rPr>
        <w:t>1.3“技术参数及要求”中所使用的标准和规范如与供应商所执行的标准发生矛盾时，按较高标准执行。</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shd w:val="clear" w:color="auto" w:fill="FFFFFF"/>
        </w:rPr>
        <w:t>1.4供应商在准备响应文件时,要按技术规格中的要求,标明商品名称、产品型号和具体指标。</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shd w:val="clear" w:color="auto" w:fill="FFFFFF"/>
        </w:rPr>
        <w:t>1.5供应商需按要求提供与响应型号一致的产品说明书或所用的支持文件。</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shd w:val="clear" w:color="auto" w:fill="FFFFFF"/>
        </w:rPr>
        <w:t>1.6供应商所提供的产品技术规格要符合招标文件的要求。如所供产品存在技术偏离,供应商应如实填写技术规格偏离表。</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shd w:val="clear" w:color="auto" w:fill="FFFFFF"/>
        </w:rPr>
        <w:t>1.7供应商提供的产品质量除应符合招标文件的技术条款外，也应符合以下三种标准中的一种标准：</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shd w:val="clear" w:color="auto" w:fill="FFFFFF"/>
        </w:rPr>
        <w:t>（1）凡产品有现行的中华人民共和国国家标准；</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shd w:val="clear" w:color="auto" w:fill="FFFFFF"/>
        </w:rPr>
        <w:t>（2）或部颁标准；</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shd w:val="clear" w:color="auto" w:fill="FFFFFF"/>
        </w:rPr>
        <w:t>（3）或通用国际标准。</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shd w:val="clear" w:color="auto" w:fill="FFFFFF"/>
        </w:rPr>
        <w:t>1.8招标文件的技术指标是采购方对所购设备或产品性能的基本要求。</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shd w:val="clear" w:color="auto" w:fill="FFFFFF"/>
        </w:rPr>
        <w:t>1.9供应商响应产品应为全新的、未使用过的，是最新或目前的型号。供应商应本着为用户服务的宗旨，完善产品及技术参数，并在技术参数偏差表中注明，不得以招标文件未列明事项为由，来降低响应产品的质量。</w:t>
      </w:r>
    </w:p>
    <w:p>
      <w:pPr>
        <w:shd w:val="clear"/>
        <w:rPr>
          <w:rFonts w:hint="eastAsia" w:ascii="宋体" w:hAnsi="宋体" w:eastAsia="宋体" w:cs="宋体"/>
          <w:b/>
          <w:bCs/>
          <w:color w:val="auto"/>
          <w:kern w:val="0"/>
          <w:sz w:val="24"/>
          <w:szCs w:val="24"/>
          <w:highlight w:val="none"/>
          <w:shd w:val="clear" w:color="auto" w:fill="FFFFFF"/>
        </w:rPr>
        <w:sectPr>
          <w:pgSz w:w="11920" w:h="16840"/>
          <w:pgMar w:top="1418" w:right="1418" w:bottom="1418" w:left="1418" w:header="794" w:footer="851" w:gutter="284"/>
          <w:pgBorders>
            <w:top w:val="none" w:sz="0" w:space="0"/>
            <w:left w:val="none" w:sz="0" w:space="0"/>
            <w:bottom w:val="none" w:sz="0" w:space="0"/>
            <w:right w:val="none" w:sz="0" w:space="0"/>
          </w:pgBorders>
          <w:pgNumType w:fmt="decimal"/>
          <w:cols w:space="720" w:num="1"/>
        </w:sectPr>
      </w:pPr>
    </w:p>
    <w:p>
      <w:pPr>
        <w:numPr>
          <w:ilvl w:val="0"/>
          <w:numId w:val="5"/>
        </w:numPr>
        <w:outlineLvl w:val="1"/>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设备清单</w:t>
      </w:r>
      <w:r>
        <w:rPr>
          <w:rFonts w:hint="eastAsia" w:ascii="宋体" w:hAnsi="宋体" w:eastAsia="宋体" w:cs="宋体"/>
          <w:b/>
          <w:bCs/>
          <w:color w:val="auto"/>
          <w:kern w:val="0"/>
          <w:sz w:val="24"/>
          <w:szCs w:val="24"/>
          <w:highlight w:val="none"/>
          <w:shd w:val="clear" w:color="auto" w:fill="FFFFFF"/>
          <w:lang w:val="en-US" w:eastAsia="zh-CN"/>
        </w:rPr>
        <w:t xml:space="preserve">                                                                       </w:t>
      </w:r>
    </w:p>
    <w:tbl>
      <w:tblPr>
        <w:tblStyle w:val="34"/>
        <w:tblW w:w="140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9"/>
        <w:gridCol w:w="943"/>
        <w:gridCol w:w="4107"/>
        <w:gridCol w:w="1000"/>
        <w:gridCol w:w="1304"/>
        <w:gridCol w:w="1553"/>
        <w:gridCol w:w="2107"/>
        <w:gridCol w:w="2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分包</w:t>
            </w:r>
          </w:p>
        </w:tc>
        <w:tc>
          <w:tcPr>
            <w:tcW w:w="4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设备名称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     小计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核心设备</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是否专门面向中小企业采购</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交货期（天）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4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包1</w:t>
            </w:r>
          </w:p>
        </w:tc>
        <w:tc>
          <w:tcPr>
            <w:tcW w:w="410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立式燃油（气）锅炉考培模拟机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0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2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4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卧式燃油（气）锅炉考培模拟机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30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核心设备</w:t>
            </w:r>
          </w:p>
        </w:tc>
        <w:tc>
          <w:tcPr>
            <w:tcW w:w="2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94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燃油（气）有机热载体锅炉考培模拟机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0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包2</w:t>
            </w:r>
          </w:p>
        </w:tc>
        <w:tc>
          <w:tcPr>
            <w:tcW w:w="4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快开门式压力容器(灭菌器)考培模拟机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30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快开门式压力容器(蒸压釜)考培模拟机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30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核心设备</w:t>
            </w:r>
          </w:p>
        </w:tc>
        <w:tc>
          <w:tcPr>
            <w:tcW w:w="2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包3</w:t>
            </w:r>
          </w:p>
        </w:tc>
        <w:tc>
          <w:tcPr>
            <w:tcW w:w="4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移动式压力容器（LNG槽车)考培模拟机</w:t>
            </w:r>
          </w:p>
        </w:tc>
        <w:tc>
          <w:tcPr>
            <w:tcW w:w="10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5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核心设备</w:t>
            </w:r>
          </w:p>
        </w:tc>
        <w:tc>
          <w:tcPr>
            <w:tcW w:w="2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移动式压力容器（LPG槽车)考培模拟机</w:t>
            </w:r>
          </w:p>
        </w:tc>
        <w:tc>
          <w:tcPr>
            <w:tcW w:w="10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30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553"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94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包4</w:t>
            </w:r>
          </w:p>
        </w:tc>
        <w:tc>
          <w:tcPr>
            <w:tcW w:w="4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液化石油气气瓶充装考培模拟机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30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核心设备</w:t>
            </w:r>
          </w:p>
        </w:tc>
        <w:tc>
          <w:tcPr>
            <w:tcW w:w="2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94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410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永久气体气瓶充装考培模拟机</w:t>
            </w:r>
          </w:p>
        </w:tc>
        <w:tc>
          <w:tcPr>
            <w:tcW w:w="10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0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55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0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3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包5</w:t>
            </w:r>
          </w:p>
        </w:tc>
        <w:tc>
          <w:tcPr>
            <w:tcW w:w="4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气瓶充装考培模拟机组</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r>
    </w:tbl>
    <w:p>
      <w:pPr>
        <w:numPr>
          <w:ilvl w:val="0"/>
          <w:numId w:val="5"/>
        </w:numPr>
        <w:rPr>
          <w:rFonts w:hint="eastAsia" w:ascii="宋体" w:hAnsi="宋体" w:eastAsia="宋体" w:cs="宋体"/>
          <w:b/>
          <w:bCs/>
          <w:color w:val="auto"/>
          <w:kern w:val="0"/>
          <w:sz w:val="24"/>
          <w:szCs w:val="24"/>
          <w:highlight w:val="none"/>
          <w:shd w:val="clear" w:color="auto" w:fill="FFFFFF"/>
        </w:rPr>
        <w:sectPr>
          <w:pgSz w:w="16840" w:h="11920" w:orient="landscape"/>
          <w:pgMar w:top="1418" w:right="1418" w:bottom="1418" w:left="1418" w:header="794" w:footer="851" w:gutter="284"/>
          <w:pgBorders>
            <w:top w:val="none" w:sz="0" w:space="0"/>
            <w:left w:val="none" w:sz="0" w:space="0"/>
            <w:bottom w:val="none" w:sz="0" w:space="0"/>
            <w:right w:val="none" w:sz="0" w:space="0"/>
          </w:pgBorders>
          <w:pgNumType w:fmt="decimal"/>
          <w:cols w:space="720" w:num="1"/>
        </w:sectPr>
      </w:pPr>
      <w:r>
        <w:rPr>
          <w:rFonts w:hint="eastAsia" w:ascii="宋体" w:hAnsi="宋体" w:eastAsia="宋体" w:cs="宋体"/>
          <w:b/>
          <w:bCs/>
          <w:color w:val="auto"/>
          <w:kern w:val="0"/>
          <w:sz w:val="24"/>
          <w:szCs w:val="24"/>
          <w:highlight w:val="none"/>
          <w:shd w:val="clear" w:color="auto" w:fill="FFFFFF"/>
        </w:rPr>
        <w:br w:type="page"/>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lang w:val="en-US" w:eastAsia="zh-CN"/>
        </w:rPr>
        <w:t>三</w:t>
      </w:r>
      <w:r>
        <w:rPr>
          <w:rFonts w:hint="eastAsia" w:ascii="宋体" w:hAnsi="宋体" w:eastAsia="宋体" w:cs="宋体"/>
          <w:b/>
          <w:bCs/>
          <w:color w:val="auto"/>
          <w:kern w:val="0"/>
          <w:sz w:val="24"/>
          <w:szCs w:val="24"/>
          <w:highlight w:val="none"/>
          <w:shd w:val="clear" w:color="auto" w:fill="FFFFFF"/>
        </w:rPr>
        <w:t>、设备技术参数</w:t>
      </w:r>
    </w:p>
    <w:p>
      <w:pPr>
        <w:jc w:val="center"/>
        <w:outlineLvl w:val="2"/>
        <w:rPr>
          <w:rFonts w:hint="eastAsia" w:ascii="宋体" w:hAnsi="宋体" w:eastAsia="宋体" w:cs="宋体"/>
          <w:b/>
          <w:bCs/>
          <w:color w:val="auto"/>
          <w:kern w:val="0"/>
          <w:sz w:val="24"/>
          <w:szCs w:val="24"/>
          <w:highlight w:val="none"/>
          <w:shd w:val="clear" w:color="auto" w:fill="FFFFFF"/>
          <w:lang w:val="en-US" w:eastAsia="zh-CN"/>
        </w:rPr>
      </w:pPr>
      <w:r>
        <w:rPr>
          <w:rFonts w:hint="eastAsia" w:ascii="宋体" w:hAnsi="宋体" w:eastAsia="宋体" w:cs="宋体"/>
          <w:b/>
          <w:bCs/>
          <w:color w:val="auto"/>
          <w:kern w:val="0"/>
          <w:sz w:val="24"/>
          <w:szCs w:val="24"/>
          <w:highlight w:val="none"/>
          <w:shd w:val="clear" w:color="auto" w:fill="FFFFFF"/>
          <w:lang w:val="en-US" w:eastAsia="zh-CN"/>
        </w:rPr>
        <w:t>包1</w:t>
      </w:r>
      <w:r>
        <w:rPr>
          <w:rFonts w:hint="eastAsia" w:ascii="宋体" w:hAnsi="宋体" w:eastAsia="宋体" w:cs="宋体"/>
          <w:b/>
          <w:bCs/>
          <w:color w:val="auto"/>
          <w:kern w:val="0"/>
          <w:sz w:val="24"/>
          <w:szCs w:val="24"/>
          <w:highlight w:val="none"/>
          <w:shd w:val="clear" w:color="auto" w:fill="FFFFFF"/>
        </w:rPr>
        <w:t>设备技术参数</w:t>
      </w:r>
      <w:r>
        <w:rPr>
          <w:rFonts w:hint="eastAsia" w:ascii="宋体" w:hAnsi="宋体" w:eastAsia="宋体" w:cs="宋体"/>
          <w:b/>
          <w:bCs/>
          <w:color w:val="auto"/>
          <w:kern w:val="0"/>
          <w:sz w:val="24"/>
          <w:szCs w:val="24"/>
          <w:highlight w:val="none"/>
          <w:shd w:val="clear" w:color="auto" w:fill="FFFFFF"/>
          <w:lang w:val="en-US" w:eastAsia="zh-CN"/>
        </w:rPr>
        <w:t>：</w:t>
      </w:r>
    </w:p>
    <w:p>
      <w:pPr>
        <w:spacing w:line="360" w:lineRule="auto"/>
        <w:contextualSpacing/>
        <w:jc w:val="center"/>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立式燃油（气）锅炉考培设备技术参数</w:t>
      </w:r>
    </w:p>
    <w:p>
      <w:pPr>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1.设备名称：</w:t>
      </w:r>
      <w:r>
        <w:rPr>
          <w:rFonts w:hint="eastAsia" w:ascii="宋体" w:hAnsi="宋体" w:eastAsia="宋体" w:cs="宋体"/>
          <w:sz w:val="21"/>
          <w:szCs w:val="21"/>
          <w:highlight w:val="none"/>
        </w:rPr>
        <w:t>立式燃油（气）锅炉考培</w:t>
      </w:r>
      <w:r>
        <w:rPr>
          <w:rFonts w:hint="eastAsia" w:ascii="宋体" w:hAnsi="宋体" w:eastAsia="宋体" w:cs="宋体"/>
          <w:sz w:val="21"/>
          <w:szCs w:val="21"/>
          <w:highlight w:val="none"/>
          <w:lang w:eastAsia="zh-CN"/>
        </w:rPr>
        <w:t>模拟机</w:t>
      </w:r>
    </w:p>
    <w:p>
      <w:pPr>
        <w:numPr>
          <w:ilvl w:val="-1"/>
          <w:numId w:val="0"/>
        </w:numPr>
        <w:spacing w:line="360" w:lineRule="auto"/>
        <w:ind w:left="0" w:leftChars="0"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2.</w:t>
      </w:r>
      <w:r>
        <w:rPr>
          <w:rFonts w:hint="eastAsia" w:ascii="宋体" w:hAnsi="宋体" w:eastAsia="宋体" w:cs="宋体"/>
          <w:b/>
          <w:sz w:val="21"/>
          <w:szCs w:val="21"/>
          <w:highlight w:val="none"/>
        </w:rPr>
        <w:t>主要用途：</w:t>
      </w:r>
      <w:r>
        <w:rPr>
          <w:rFonts w:hint="eastAsia" w:ascii="宋体" w:hAnsi="宋体" w:eastAsia="宋体" w:cs="宋体"/>
          <w:sz w:val="21"/>
          <w:szCs w:val="21"/>
          <w:highlight w:val="none"/>
        </w:rPr>
        <w:t>特种设备作业人员考核</w:t>
      </w:r>
    </w:p>
    <w:p>
      <w:pPr>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3.供货范围和配置（包括软硬件和附件等）：</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3.1总体要求：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（1）设备必须采用国际上同行业中先进成熟的设计思想，制造技术；</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（2）设备在质量上必须具有优良的品质，即可靠性要高，使用寿命长；</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（3）设备必须具有良好的操作性，方便的维修性，可靠的安全性；</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（4）采用全新产品，并标明生产商、品牌与产地，并附原产地证明；</w:t>
      </w:r>
    </w:p>
    <w:p>
      <w:pPr>
        <w:spacing w:line="240" w:lineRule="auto"/>
        <w:ind w:lef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（5）质量保证期应为设备安装调试验收合格之日起</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 主要配置：</w:t>
      </w:r>
    </w:p>
    <w:p>
      <w:pPr>
        <w:spacing w:line="240" w:lineRule="auto"/>
        <w:ind w:left="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立式燃油（气）锅炉考培</w:t>
      </w:r>
      <w:r>
        <w:rPr>
          <w:rFonts w:hint="eastAsia" w:ascii="宋体" w:hAnsi="宋体" w:eastAsia="宋体" w:cs="宋体"/>
          <w:sz w:val="21"/>
          <w:szCs w:val="21"/>
          <w:highlight w:val="none"/>
          <w:lang w:eastAsia="zh-CN"/>
        </w:rPr>
        <w:t>模拟机（</w:t>
      </w:r>
      <w:r>
        <w:rPr>
          <w:rFonts w:hint="eastAsia" w:ascii="宋体" w:hAnsi="宋体" w:eastAsia="宋体" w:cs="宋体"/>
          <w:sz w:val="21"/>
          <w:szCs w:val="21"/>
          <w:highlight w:val="none"/>
          <w:lang w:val="en-US" w:eastAsia="zh-CN"/>
        </w:rPr>
        <w:t>1套）</w:t>
      </w:r>
    </w:p>
    <w:p>
      <w:pPr>
        <w:spacing w:line="240" w:lineRule="auto"/>
        <w:ind w:left="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标准配置：</w:t>
      </w:r>
    </w:p>
    <w:p>
      <w:pPr>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w:t>
      </w:r>
      <w:r>
        <w:rPr>
          <w:rFonts w:hint="eastAsia" w:ascii="宋体" w:hAnsi="宋体" w:eastAsia="宋体" w:cs="宋体"/>
          <w:sz w:val="21"/>
          <w:szCs w:val="21"/>
          <w:highlight w:val="none"/>
        </w:rPr>
        <w:tab/>
      </w:r>
      <w:r>
        <w:rPr>
          <w:rFonts w:hint="eastAsia" w:ascii="宋体" w:hAnsi="宋体" w:eastAsia="宋体" w:cs="宋体"/>
          <w:sz w:val="21"/>
          <w:szCs w:val="21"/>
          <w:highlight w:val="none"/>
        </w:rPr>
        <w:t>锅炉本体</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1台</w:t>
      </w:r>
      <w:r>
        <w:rPr>
          <w:rFonts w:hint="eastAsia" w:ascii="宋体" w:hAnsi="宋体" w:eastAsia="宋体" w:cs="宋体"/>
          <w:color w:val="auto"/>
          <w:sz w:val="21"/>
          <w:szCs w:val="21"/>
          <w:highlight w:val="none"/>
        </w:rPr>
        <w:t>。</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鼓风机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1个。</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3.3.2</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水泵</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1个。</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油泵</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1个。</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燃烧器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1个。</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省煤器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1个。</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分汽缸</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1个。</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zh-CN"/>
        </w:rPr>
        <w:t>3.2.</w:t>
      </w:r>
      <w:r>
        <w:rPr>
          <w:rFonts w:hint="eastAsia" w:ascii="宋体" w:hAnsi="宋体" w:eastAsia="宋体" w:cs="宋体"/>
          <w:bCs w:val="0"/>
          <w:color w:val="auto"/>
          <w:sz w:val="21"/>
          <w:szCs w:val="21"/>
          <w:highlight w:val="none"/>
        </w:rPr>
        <w:t>8</w:t>
      </w:r>
      <w:r>
        <w:rPr>
          <w:rFonts w:hint="eastAsia" w:ascii="宋体" w:hAnsi="宋体" w:eastAsia="宋体" w:cs="宋体"/>
          <w:bCs w:val="0"/>
          <w:color w:val="auto"/>
          <w:sz w:val="21"/>
          <w:szCs w:val="21"/>
          <w:highlight w:val="none"/>
          <w:lang w:val="zh-CN"/>
        </w:rPr>
        <w:tab/>
      </w:r>
      <w:r>
        <w:rPr>
          <w:rFonts w:hint="eastAsia" w:ascii="宋体" w:hAnsi="宋体" w:eastAsia="宋体" w:cs="宋体"/>
          <w:color w:val="auto"/>
          <w:sz w:val="21"/>
          <w:szCs w:val="21"/>
          <w:highlight w:val="none"/>
        </w:rPr>
        <w:t>安全阀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1个，规格：DN25。</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压力表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3个，规格：</w:t>
      </w:r>
      <w:r>
        <w:rPr>
          <w:rFonts w:hint="eastAsia" w:ascii="宋体" w:hAnsi="宋体" w:eastAsia="宋体" w:cs="宋体"/>
          <w:bCs w:val="0"/>
          <w:color w:val="auto"/>
          <w:sz w:val="21"/>
          <w:szCs w:val="21"/>
          <w:highlight w:val="none"/>
        </w:rPr>
        <w:t>0~</w:t>
      </w:r>
      <w:r>
        <w:rPr>
          <w:rFonts w:hint="eastAsia" w:ascii="宋体" w:hAnsi="宋体" w:eastAsia="宋体" w:cs="宋体"/>
          <w:color w:val="auto"/>
          <w:sz w:val="21"/>
          <w:szCs w:val="21"/>
          <w:highlight w:val="none"/>
        </w:rPr>
        <w:t>1.6Mpa</w:t>
      </w:r>
      <w:r>
        <w:rPr>
          <w:rFonts w:hint="eastAsia" w:ascii="宋体" w:hAnsi="宋体" w:eastAsia="宋体" w:cs="宋体"/>
          <w:bCs w:val="0"/>
          <w:color w:val="auto"/>
          <w:sz w:val="21"/>
          <w:szCs w:val="21"/>
          <w:highlight w:val="none"/>
        </w:rPr>
        <w:t>；表盘</w:t>
      </w:r>
      <w:r>
        <w:rPr>
          <w:rFonts w:hint="eastAsia" w:ascii="宋体" w:hAnsi="宋体" w:eastAsia="宋体" w:cs="宋体"/>
          <w:color w:val="auto"/>
          <w:sz w:val="21"/>
          <w:szCs w:val="21"/>
          <w:highlight w:val="none"/>
          <w:lang w:eastAsia="zh-CN"/>
        </w:rPr>
        <w:t>直径不小于</w:t>
      </w:r>
      <w:r>
        <w:rPr>
          <w:rFonts w:hint="eastAsia" w:ascii="宋体" w:hAnsi="宋体" w:eastAsia="宋体" w:cs="宋体"/>
          <w:bCs w:val="0"/>
          <w:color w:val="auto"/>
          <w:sz w:val="21"/>
          <w:szCs w:val="21"/>
          <w:highlight w:val="none"/>
        </w:rPr>
        <w:t>100</w:t>
      </w:r>
      <w:r>
        <w:rPr>
          <w:rFonts w:hint="eastAsia" w:ascii="宋体" w:hAnsi="宋体" w:eastAsia="宋体" w:cs="宋体"/>
          <w:bCs w:val="0"/>
          <w:color w:val="auto"/>
          <w:sz w:val="21"/>
          <w:szCs w:val="21"/>
          <w:highlight w:val="none"/>
          <w:lang w:val="en-US" w:eastAsia="zh-CN"/>
        </w:rPr>
        <w:t>mm</w:t>
      </w:r>
      <w:r>
        <w:rPr>
          <w:rFonts w:hint="eastAsia" w:ascii="宋体" w:hAnsi="宋体" w:eastAsia="宋体" w:cs="宋体"/>
          <w:bCs w:val="0"/>
          <w:color w:val="auto"/>
          <w:sz w:val="21"/>
          <w:szCs w:val="21"/>
          <w:highlight w:val="none"/>
        </w:rPr>
        <w:t>。</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主汽阀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1个，规格：DN25。</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油路切断阀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1个，规格：DN15。</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高燃电磁阀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1个，规格：DN15。</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低燃电磁阀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1个，规格：DN15。</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排气阀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1个，规格：DN20。</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炉体排污阀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1个，规格：DN25。</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给水截止阀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1个，规格：DN20。</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水位计排污阀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1个，规格：DN15。</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检水阀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1个，规格：DN15。</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水旋塞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1个，规格：DN25。</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汽旋塞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1个，规格：DN25。</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分汽缸进气阀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1个，规格：DN25。</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分汽缸出气阀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2个，规格：DN20。</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蒸汽压力开关</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1个。</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水位计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1个。</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可编程控制器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1套。</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工业触摸屏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1个，规格：10.2英寸。</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扫描枪</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1把。</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eastAsia="zh-CN"/>
        </w:rPr>
        <w:t>控制终端</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1台。</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考核软件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1套。</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部件识别系统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1套。</w:t>
      </w:r>
    </w:p>
    <w:p>
      <w:pPr>
        <w:spacing w:line="240" w:lineRule="auto"/>
        <w:ind w:firstLine="422" w:firstLineChars="200"/>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.主要技术要求</w:t>
      </w:r>
      <w:r>
        <w:rPr>
          <w:rFonts w:hint="eastAsia" w:ascii="宋体" w:hAnsi="宋体" w:eastAsia="宋体" w:cs="宋体"/>
          <w:b/>
          <w:bCs/>
          <w:sz w:val="21"/>
          <w:szCs w:val="21"/>
          <w:highlight w:val="none"/>
          <w:lang w:eastAsia="zh-CN"/>
        </w:rPr>
        <w:t>和参数（包括软硬件附属设备等）</w:t>
      </w:r>
    </w:p>
    <w:p>
      <w:pPr>
        <w:spacing w:line="240" w:lineRule="auto"/>
        <w:ind w:firstLine="420" w:firstLineChars="20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en-US" w:eastAsia="zh-CN"/>
        </w:rPr>
        <w:t>4</w:t>
      </w:r>
      <w:r>
        <w:rPr>
          <w:rFonts w:hint="eastAsia" w:ascii="宋体" w:hAnsi="宋体" w:eastAsia="宋体" w:cs="宋体"/>
          <w:b w:val="0"/>
          <w:sz w:val="21"/>
          <w:szCs w:val="21"/>
          <w:highlight w:val="none"/>
        </w:rPr>
        <w:t>.1 基本要求</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.1.1锅炉本体、附属设备等需实物仿真，安全附件、阀门等需实物并可进行相应模拟操作；且能够对运行状况（如压力）进行模拟显示；</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.1.2要求能够实现部件识别操作、基本操作、应急处置操作等科目考试的要求，考试各部分内容所占</w:t>
      </w:r>
      <w:r>
        <w:rPr>
          <w:rFonts w:hint="eastAsia" w:ascii="宋体" w:hAnsi="宋体" w:eastAsia="宋体" w:cs="宋体"/>
          <w:color w:val="000000" w:themeColor="text1"/>
          <w:sz w:val="21"/>
          <w:szCs w:val="21"/>
          <w:highlight w:val="none"/>
          <w14:textFill>
            <w14:solidFill>
              <w14:schemeClr w14:val="tx1"/>
            </w14:solidFill>
          </w14:textFill>
        </w:rPr>
        <w:t>比例部件识别占10%，基本操作占50%，应急处置占40%，所有科目考试内容应与考核大纲一致；</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.1.3满足最新TSG Z6001-2019《特种设备作业人员考核规则》中实操考核的要求</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软件系统具有题库管理、随机组卷、自动限时计时、自动判卷评分、自动记录存档、统计、查询、汇总报表、建档和存档等数据库管理功能；</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1.4锅炉应选用国内目前在用的具有代表性的典型炉型，按照锅炉设计图纸，按一定比例将真实锅炉缩小制作。锅炉外形、锅炉内部结构、配备的附属设备、安全附件和操作阀门等均为真实部件，能供司炉人员操作；</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.1.5</w:t>
      </w:r>
      <w:r>
        <w:rPr>
          <w:rFonts w:hint="eastAsia" w:ascii="宋体" w:hAnsi="宋体" w:eastAsia="宋体" w:cs="宋体"/>
          <w:sz w:val="21"/>
          <w:szCs w:val="21"/>
          <w:highlight w:val="none"/>
          <w:lang w:eastAsia="zh-CN"/>
        </w:rPr>
        <w:t>可以</w:t>
      </w:r>
      <w:r>
        <w:rPr>
          <w:rFonts w:hint="eastAsia" w:ascii="宋体" w:hAnsi="宋体" w:eastAsia="宋体" w:cs="宋体"/>
          <w:sz w:val="21"/>
          <w:szCs w:val="21"/>
          <w:highlight w:val="none"/>
        </w:rPr>
        <w:t>利用3D动画技术演示锅炉组成及安全附件教学。</w:t>
      </w:r>
    </w:p>
    <w:p>
      <w:pPr>
        <w:spacing w:line="240" w:lineRule="auto"/>
        <w:ind w:left="0" w:leftChars="0" w:firstLine="420" w:firstLineChars="20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en-US" w:eastAsia="zh-CN"/>
        </w:rPr>
        <w:t>4</w:t>
      </w:r>
      <w:r>
        <w:rPr>
          <w:rFonts w:hint="eastAsia" w:ascii="宋体" w:hAnsi="宋体" w:eastAsia="宋体" w:cs="宋体"/>
          <w:b w:val="0"/>
          <w:sz w:val="21"/>
          <w:szCs w:val="21"/>
          <w:highlight w:val="none"/>
        </w:rPr>
        <w:t>.2 技术要求</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.2.1系统软件至少应具锅炉各系统工作流程与正确操作演示功能、上机操作训练功能、考核功能、考试计时功能、考核自动打分功能、学员信息管理功能、学员数据库管理功能、学员信息导入导出功能；</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2.2.2应用软件演示功能至少应包括水位控制系统及冲洗水位表、燃油（气）系统、给水系统、送风系统、排污系统、锅内烟气流程系统、自动点火系统、压力系统、锅炉水质处理系统、安全附件正常时操作系统、安全附件出现故障时操作系统、立式燃油（气）锅炉的组成3D演示、锅炉安全附件教学3D演示；</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省煤器要求开观察窗可观看内部结构；</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.2.4水位计要求内部安装双色LED光柱，汽红水绿模拟显示水位；</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b w:val="0"/>
          <w:color w:val="000000"/>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.2.5</w:t>
      </w:r>
      <w:r>
        <w:rPr>
          <w:rFonts w:hint="eastAsia" w:ascii="宋体" w:hAnsi="宋体" w:eastAsia="宋体" w:cs="宋体"/>
          <w:color w:val="000000"/>
          <w:sz w:val="21"/>
          <w:szCs w:val="21"/>
          <w:highlight w:val="none"/>
        </w:rPr>
        <w:t>部件识别：嵌入考核软件中，硬件使用无线二维扫描枪，对相关操作阀门、安全附件或典型结构进行扫描识别，同时在工</w:t>
      </w:r>
      <w:r>
        <w:rPr>
          <w:rFonts w:hint="eastAsia" w:ascii="宋体" w:hAnsi="宋体" w:eastAsia="宋体" w:cs="宋体"/>
          <w:sz w:val="21"/>
          <w:szCs w:val="21"/>
          <w:highlight w:val="none"/>
        </w:rPr>
        <w:t>业</w:t>
      </w:r>
      <w:r>
        <w:rPr>
          <w:rFonts w:hint="eastAsia" w:ascii="宋体" w:hAnsi="宋体" w:eastAsia="宋体" w:cs="宋体"/>
          <w:color w:val="000000"/>
          <w:sz w:val="21"/>
          <w:szCs w:val="21"/>
          <w:highlight w:val="none"/>
        </w:rPr>
        <w:t>触摸屏显示出识别物件相应的名称，考核端需有相应语音提示。</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b w:val="0"/>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.2.6</w:t>
      </w:r>
      <w:r>
        <w:rPr>
          <w:rFonts w:hint="eastAsia" w:ascii="宋体" w:hAnsi="宋体" w:eastAsia="宋体" w:cs="宋体"/>
          <w:color w:val="000000"/>
          <w:sz w:val="21"/>
          <w:szCs w:val="21"/>
          <w:highlight w:val="none"/>
        </w:rPr>
        <w:t>工业触摸屏运行软件包括练习界面、考核界面两个部分；练习界面应显示考题内容、考题正确步骤内容及实时显示学员每一步操作内容，学员通过触摸屏选择不同的考题进行练习；考核界面应显示考题内容实时显示学员每一步操作内容。</w:t>
      </w:r>
    </w:p>
    <w:p>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工业触摸屏不小于10.2英寸</w:t>
      </w:r>
      <w:r>
        <w:rPr>
          <w:rFonts w:hint="eastAsia" w:ascii="宋体" w:hAnsi="宋体" w:eastAsia="宋体" w:cs="宋体"/>
          <w:sz w:val="21"/>
          <w:szCs w:val="21"/>
          <w:highlight w:val="none"/>
          <w:lang w:eastAsia="zh-CN"/>
        </w:rPr>
        <w:t>。</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控制终端</w:t>
      </w:r>
      <w:r>
        <w:rPr>
          <w:rFonts w:hint="eastAsia" w:ascii="宋体" w:hAnsi="宋体" w:eastAsia="宋体" w:cs="宋体"/>
          <w:color w:val="000000"/>
          <w:sz w:val="21"/>
          <w:szCs w:val="21"/>
          <w:highlight w:val="none"/>
        </w:rPr>
        <w:t>：内存</w:t>
      </w:r>
      <w:r>
        <w:rPr>
          <w:rFonts w:hint="eastAsia" w:ascii="宋体" w:hAnsi="宋体" w:eastAsia="宋体" w:cs="宋体"/>
          <w:sz w:val="21"/>
          <w:szCs w:val="21"/>
          <w:highlight w:val="none"/>
        </w:rPr>
        <w:t>不小于</w:t>
      </w:r>
      <w:r>
        <w:rPr>
          <w:rFonts w:hint="eastAsia" w:ascii="宋体" w:hAnsi="宋体" w:eastAsia="宋体" w:cs="宋体"/>
          <w:color w:val="000000"/>
          <w:sz w:val="21"/>
          <w:szCs w:val="21"/>
          <w:highlight w:val="none"/>
        </w:rPr>
        <w:t>4G，硬盘</w:t>
      </w:r>
      <w:r>
        <w:rPr>
          <w:rFonts w:hint="eastAsia" w:ascii="宋体" w:hAnsi="宋体" w:eastAsia="宋体" w:cs="宋体"/>
          <w:sz w:val="21"/>
          <w:szCs w:val="21"/>
          <w:highlight w:val="none"/>
        </w:rPr>
        <w:t>不小于</w:t>
      </w:r>
      <w:r>
        <w:rPr>
          <w:rFonts w:hint="eastAsia" w:ascii="宋体" w:hAnsi="宋体" w:eastAsia="宋体" w:cs="宋体"/>
          <w:color w:val="000000"/>
          <w:sz w:val="21"/>
          <w:szCs w:val="21"/>
          <w:highlight w:val="none"/>
        </w:rPr>
        <w:t>128G，</w:t>
      </w:r>
      <w:r>
        <w:rPr>
          <w:rFonts w:hint="eastAsia" w:ascii="宋体" w:hAnsi="宋体" w:eastAsia="宋体" w:cs="宋体"/>
          <w:sz w:val="21"/>
          <w:szCs w:val="21"/>
          <w:highlight w:val="none"/>
        </w:rPr>
        <w:t>不小于</w:t>
      </w:r>
      <w:r>
        <w:rPr>
          <w:rFonts w:hint="eastAsia" w:ascii="宋体" w:hAnsi="宋体" w:eastAsia="宋体" w:cs="宋体"/>
          <w:color w:val="000000"/>
          <w:sz w:val="21"/>
          <w:szCs w:val="21"/>
          <w:highlight w:val="none"/>
        </w:rPr>
        <w:t>23.8英寸</w:t>
      </w:r>
    </w:p>
    <w:p>
      <w:pPr>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5.技术服务与承诺：</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（1）保修期内，设备及附件由于质量问题而不能正常工作时，供方承诺在一天内到达用户现场免费修理或更换零部件。因维修不及时，而导致设备无法正常使用时，其保修时间随停机时间的长短而相应延长。</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（2）供方对设备提供终生维修服务，保修期外只收取零部件配件费和维修费用，并享有优惠购买零配件待遇。</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（3）售后服务人员无忧电话回访，主动跟踪动态服务。检查设备的运行情况，并对设备进行维护和保养。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（4）质保期内设备发生故障系设备出现质量问题，无偿更换；</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（5）设备未按照合同规定地点交货、验收之前，如发生不可力因素导致设备毁坏或灭失，由供方承担责任；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（6）供方公司提供</w:t>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rPr>
        <w:t>年的质保期；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）对设备软件终身免费升级；</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）供方免费提供：就位、设备安装、调试工作。</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）附带易损易耗物品清单及其价格表。</w:t>
      </w:r>
    </w:p>
    <w:p>
      <w:pPr>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6.培训：</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供方负责拟定免费培训；设备安装调试最终验收合格后，由供方专业技术人员为用户安排2～3天的操作培训、维护人员的免费培训。主要培训操作人员对设备基本原理、软件使用、操作、维护等的理解及应用，并达到用户操作人员能独立操作设备、服务</w:t>
      </w:r>
      <w:r>
        <w:rPr>
          <w:rFonts w:hint="eastAsia" w:ascii="宋体" w:hAnsi="宋体" w:eastAsia="宋体" w:cs="宋体"/>
          <w:sz w:val="21"/>
          <w:szCs w:val="21"/>
          <w:highlight w:val="none"/>
          <w:lang w:val="en-US" w:eastAsia="zh-CN"/>
        </w:rPr>
        <w:t>考试</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故障排除</w:t>
      </w:r>
      <w:r>
        <w:rPr>
          <w:rFonts w:hint="eastAsia" w:ascii="宋体" w:hAnsi="宋体" w:eastAsia="宋体" w:cs="宋体"/>
          <w:sz w:val="21"/>
          <w:szCs w:val="21"/>
          <w:highlight w:val="none"/>
        </w:rPr>
        <w:t>工作和基本的维护工作。</w:t>
      </w:r>
    </w:p>
    <w:p>
      <w:pPr>
        <w:spacing w:line="360" w:lineRule="auto"/>
        <w:contextualSpacing/>
        <w:jc w:val="center"/>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卧式燃油（气）锅炉考培设备技术参数</w:t>
      </w:r>
    </w:p>
    <w:p>
      <w:pPr>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1.设备名称：</w:t>
      </w:r>
      <w:r>
        <w:rPr>
          <w:rFonts w:hint="eastAsia" w:ascii="宋体" w:hAnsi="宋体" w:eastAsia="宋体" w:cs="宋体"/>
          <w:sz w:val="21"/>
          <w:szCs w:val="21"/>
          <w:highlight w:val="none"/>
          <w:lang w:eastAsia="zh-CN"/>
        </w:rPr>
        <w:t>卧式燃油（气）锅炉考培模拟机</w:t>
      </w:r>
    </w:p>
    <w:p>
      <w:pPr>
        <w:numPr>
          <w:ilvl w:val="-1"/>
          <w:numId w:val="0"/>
        </w:numPr>
        <w:spacing w:line="360" w:lineRule="auto"/>
        <w:ind w:left="0" w:leftChars="0"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2.</w:t>
      </w:r>
      <w:r>
        <w:rPr>
          <w:rFonts w:hint="eastAsia" w:ascii="宋体" w:hAnsi="宋体" w:eastAsia="宋体" w:cs="宋体"/>
          <w:b/>
          <w:sz w:val="21"/>
          <w:szCs w:val="21"/>
          <w:highlight w:val="none"/>
        </w:rPr>
        <w:t>主要用途：</w:t>
      </w:r>
      <w:r>
        <w:rPr>
          <w:rFonts w:hint="eastAsia" w:ascii="宋体" w:hAnsi="宋体" w:eastAsia="宋体" w:cs="宋体"/>
          <w:sz w:val="21"/>
          <w:szCs w:val="21"/>
          <w:highlight w:val="none"/>
        </w:rPr>
        <w:t>特种设备作业人员考核</w:t>
      </w:r>
    </w:p>
    <w:p>
      <w:pPr>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3.供货范围和配置（包括软硬件和附件等）：</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3.1总体要求：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（1）设备必须采用国际上同行业中先进成熟的设计思想，制造技术；</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（2）设备在质量上必须具有优良的品质，即可靠性要高，使用寿命长；</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（3）设备必须具有良好的操作性，方便的维修性，可靠的安全性；</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（4）采用全新产品，并标明生产商、品牌与产地，并附原产地证明；</w:t>
      </w:r>
    </w:p>
    <w:p>
      <w:pPr>
        <w:spacing w:line="240" w:lineRule="auto"/>
        <w:ind w:lef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（5）质量保证期应为设备安装调试验收合格之日起</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 主要配置：</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卧式燃油（气）锅炉考培模拟机（共</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套）</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标准配置：</w:t>
      </w: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锅炉本体</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1台。</w:t>
      </w: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.2 </w:t>
      </w:r>
      <w:r>
        <w:rPr>
          <w:rFonts w:hint="eastAsia" w:ascii="宋体" w:hAnsi="宋体" w:eastAsia="宋体" w:cs="宋体"/>
          <w:sz w:val="21"/>
          <w:szCs w:val="21"/>
          <w:highlight w:val="none"/>
          <w:lang w:val="zh-CN"/>
        </w:rPr>
        <w:t>锅炉附属设备</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1套。</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3.2.</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zh-CN"/>
        </w:rPr>
        <w:t>.1</w:t>
      </w:r>
      <w:r>
        <w:rPr>
          <w:rFonts w:hint="eastAsia" w:ascii="宋体" w:hAnsi="宋体" w:eastAsia="宋体" w:cs="宋体"/>
          <w:sz w:val="21"/>
          <w:szCs w:val="21"/>
          <w:highlight w:val="none"/>
        </w:rPr>
        <w:t xml:space="preserve"> 燃烧器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1个。</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.2.2 给水泵</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1个。</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.2.3 分汽缸</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1个。</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.3 </w:t>
      </w:r>
      <w:r>
        <w:rPr>
          <w:rFonts w:hint="eastAsia" w:ascii="宋体" w:hAnsi="宋体" w:eastAsia="宋体" w:cs="宋体"/>
          <w:sz w:val="21"/>
          <w:szCs w:val="21"/>
          <w:highlight w:val="none"/>
          <w:lang w:val="zh-CN"/>
        </w:rPr>
        <w:t>安全附件及阀门</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1套。</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.3.1 DN25弹簧式安全阀</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2个。</w:t>
      </w:r>
    </w:p>
    <w:p>
      <w:pPr>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.3.2 压力表</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2个</w:t>
      </w:r>
      <w:r>
        <w:rPr>
          <w:rFonts w:hint="eastAsia" w:ascii="宋体" w:hAnsi="宋体" w:eastAsia="宋体" w:cs="宋体"/>
          <w:sz w:val="21"/>
          <w:szCs w:val="21"/>
          <w:highlight w:val="none"/>
          <w:lang w:eastAsia="zh-CN"/>
        </w:rPr>
        <w:t>，表盘直径不小于</w:t>
      </w:r>
      <w:r>
        <w:rPr>
          <w:rFonts w:hint="eastAsia" w:ascii="宋体" w:hAnsi="宋体" w:eastAsia="宋体" w:cs="宋体"/>
          <w:sz w:val="21"/>
          <w:szCs w:val="21"/>
          <w:highlight w:val="none"/>
          <w:lang w:val="en-US" w:eastAsia="zh-CN"/>
        </w:rPr>
        <w:t>100mm。</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.3.3 压力表</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2个</w:t>
      </w:r>
      <w:r>
        <w:rPr>
          <w:rFonts w:hint="eastAsia" w:ascii="宋体" w:hAnsi="宋体" w:eastAsia="宋体" w:cs="宋体"/>
          <w:sz w:val="21"/>
          <w:szCs w:val="21"/>
          <w:highlight w:val="none"/>
          <w:lang w:eastAsia="zh-CN"/>
        </w:rPr>
        <w:t>，表盘直径不小于</w:t>
      </w:r>
      <w:r>
        <w:rPr>
          <w:rFonts w:hint="eastAsia" w:ascii="宋体" w:hAnsi="宋体" w:eastAsia="宋体" w:cs="宋体"/>
          <w:sz w:val="21"/>
          <w:szCs w:val="21"/>
          <w:highlight w:val="none"/>
          <w:lang w:val="en-US" w:eastAsia="zh-CN"/>
        </w:rPr>
        <w:t>60mm。</w:t>
      </w:r>
      <w:r>
        <w:rPr>
          <w:rFonts w:hint="eastAsia" w:ascii="宋体" w:hAnsi="宋体" w:eastAsia="宋体" w:cs="宋体"/>
          <w:sz w:val="21"/>
          <w:szCs w:val="21"/>
          <w:highlight w:val="none"/>
        </w:rPr>
        <w:t>（油路1个、气路1个）</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.3.4 DN25主汽阀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1个。</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.3.5 DN20排气阀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1个。</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.3.6 DN25给水阀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1个。</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.3.7 DN25止回阀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1个。</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.3.8 DN25快排污阀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1个。</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.3.9 DN25慢排污阀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1个。</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.3.10 DN25水旋塞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2个。</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.3.11 DN25汽旋塞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2个。</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.3.12 水位计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2个。</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.3.13 DN25分汽缸进气阀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1个。</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.3.14 DN20分汽缸出气阀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2个。</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.3.15 燃油（气 ）管路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1套.</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.3.16疏水管路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1套。</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.4考核系统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1套。</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.5部件识别系统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1套。</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.6扫码枪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1把。</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.7 </w:t>
      </w:r>
      <w:r>
        <w:rPr>
          <w:rFonts w:hint="eastAsia" w:ascii="宋体" w:hAnsi="宋体" w:eastAsia="宋体" w:cs="宋体"/>
          <w:sz w:val="21"/>
          <w:szCs w:val="21"/>
          <w:highlight w:val="none"/>
          <w:lang w:eastAsia="zh-CN"/>
        </w:rPr>
        <w:t>控制终端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1台。</w:t>
      </w:r>
    </w:p>
    <w:p>
      <w:pPr>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4.主要技术要求和参数（包括软硬件附属设备等）：</w:t>
      </w:r>
    </w:p>
    <w:p>
      <w:pPr>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.1 基本要求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.1.1锅炉本体、附属设备等需实物仿真，安全附件、阀门等需实物并可进行相应模拟操作；且能够对运行状况（如压力）进行模拟显示；</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.1.2要求能够实现部件识别操作、基本操作、应急处置操作等科目考试的要求，考试各部分内容所占比例部件识别占10%，基本操作占50%，应急处置占40%，所有科目考试内容应与考核大纲一致；</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.1.3满足最新TSG Z6001-2019《特种设备作业人员考核规则》中实操考核的要求；软件系统具有题库管理、随机组卷、自动限时计时、自动判卷评分、自动记录存档、统计、查询、汇总报表、建档和存档等数据库管理功能；</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1.4锅炉应选用国内目前在用的具有代表性的典型炉型，按照锅炉设计图纸，按一定比例将真实锅炉缩小制作。锅炉外形、锅炉内部结构、配备的附属设备、安全附件和操作阀门等均为真实部件，能供司炉人员操作；</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.1.5要求利用3D动画技术演示锅炉组成及安全附件教学。</w:t>
      </w:r>
    </w:p>
    <w:p>
      <w:pPr>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.2 技术要求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.2.1系统软件至少应具锅炉各系统工作流程与正确操作演示功能、上机操作训练功能、考核功能、考试计时功能、考核自动打分功能、学员信息管理功能、学员数据库管理功能、学员信息导入导出功能；</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.2.2应用软件演示功能至少应包括水位控制系统及冲洗水位表、给水系统、送风系统、排污系统、锅内烟气流程系统、自动点火系统、压力系统、卧式燃油（气）锅炉的组成3D演示、锅炉安全附件教学3D演示；</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.2.3燃烧器为锅炉使用燃烧器；</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.2.4部件识别：嵌入考核软件中，硬件使用无线二维扫描枪，对相关操作阀门、安全附件或典型结构进行扫描识别，同时在工业触摸屏显示出识别物件相应的名称，考核端需有相应语音提示。</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2.5工业触摸屏运行软件包括练习界面、考核界面两个部分，练习界面应显示考题内容、考题正确步骤内容及实时显示学员每一步操作内容，学员通过触摸屏选择不同的考题进行练习；考核界面应显示考题内容实时显示学员每一步操作内容；要求工业触摸屏软件可以单独运行，学员通过触摸屏选择不同的考题进行练习。</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.2.6安装尺寸：长</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宽</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高≥2000</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1200</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1750mm。</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工业触摸屏不小于10.2英寸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控制终端</w:t>
      </w:r>
      <w:r>
        <w:rPr>
          <w:rFonts w:hint="eastAsia" w:ascii="宋体" w:hAnsi="宋体" w:eastAsia="宋体" w:cs="宋体"/>
          <w:sz w:val="21"/>
          <w:szCs w:val="21"/>
          <w:highlight w:val="none"/>
        </w:rPr>
        <w:t>：内存</w:t>
      </w:r>
      <w:r>
        <w:rPr>
          <w:rFonts w:hint="eastAsia" w:ascii="宋体" w:hAnsi="宋体" w:eastAsia="宋体" w:cs="宋体"/>
          <w:sz w:val="21"/>
          <w:szCs w:val="21"/>
          <w:highlight w:val="none"/>
          <w:lang w:eastAsia="zh-CN"/>
        </w:rPr>
        <w:t>不小于</w:t>
      </w:r>
      <w:r>
        <w:rPr>
          <w:rFonts w:hint="eastAsia" w:ascii="宋体" w:hAnsi="宋体" w:eastAsia="宋体" w:cs="宋体"/>
          <w:sz w:val="21"/>
          <w:szCs w:val="21"/>
          <w:highlight w:val="none"/>
        </w:rPr>
        <w:t>4G，硬盘</w:t>
      </w:r>
      <w:r>
        <w:rPr>
          <w:rFonts w:hint="eastAsia" w:ascii="宋体" w:hAnsi="宋体" w:eastAsia="宋体" w:cs="宋体"/>
          <w:sz w:val="21"/>
          <w:szCs w:val="21"/>
          <w:highlight w:val="none"/>
          <w:lang w:eastAsia="zh-CN"/>
        </w:rPr>
        <w:t>不小于</w:t>
      </w:r>
      <w:r>
        <w:rPr>
          <w:rFonts w:hint="eastAsia" w:ascii="宋体" w:hAnsi="宋体" w:eastAsia="宋体" w:cs="宋体"/>
          <w:sz w:val="21"/>
          <w:szCs w:val="21"/>
          <w:highlight w:val="none"/>
        </w:rPr>
        <w:t>128G，</w:t>
      </w:r>
      <w:r>
        <w:rPr>
          <w:rFonts w:hint="eastAsia" w:ascii="宋体" w:hAnsi="宋体" w:eastAsia="宋体" w:cs="宋体"/>
          <w:sz w:val="21"/>
          <w:szCs w:val="21"/>
          <w:highlight w:val="none"/>
          <w:lang w:eastAsia="zh-CN"/>
        </w:rPr>
        <w:t>不小于</w:t>
      </w:r>
      <w:r>
        <w:rPr>
          <w:rFonts w:hint="eastAsia" w:ascii="宋体" w:hAnsi="宋体" w:eastAsia="宋体" w:cs="宋体"/>
          <w:sz w:val="21"/>
          <w:szCs w:val="21"/>
          <w:highlight w:val="none"/>
        </w:rPr>
        <w:t>23.8英寸</w:t>
      </w:r>
    </w:p>
    <w:p>
      <w:pPr>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5.技术服务与承诺：</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（1）保修期内，设备及附件由于质量问题而不能正常工作时，供方承诺在一天内到达用户现场免费修理或更换零部件。因维修不及时，而导致设备无法正常使用时，其保修时间随停机时间的长短而相应延长。</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（2）供方对设备提供终生维修服务，保修期外只收取零部件配件费和维修费用，并享有优惠购买零配件待遇。</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（3）售后服务人员无忧电话回访，主动跟踪动态服务。检查设备的运行情况，并对设备进行维护和保养。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（4）质保期内设备发生故障系设备出现质量问题，无偿更换；</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（5）设备未按照合同规定地点交货、验收之前，如发生不可力因素导致设备毁坏或灭失，由供方承担责任；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（6）供方公司提供</w:t>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rPr>
        <w:t>年的质保期；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）对设备软件终身免费升级；</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）供方免费提供：就位、设备安装、调试工作。</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）附带易损易耗物品清单及其价格表。</w:t>
      </w:r>
    </w:p>
    <w:p>
      <w:pPr>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6.培训：</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供方负责拟定免费培训；设备安装调试最终验收合格后，由供方专业技术人员为用户安排2～3天的操作培训、维护人员的免费培训。主要培训操作人员对设备基本原理、软件使用、操作、维护等的理解及应用，并达到用户操作人员能独立操作设备、服务</w:t>
      </w:r>
      <w:r>
        <w:rPr>
          <w:rFonts w:hint="eastAsia" w:ascii="宋体" w:hAnsi="宋体" w:eastAsia="宋体" w:cs="宋体"/>
          <w:sz w:val="21"/>
          <w:szCs w:val="21"/>
          <w:highlight w:val="none"/>
          <w:lang w:val="en-US" w:eastAsia="zh-CN"/>
        </w:rPr>
        <w:t>考试</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故障排除</w:t>
      </w:r>
      <w:r>
        <w:rPr>
          <w:rFonts w:hint="eastAsia" w:ascii="宋体" w:hAnsi="宋体" w:eastAsia="宋体" w:cs="宋体"/>
          <w:sz w:val="21"/>
          <w:szCs w:val="21"/>
          <w:highlight w:val="none"/>
        </w:rPr>
        <w:t>工作和基本的维护工作。</w:t>
      </w:r>
    </w:p>
    <w:p>
      <w:pPr>
        <w:spacing w:line="360" w:lineRule="auto"/>
        <w:contextualSpacing/>
        <w:jc w:val="center"/>
        <w:outlineLvl w:val="9"/>
        <w:rPr>
          <w:rFonts w:hint="eastAsia" w:ascii="宋体" w:hAnsi="宋体" w:eastAsia="宋体" w:cs="宋体"/>
          <w:b/>
          <w:sz w:val="21"/>
          <w:szCs w:val="21"/>
          <w:highlight w:val="none"/>
        </w:rPr>
      </w:pPr>
    </w:p>
    <w:p>
      <w:pPr>
        <w:spacing w:line="360" w:lineRule="auto"/>
        <w:contextualSpacing/>
        <w:jc w:val="center"/>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燃油（气）有机热载体锅炉考培设备技术参数</w:t>
      </w:r>
    </w:p>
    <w:p>
      <w:pPr>
        <w:ind w:firstLine="422" w:firstLineChars="200"/>
        <w:rPr>
          <w:rFonts w:hint="eastAsia" w:ascii="宋体" w:hAnsi="宋体" w:eastAsia="宋体" w:cs="宋体"/>
          <w:sz w:val="21"/>
          <w:szCs w:val="21"/>
          <w:highlight w:val="none"/>
          <w:lang w:eastAsia="zh-CN"/>
        </w:rPr>
      </w:pPr>
      <w:r>
        <w:rPr>
          <w:rFonts w:hint="eastAsia" w:ascii="宋体" w:hAnsi="宋体" w:eastAsia="宋体" w:cs="宋体"/>
          <w:b/>
          <w:sz w:val="21"/>
          <w:szCs w:val="21"/>
          <w:highlight w:val="none"/>
        </w:rPr>
        <w:t xml:space="preserve">1.设备名称： </w:t>
      </w:r>
      <w:r>
        <w:rPr>
          <w:rFonts w:hint="eastAsia" w:ascii="宋体" w:hAnsi="宋体" w:eastAsia="宋体" w:cs="宋体"/>
          <w:sz w:val="21"/>
          <w:szCs w:val="21"/>
          <w:highlight w:val="none"/>
        </w:rPr>
        <w:t>燃油（气）有机热载体锅炉考培</w:t>
      </w:r>
      <w:r>
        <w:rPr>
          <w:rFonts w:hint="eastAsia" w:ascii="宋体" w:hAnsi="宋体" w:eastAsia="宋体" w:cs="宋体"/>
          <w:sz w:val="21"/>
          <w:szCs w:val="21"/>
          <w:highlight w:val="none"/>
          <w:lang w:eastAsia="zh-CN"/>
        </w:rPr>
        <w:t>模拟机</w:t>
      </w:r>
    </w:p>
    <w:p>
      <w:pPr>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2.主要用途：</w:t>
      </w:r>
      <w:r>
        <w:rPr>
          <w:rFonts w:hint="eastAsia" w:ascii="宋体" w:hAnsi="宋体" w:eastAsia="宋体" w:cs="宋体"/>
          <w:sz w:val="21"/>
          <w:szCs w:val="21"/>
          <w:highlight w:val="none"/>
        </w:rPr>
        <w:t>特种设备作业人员考核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3.1总体要求：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（1）设备必须采用国际上同行业中先进成熟的设计思想，制造技术；</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（2）设备在质量上必须具有优良的品质，即可靠性要高，使用寿命长；</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（3）设备必须具有良好的操作性，方便的维修性，可靠的安全性；</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（4）采用全新产品，并标明生产商、品牌与产地，并附原产地证明；</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（5）质量保证期应为设备安装调试验收合格之日起</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 主要配置：</w:t>
      </w:r>
    </w:p>
    <w:p>
      <w:pPr>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燃油（气）有机热载体锅炉考培</w:t>
      </w:r>
      <w:r>
        <w:rPr>
          <w:rFonts w:hint="eastAsia" w:ascii="宋体" w:hAnsi="宋体" w:eastAsia="宋体" w:cs="宋体"/>
          <w:sz w:val="21"/>
          <w:szCs w:val="21"/>
          <w:highlight w:val="none"/>
          <w:lang w:eastAsia="zh-CN"/>
        </w:rPr>
        <w:t>模拟机（共</w:t>
      </w:r>
      <w:r>
        <w:rPr>
          <w:rFonts w:hint="eastAsia" w:ascii="宋体" w:hAnsi="宋体" w:eastAsia="宋体" w:cs="宋体"/>
          <w:sz w:val="21"/>
          <w:szCs w:val="21"/>
          <w:highlight w:val="none"/>
          <w:lang w:val="en-US" w:eastAsia="zh-CN"/>
        </w:rPr>
        <w:t>2套）</w:t>
      </w:r>
    </w:p>
    <w:p>
      <w:pPr>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标准</w:t>
      </w:r>
      <w:r>
        <w:rPr>
          <w:rFonts w:hint="eastAsia" w:ascii="宋体" w:hAnsi="宋体" w:eastAsia="宋体" w:cs="宋体"/>
          <w:sz w:val="21"/>
          <w:szCs w:val="21"/>
          <w:highlight w:val="none"/>
        </w:rPr>
        <w:t>配置</w:t>
      </w:r>
      <w:r>
        <w:rPr>
          <w:rFonts w:hint="eastAsia" w:ascii="宋体" w:hAnsi="宋体" w:eastAsia="宋体" w:cs="宋体"/>
          <w:sz w:val="21"/>
          <w:szCs w:val="21"/>
          <w:highlight w:val="none"/>
          <w:lang w:eastAsia="zh-CN"/>
        </w:rPr>
        <w:t>：</w:t>
      </w:r>
    </w:p>
    <w:p>
      <w:pPr>
        <w:spacing w:line="240" w:lineRule="auto"/>
        <w:ind w:firstLine="420" w:firstLineChars="200"/>
        <w:jc w:val="left"/>
        <w:rPr>
          <w:rFonts w:hint="eastAsia" w:ascii="宋体" w:hAnsi="宋体" w:eastAsia="宋体" w:cs="宋体"/>
          <w:bCs w:val="0"/>
          <w:sz w:val="21"/>
          <w:szCs w:val="21"/>
          <w:highlight w:val="none"/>
          <w:lang w:val="zh-CN"/>
        </w:rPr>
      </w:pPr>
      <w:r>
        <w:rPr>
          <w:rFonts w:hint="eastAsia" w:ascii="宋体" w:hAnsi="宋体" w:eastAsia="宋体" w:cs="宋体"/>
          <w:bCs w:val="0"/>
          <w:sz w:val="21"/>
          <w:szCs w:val="21"/>
          <w:highlight w:val="none"/>
          <w:lang w:val="en-US" w:eastAsia="zh-CN"/>
        </w:rPr>
        <w:t>3</w:t>
      </w:r>
      <w:r>
        <w:rPr>
          <w:rFonts w:hint="eastAsia" w:ascii="宋体" w:hAnsi="宋体" w:eastAsia="宋体" w:cs="宋体"/>
          <w:bCs w:val="0"/>
          <w:sz w:val="21"/>
          <w:szCs w:val="21"/>
          <w:highlight w:val="none"/>
          <w:lang w:val="zh-CN"/>
        </w:rPr>
        <w:t>.</w:t>
      </w:r>
      <w:r>
        <w:rPr>
          <w:rFonts w:hint="eastAsia" w:ascii="宋体" w:hAnsi="宋体" w:eastAsia="宋体" w:cs="宋体"/>
          <w:bCs w:val="0"/>
          <w:sz w:val="21"/>
          <w:szCs w:val="21"/>
          <w:highlight w:val="none"/>
          <w:lang w:val="en-US" w:eastAsia="zh-CN"/>
        </w:rPr>
        <w:t>2</w:t>
      </w:r>
      <w:r>
        <w:rPr>
          <w:rFonts w:hint="eastAsia" w:ascii="宋体" w:hAnsi="宋体" w:eastAsia="宋体" w:cs="宋体"/>
          <w:bCs w:val="0"/>
          <w:sz w:val="21"/>
          <w:szCs w:val="21"/>
          <w:highlight w:val="none"/>
          <w:lang w:val="zh-CN"/>
        </w:rPr>
        <w:t>.1锅炉本体</w:t>
      </w:r>
      <w:r>
        <w:rPr>
          <w:rFonts w:hint="eastAsia" w:ascii="宋体" w:hAnsi="宋体" w:eastAsia="宋体" w:cs="宋体"/>
          <w:bCs w:val="0"/>
          <w:sz w:val="21"/>
          <w:szCs w:val="21"/>
          <w:highlight w:val="none"/>
        </w:rPr>
        <w:t xml:space="preserve">                      1台。</w:t>
      </w:r>
    </w:p>
    <w:p>
      <w:pPr>
        <w:spacing w:line="240" w:lineRule="auto"/>
        <w:ind w:firstLine="420" w:firstLineChars="200"/>
        <w:jc w:val="left"/>
        <w:rPr>
          <w:rFonts w:hint="eastAsia" w:ascii="宋体" w:hAnsi="宋体" w:eastAsia="宋体" w:cs="宋体"/>
          <w:bCs w:val="0"/>
          <w:sz w:val="21"/>
          <w:szCs w:val="21"/>
          <w:highlight w:val="none"/>
          <w:lang w:val="zh-CN"/>
        </w:rPr>
      </w:pPr>
      <w:r>
        <w:rPr>
          <w:rFonts w:hint="eastAsia" w:ascii="宋体" w:hAnsi="宋体" w:eastAsia="宋体" w:cs="宋体"/>
          <w:bCs w:val="0"/>
          <w:sz w:val="21"/>
          <w:szCs w:val="21"/>
          <w:highlight w:val="none"/>
          <w:lang w:val="zh-CN"/>
        </w:rPr>
        <w:t>3.2.</w:t>
      </w:r>
      <w:r>
        <w:rPr>
          <w:rFonts w:hint="eastAsia" w:ascii="宋体" w:hAnsi="宋体" w:eastAsia="宋体" w:cs="宋体"/>
          <w:bCs w:val="0"/>
          <w:sz w:val="21"/>
          <w:szCs w:val="21"/>
          <w:highlight w:val="none"/>
        </w:rPr>
        <w:t>2</w:t>
      </w:r>
      <w:r>
        <w:rPr>
          <w:rFonts w:hint="eastAsia" w:ascii="宋体" w:hAnsi="宋体" w:eastAsia="宋体" w:cs="宋体"/>
          <w:bCs w:val="0"/>
          <w:sz w:val="21"/>
          <w:szCs w:val="21"/>
          <w:highlight w:val="none"/>
          <w:lang w:val="zh-CN"/>
        </w:rPr>
        <w:t>锅炉附属设备</w:t>
      </w:r>
      <w:r>
        <w:rPr>
          <w:rFonts w:hint="eastAsia" w:ascii="宋体" w:hAnsi="宋体" w:eastAsia="宋体" w:cs="宋体"/>
          <w:bCs w:val="0"/>
          <w:sz w:val="21"/>
          <w:szCs w:val="21"/>
          <w:highlight w:val="none"/>
        </w:rPr>
        <w:t xml:space="preserve">                  1套。</w:t>
      </w: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.2.1</w:t>
      </w:r>
      <w:r>
        <w:rPr>
          <w:rFonts w:hint="eastAsia" w:ascii="宋体" w:hAnsi="宋体" w:eastAsia="宋体" w:cs="宋体"/>
          <w:sz w:val="21"/>
          <w:szCs w:val="21"/>
          <w:highlight w:val="none"/>
          <w:lang w:val="zh-CN"/>
        </w:rPr>
        <w:t>高位膨胀器</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1台。</w:t>
      </w: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3.2.</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zh-CN"/>
        </w:rPr>
        <w:t>.2低位储油罐</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1台。</w:t>
      </w: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3.2.</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zh-CN"/>
        </w:rPr>
        <w:t>.3油气分离器</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1台。</w:t>
      </w: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3.2.</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zh-CN"/>
        </w:rPr>
        <w:t>.4注油泵</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1台。</w:t>
      </w: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3.2.</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zh-CN"/>
        </w:rPr>
        <w:t>.5导热油循环泵</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1台。</w:t>
      </w: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3.2.</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zh-CN"/>
        </w:rPr>
        <w:t>.6导热油备用循环泵</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1台。</w:t>
      </w: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3.2.2.7 燃烧器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zh-CN"/>
        </w:rPr>
        <w:t>1个。</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3.2.</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zh-CN"/>
        </w:rPr>
        <w:t>.8</w:t>
      </w:r>
      <w:r>
        <w:rPr>
          <w:rFonts w:hint="eastAsia" w:ascii="宋体" w:hAnsi="宋体" w:eastAsia="宋体" w:cs="宋体"/>
          <w:sz w:val="21"/>
          <w:szCs w:val="21"/>
          <w:highlight w:val="none"/>
        </w:rPr>
        <w:t xml:space="preserve">供油（气）管路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1套。</w:t>
      </w:r>
    </w:p>
    <w:p>
      <w:pPr>
        <w:ind w:firstLine="420" w:firstLineChars="200"/>
        <w:rPr>
          <w:rFonts w:hint="eastAsia" w:ascii="宋体" w:hAnsi="宋体" w:eastAsia="宋体" w:cs="宋体"/>
          <w:bCs w:val="0"/>
          <w:sz w:val="21"/>
          <w:szCs w:val="21"/>
          <w:highlight w:val="none"/>
          <w:lang w:val="zh-CN"/>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.3</w:t>
      </w:r>
      <w:r>
        <w:rPr>
          <w:rFonts w:hint="eastAsia" w:ascii="宋体" w:hAnsi="宋体" w:eastAsia="宋体" w:cs="宋体"/>
          <w:bCs w:val="0"/>
          <w:sz w:val="21"/>
          <w:szCs w:val="21"/>
          <w:highlight w:val="none"/>
          <w:lang w:val="zh-CN"/>
        </w:rPr>
        <w:t>安全附件及阀门</w:t>
      </w:r>
      <w:r>
        <w:rPr>
          <w:rFonts w:hint="eastAsia" w:ascii="宋体" w:hAnsi="宋体" w:eastAsia="宋体" w:cs="宋体"/>
          <w:bCs w:val="0"/>
          <w:sz w:val="21"/>
          <w:szCs w:val="21"/>
          <w:highlight w:val="none"/>
        </w:rPr>
        <w:t xml:space="preserve">            </w:t>
      </w:r>
      <w:r>
        <w:rPr>
          <w:rFonts w:hint="eastAsia" w:ascii="宋体" w:hAnsi="宋体" w:cs="宋体"/>
          <w:bCs w:val="0"/>
          <w:sz w:val="21"/>
          <w:szCs w:val="21"/>
          <w:highlight w:val="none"/>
          <w:lang w:val="en-US" w:eastAsia="zh-CN"/>
        </w:rPr>
        <w:t xml:space="preserve"> </w:t>
      </w:r>
      <w:r>
        <w:rPr>
          <w:rFonts w:hint="eastAsia" w:ascii="宋体" w:hAnsi="宋体" w:eastAsia="宋体" w:cs="宋体"/>
          <w:bCs w:val="0"/>
          <w:sz w:val="21"/>
          <w:szCs w:val="21"/>
          <w:highlight w:val="none"/>
        </w:rPr>
        <w:t xml:space="preserve"> </w:t>
      </w:r>
      <w:r>
        <w:rPr>
          <w:rFonts w:hint="eastAsia" w:ascii="宋体" w:hAnsi="宋体" w:cs="宋体"/>
          <w:bCs w:val="0"/>
          <w:sz w:val="21"/>
          <w:szCs w:val="21"/>
          <w:highlight w:val="none"/>
          <w:lang w:val="en-US" w:eastAsia="zh-CN"/>
        </w:rPr>
        <w:t xml:space="preserve"> </w:t>
      </w:r>
      <w:r>
        <w:rPr>
          <w:rFonts w:hint="eastAsia" w:ascii="宋体" w:hAnsi="宋体" w:eastAsia="宋体" w:cs="宋体"/>
          <w:bCs w:val="0"/>
          <w:sz w:val="21"/>
          <w:szCs w:val="21"/>
          <w:highlight w:val="none"/>
        </w:rPr>
        <w:t xml:space="preserve"> </w:t>
      </w:r>
      <w:r>
        <w:rPr>
          <w:rFonts w:hint="eastAsia" w:ascii="宋体" w:hAnsi="宋体" w:eastAsia="宋体" w:cs="宋体"/>
          <w:bCs w:val="0"/>
          <w:sz w:val="21"/>
          <w:szCs w:val="21"/>
          <w:highlight w:val="none"/>
          <w:lang w:val="zh-CN"/>
        </w:rPr>
        <w:t>1套。</w:t>
      </w: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bCs w:val="0"/>
          <w:sz w:val="21"/>
          <w:szCs w:val="21"/>
          <w:highlight w:val="none"/>
          <w:lang w:val="zh-CN"/>
        </w:rPr>
        <w:t>3.2.</w:t>
      </w:r>
      <w:r>
        <w:rPr>
          <w:rFonts w:hint="eastAsia" w:ascii="宋体" w:hAnsi="宋体" w:eastAsia="宋体" w:cs="宋体"/>
          <w:bCs w:val="0"/>
          <w:sz w:val="21"/>
          <w:szCs w:val="21"/>
          <w:highlight w:val="none"/>
        </w:rPr>
        <w:t>3</w:t>
      </w:r>
      <w:r>
        <w:rPr>
          <w:rFonts w:hint="eastAsia" w:ascii="宋体" w:hAnsi="宋体" w:eastAsia="宋体" w:cs="宋体"/>
          <w:bCs w:val="0"/>
          <w:sz w:val="21"/>
          <w:szCs w:val="21"/>
          <w:highlight w:val="none"/>
          <w:lang w:val="zh-CN"/>
        </w:rPr>
        <w:t xml:space="preserve">.1 </w:t>
      </w:r>
      <w:r>
        <w:rPr>
          <w:rFonts w:hint="eastAsia" w:ascii="宋体" w:hAnsi="宋体" w:eastAsia="宋体" w:cs="宋体"/>
          <w:sz w:val="21"/>
          <w:szCs w:val="21"/>
          <w:highlight w:val="none"/>
          <w:lang w:val="zh-CN"/>
        </w:rPr>
        <w:t>注油泵进口阀</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1个，规格</w:t>
      </w:r>
      <w:r>
        <w:rPr>
          <w:rFonts w:hint="eastAsia" w:ascii="宋体" w:hAnsi="宋体" w:eastAsia="宋体" w:cs="宋体"/>
          <w:sz w:val="21"/>
          <w:szCs w:val="21"/>
          <w:highlight w:val="none"/>
        </w:rPr>
        <w:t>:DN20</w:t>
      </w:r>
      <w:r>
        <w:rPr>
          <w:rFonts w:hint="eastAsia" w:ascii="宋体" w:hAnsi="宋体" w:eastAsia="宋体" w:cs="宋体"/>
          <w:sz w:val="21"/>
          <w:szCs w:val="21"/>
          <w:highlight w:val="none"/>
          <w:lang w:val="zh-CN"/>
        </w:rPr>
        <w:t>。</w:t>
      </w: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bCs w:val="0"/>
          <w:sz w:val="21"/>
          <w:szCs w:val="21"/>
          <w:highlight w:val="none"/>
          <w:lang w:val="zh-CN"/>
        </w:rPr>
        <w:t>3.2.</w:t>
      </w:r>
      <w:r>
        <w:rPr>
          <w:rFonts w:hint="eastAsia" w:ascii="宋体" w:hAnsi="宋体" w:eastAsia="宋体" w:cs="宋体"/>
          <w:bCs w:val="0"/>
          <w:sz w:val="21"/>
          <w:szCs w:val="21"/>
          <w:highlight w:val="none"/>
        </w:rPr>
        <w:t>3</w:t>
      </w:r>
      <w:r>
        <w:rPr>
          <w:rFonts w:hint="eastAsia" w:ascii="宋体" w:hAnsi="宋体" w:eastAsia="宋体" w:cs="宋体"/>
          <w:bCs w:val="0"/>
          <w:sz w:val="21"/>
          <w:szCs w:val="21"/>
          <w:highlight w:val="none"/>
          <w:lang w:val="zh-CN"/>
        </w:rPr>
        <w:t>.</w:t>
      </w:r>
      <w:r>
        <w:rPr>
          <w:rFonts w:hint="eastAsia" w:ascii="宋体" w:hAnsi="宋体" w:eastAsia="宋体" w:cs="宋体"/>
          <w:bCs w:val="0"/>
          <w:sz w:val="21"/>
          <w:szCs w:val="21"/>
          <w:highlight w:val="none"/>
        </w:rPr>
        <w:t>2</w:t>
      </w:r>
      <w:r>
        <w:rPr>
          <w:rFonts w:hint="eastAsia" w:ascii="宋体" w:hAnsi="宋体" w:eastAsia="宋体" w:cs="宋体"/>
          <w:bCs w:val="0"/>
          <w:sz w:val="21"/>
          <w:szCs w:val="21"/>
          <w:highlight w:val="none"/>
          <w:lang w:val="zh-CN"/>
        </w:rPr>
        <w:t xml:space="preserve"> </w:t>
      </w:r>
      <w:r>
        <w:rPr>
          <w:rFonts w:hint="eastAsia" w:ascii="宋体" w:hAnsi="宋体" w:eastAsia="宋体" w:cs="宋体"/>
          <w:sz w:val="21"/>
          <w:szCs w:val="21"/>
          <w:highlight w:val="none"/>
          <w:lang w:val="zh-CN"/>
        </w:rPr>
        <w:t>注油泵出口阀</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1个，规格</w:t>
      </w:r>
      <w:r>
        <w:rPr>
          <w:rFonts w:hint="eastAsia" w:ascii="宋体" w:hAnsi="宋体" w:eastAsia="宋体" w:cs="宋体"/>
          <w:sz w:val="21"/>
          <w:szCs w:val="21"/>
          <w:highlight w:val="none"/>
        </w:rPr>
        <w:t>:DN20</w:t>
      </w:r>
      <w:r>
        <w:rPr>
          <w:rFonts w:hint="eastAsia" w:ascii="宋体" w:hAnsi="宋体" w:eastAsia="宋体" w:cs="宋体"/>
          <w:sz w:val="21"/>
          <w:szCs w:val="21"/>
          <w:highlight w:val="none"/>
          <w:lang w:val="zh-CN"/>
        </w:rPr>
        <w:t>。</w:t>
      </w: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3.2.</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 xml:space="preserve"> 注油泵回油阀</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1个，规格</w:t>
      </w:r>
      <w:r>
        <w:rPr>
          <w:rFonts w:hint="eastAsia" w:ascii="宋体" w:hAnsi="宋体" w:eastAsia="宋体" w:cs="宋体"/>
          <w:sz w:val="21"/>
          <w:szCs w:val="21"/>
          <w:highlight w:val="none"/>
        </w:rPr>
        <w:t>:DN20</w:t>
      </w:r>
      <w:r>
        <w:rPr>
          <w:rFonts w:hint="eastAsia" w:ascii="宋体" w:hAnsi="宋体" w:eastAsia="宋体" w:cs="宋体"/>
          <w:sz w:val="21"/>
          <w:szCs w:val="21"/>
          <w:highlight w:val="none"/>
          <w:lang w:val="zh-CN"/>
        </w:rPr>
        <w:t>。</w:t>
      </w: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3.2.</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zh-CN"/>
        </w:rPr>
        <w:t xml:space="preserve"> 膨胀槽排气阀</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1个，规格</w:t>
      </w:r>
      <w:r>
        <w:rPr>
          <w:rFonts w:hint="eastAsia" w:ascii="宋体" w:hAnsi="宋体" w:eastAsia="宋体" w:cs="宋体"/>
          <w:sz w:val="21"/>
          <w:szCs w:val="21"/>
          <w:highlight w:val="none"/>
        </w:rPr>
        <w:t>:DN20</w:t>
      </w:r>
      <w:r>
        <w:rPr>
          <w:rFonts w:hint="eastAsia" w:ascii="宋体" w:hAnsi="宋体" w:eastAsia="宋体" w:cs="宋体"/>
          <w:sz w:val="21"/>
          <w:szCs w:val="21"/>
          <w:highlight w:val="none"/>
          <w:lang w:val="zh-CN"/>
        </w:rPr>
        <w:t>。</w:t>
      </w: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3.2.</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 xml:space="preserve"> 膨胀槽辅助排气阀</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1个，规格</w:t>
      </w:r>
      <w:r>
        <w:rPr>
          <w:rFonts w:hint="eastAsia" w:ascii="宋体" w:hAnsi="宋体" w:eastAsia="宋体" w:cs="宋体"/>
          <w:sz w:val="21"/>
          <w:szCs w:val="21"/>
          <w:highlight w:val="none"/>
        </w:rPr>
        <w:t>:DN20</w:t>
      </w:r>
      <w:r>
        <w:rPr>
          <w:rFonts w:hint="eastAsia" w:ascii="宋体" w:hAnsi="宋体" w:eastAsia="宋体" w:cs="宋体"/>
          <w:sz w:val="21"/>
          <w:szCs w:val="21"/>
          <w:highlight w:val="none"/>
          <w:lang w:val="zh-CN"/>
        </w:rPr>
        <w:t>。</w:t>
      </w: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3.2.</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6</w:t>
      </w:r>
      <w:r>
        <w:rPr>
          <w:rFonts w:hint="eastAsia" w:ascii="宋体" w:hAnsi="宋体" w:eastAsia="宋体" w:cs="宋体"/>
          <w:sz w:val="21"/>
          <w:szCs w:val="21"/>
          <w:highlight w:val="none"/>
          <w:lang w:val="zh-CN"/>
        </w:rPr>
        <w:t xml:space="preserve"> 膨胀槽排油阀</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1个，规格</w:t>
      </w:r>
      <w:r>
        <w:rPr>
          <w:rFonts w:hint="eastAsia" w:ascii="宋体" w:hAnsi="宋体" w:eastAsia="宋体" w:cs="宋体"/>
          <w:sz w:val="21"/>
          <w:szCs w:val="21"/>
          <w:highlight w:val="none"/>
        </w:rPr>
        <w:t>:DN20</w:t>
      </w:r>
      <w:r>
        <w:rPr>
          <w:rFonts w:hint="eastAsia" w:ascii="宋体" w:hAnsi="宋体" w:eastAsia="宋体" w:cs="宋体"/>
          <w:sz w:val="21"/>
          <w:szCs w:val="21"/>
          <w:highlight w:val="none"/>
          <w:lang w:val="zh-CN"/>
        </w:rPr>
        <w:t>。</w:t>
      </w: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3.2.</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7</w:t>
      </w:r>
      <w:r>
        <w:rPr>
          <w:rFonts w:hint="eastAsia" w:ascii="宋体" w:hAnsi="宋体" w:eastAsia="宋体" w:cs="宋体"/>
          <w:sz w:val="21"/>
          <w:szCs w:val="21"/>
          <w:highlight w:val="none"/>
          <w:lang w:val="zh-CN"/>
        </w:rPr>
        <w:t xml:space="preserve"> 过滤器进口阀</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1个，规格</w:t>
      </w:r>
      <w:r>
        <w:rPr>
          <w:rFonts w:hint="eastAsia" w:ascii="宋体" w:hAnsi="宋体" w:eastAsia="宋体" w:cs="宋体"/>
          <w:sz w:val="21"/>
          <w:szCs w:val="21"/>
          <w:highlight w:val="none"/>
        </w:rPr>
        <w:t>:DN20</w:t>
      </w:r>
      <w:r>
        <w:rPr>
          <w:rFonts w:hint="eastAsia" w:ascii="宋体" w:hAnsi="宋体" w:eastAsia="宋体" w:cs="宋体"/>
          <w:sz w:val="21"/>
          <w:szCs w:val="21"/>
          <w:highlight w:val="none"/>
          <w:lang w:val="zh-CN"/>
        </w:rPr>
        <w:t>。</w:t>
      </w: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3.2.</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8</w:t>
      </w:r>
      <w:r>
        <w:rPr>
          <w:rFonts w:hint="eastAsia" w:ascii="宋体" w:hAnsi="宋体" w:eastAsia="宋体" w:cs="宋体"/>
          <w:sz w:val="21"/>
          <w:szCs w:val="21"/>
          <w:highlight w:val="none"/>
          <w:lang w:val="zh-CN"/>
        </w:rPr>
        <w:t xml:space="preserve"> 冷油置换阀</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1个，规格</w:t>
      </w:r>
      <w:r>
        <w:rPr>
          <w:rFonts w:hint="eastAsia" w:ascii="宋体" w:hAnsi="宋体" w:eastAsia="宋体" w:cs="宋体"/>
          <w:sz w:val="21"/>
          <w:szCs w:val="21"/>
          <w:highlight w:val="none"/>
        </w:rPr>
        <w:t>:DN20</w:t>
      </w:r>
      <w:r>
        <w:rPr>
          <w:rFonts w:hint="eastAsia" w:ascii="宋体" w:hAnsi="宋体" w:eastAsia="宋体" w:cs="宋体"/>
          <w:sz w:val="21"/>
          <w:szCs w:val="21"/>
          <w:highlight w:val="none"/>
          <w:lang w:val="zh-CN"/>
        </w:rPr>
        <w:t>。</w:t>
      </w: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3.2.</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9</w:t>
      </w:r>
      <w:r>
        <w:rPr>
          <w:rFonts w:hint="eastAsia" w:ascii="宋体" w:hAnsi="宋体" w:eastAsia="宋体" w:cs="宋体"/>
          <w:sz w:val="21"/>
          <w:szCs w:val="21"/>
          <w:highlight w:val="none"/>
          <w:lang w:val="zh-CN"/>
        </w:rPr>
        <w:t xml:space="preserve"> 循环泵进口阀</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2</w:t>
      </w:r>
      <w:r>
        <w:rPr>
          <w:rFonts w:hint="eastAsia" w:ascii="宋体" w:hAnsi="宋体" w:eastAsia="宋体" w:cs="宋体"/>
          <w:sz w:val="21"/>
          <w:szCs w:val="21"/>
          <w:highlight w:val="none"/>
          <w:lang w:val="zh-CN"/>
        </w:rPr>
        <w:t>个，规格</w:t>
      </w:r>
      <w:r>
        <w:rPr>
          <w:rFonts w:hint="eastAsia" w:ascii="宋体" w:hAnsi="宋体" w:eastAsia="宋体" w:cs="宋体"/>
          <w:sz w:val="21"/>
          <w:szCs w:val="21"/>
          <w:highlight w:val="none"/>
        </w:rPr>
        <w:t>:DN20</w:t>
      </w:r>
      <w:r>
        <w:rPr>
          <w:rFonts w:hint="eastAsia" w:ascii="宋体" w:hAnsi="宋体" w:eastAsia="宋体" w:cs="宋体"/>
          <w:sz w:val="21"/>
          <w:szCs w:val="21"/>
          <w:highlight w:val="none"/>
          <w:lang w:val="zh-CN"/>
        </w:rPr>
        <w:t>。</w:t>
      </w: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3.2.</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10</w:t>
      </w:r>
      <w:r>
        <w:rPr>
          <w:rFonts w:hint="eastAsia" w:ascii="宋体" w:hAnsi="宋体" w:eastAsia="宋体" w:cs="宋体"/>
          <w:sz w:val="21"/>
          <w:szCs w:val="21"/>
          <w:highlight w:val="none"/>
          <w:lang w:val="zh-CN"/>
        </w:rPr>
        <w:t xml:space="preserve"> 循环泵出口阀</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2</w:t>
      </w:r>
      <w:r>
        <w:rPr>
          <w:rFonts w:hint="eastAsia" w:ascii="宋体" w:hAnsi="宋体" w:eastAsia="宋体" w:cs="宋体"/>
          <w:sz w:val="21"/>
          <w:szCs w:val="21"/>
          <w:highlight w:val="none"/>
          <w:lang w:val="zh-CN"/>
        </w:rPr>
        <w:t>个，规格</w:t>
      </w:r>
      <w:r>
        <w:rPr>
          <w:rFonts w:hint="eastAsia" w:ascii="宋体" w:hAnsi="宋体" w:eastAsia="宋体" w:cs="宋体"/>
          <w:sz w:val="21"/>
          <w:szCs w:val="21"/>
          <w:highlight w:val="none"/>
        </w:rPr>
        <w:t>:DN20</w:t>
      </w:r>
      <w:r>
        <w:rPr>
          <w:rFonts w:hint="eastAsia" w:ascii="宋体" w:hAnsi="宋体" w:eastAsia="宋体" w:cs="宋体"/>
          <w:sz w:val="21"/>
          <w:szCs w:val="21"/>
          <w:highlight w:val="none"/>
          <w:lang w:val="zh-CN"/>
        </w:rPr>
        <w:t>。</w:t>
      </w: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3.2.</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.1</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 xml:space="preserve"> 循环泵排油阀</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2</w:t>
      </w:r>
      <w:r>
        <w:rPr>
          <w:rFonts w:hint="eastAsia" w:ascii="宋体" w:hAnsi="宋体" w:eastAsia="宋体" w:cs="宋体"/>
          <w:sz w:val="21"/>
          <w:szCs w:val="21"/>
          <w:highlight w:val="none"/>
          <w:lang w:val="zh-CN"/>
        </w:rPr>
        <w:t>个，规格</w:t>
      </w:r>
      <w:r>
        <w:rPr>
          <w:rFonts w:hint="eastAsia" w:ascii="宋体" w:hAnsi="宋体" w:eastAsia="宋体" w:cs="宋体"/>
          <w:sz w:val="21"/>
          <w:szCs w:val="21"/>
          <w:highlight w:val="none"/>
        </w:rPr>
        <w:t>:DN20</w:t>
      </w:r>
      <w:r>
        <w:rPr>
          <w:rFonts w:hint="eastAsia" w:ascii="宋体" w:hAnsi="宋体" w:eastAsia="宋体" w:cs="宋体"/>
          <w:sz w:val="21"/>
          <w:szCs w:val="21"/>
          <w:highlight w:val="none"/>
          <w:lang w:val="zh-CN"/>
        </w:rPr>
        <w:t>。</w:t>
      </w: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3.2.</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.1</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加热设备旁通阀</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1个，规格</w:t>
      </w:r>
      <w:r>
        <w:rPr>
          <w:rFonts w:hint="eastAsia" w:ascii="宋体" w:hAnsi="宋体" w:eastAsia="宋体" w:cs="宋体"/>
          <w:sz w:val="21"/>
          <w:szCs w:val="21"/>
          <w:highlight w:val="none"/>
        </w:rPr>
        <w:t>:DN20</w:t>
      </w:r>
      <w:r>
        <w:rPr>
          <w:rFonts w:hint="eastAsia" w:ascii="宋体" w:hAnsi="宋体" w:eastAsia="宋体" w:cs="宋体"/>
          <w:sz w:val="21"/>
          <w:szCs w:val="21"/>
          <w:highlight w:val="none"/>
          <w:lang w:val="zh-CN"/>
        </w:rPr>
        <w:t>。</w:t>
      </w: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3.2.</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.1</w:t>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zh-CN"/>
        </w:rPr>
        <w:t xml:space="preserve"> 排污阀</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1个，规格</w:t>
      </w:r>
      <w:r>
        <w:rPr>
          <w:rFonts w:hint="eastAsia" w:ascii="宋体" w:hAnsi="宋体" w:eastAsia="宋体" w:cs="宋体"/>
          <w:sz w:val="21"/>
          <w:szCs w:val="21"/>
          <w:highlight w:val="none"/>
        </w:rPr>
        <w:t>:DN20</w:t>
      </w:r>
      <w:r>
        <w:rPr>
          <w:rFonts w:hint="eastAsia" w:ascii="宋体" w:hAnsi="宋体" w:eastAsia="宋体" w:cs="宋体"/>
          <w:sz w:val="21"/>
          <w:szCs w:val="21"/>
          <w:highlight w:val="none"/>
          <w:lang w:val="zh-CN"/>
        </w:rPr>
        <w:t>。</w:t>
      </w:r>
    </w:p>
    <w:p>
      <w:pPr>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3.2.</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.1</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 xml:space="preserve"> 安全阀</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1个，规格</w:t>
      </w:r>
      <w:r>
        <w:rPr>
          <w:rFonts w:hint="eastAsia" w:ascii="宋体" w:hAnsi="宋体" w:eastAsia="宋体" w:cs="宋体"/>
          <w:sz w:val="21"/>
          <w:szCs w:val="21"/>
          <w:highlight w:val="none"/>
        </w:rPr>
        <w:t>:DN20</w:t>
      </w:r>
      <w:r>
        <w:rPr>
          <w:rFonts w:hint="eastAsia" w:ascii="宋体" w:hAnsi="宋体" w:eastAsia="宋体" w:cs="宋体"/>
          <w:sz w:val="21"/>
          <w:szCs w:val="21"/>
          <w:highlight w:val="none"/>
          <w:lang w:val="zh-CN"/>
        </w:rPr>
        <w:t>。</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3.2.</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.1</w:t>
      </w:r>
      <w:r>
        <w:rPr>
          <w:rFonts w:hint="eastAsia" w:ascii="宋体" w:hAnsi="宋体" w:eastAsia="宋体" w:cs="宋体"/>
          <w:sz w:val="21"/>
          <w:szCs w:val="21"/>
          <w:highlight w:val="none"/>
        </w:rPr>
        <w:t>6</w:t>
      </w:r>
      <w:r>
        <w:rPr>
          <w:rFonts w:hint="eastAsia" w:ascii="宋体" w:hAnsi="宋体" w:eastAsia="宋体" w:cs="宋体"/>
          <w:sz w:val="21"/>
          <w:szCs w:val="21"/>
          <w:highlight w:val="none"/>
          <w:lang w:val="zh-CN"/>
        </w:rPr>
        <w:t xml:space="preserve"> </w:t>
      </w:r>
      <w:r>
        <w:rPr>
          <w:rFonts w:hint="eastAsia" w:ascii="宋体" w:hAnsi="宋体" w:eastAsia="宋体" w:cs="宋体"/>
          <w:sz w:val="21"/>
          <w:szCs w:val="21"/>
          <w:highlight w:val="none"/>
        </w:rPr>
        <w:t xml:space="preserve">过滤器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1个</w:t>
      </w:r>
      <w:r>
        <w:rPr>
          <w:rFonts w:hint="eastAsia" w:ascii="宋体" w:hAnsi="宋体" w:eastAsia="宋体" w:cs="宋体"/>
          <w:sz w:val="21"/>
          <w:szCs w:val="21"/>
          <w:highlight w:val="none"/>
          <w:lang w:val="zh-CN"/>
        </w:rPr>
        <w:t>，规格</w:t>
      </w:r>
      <w:r>
        <w:rPr>
          <w:rFonts w:hint="eastAsia" w:ascii="宋体" w:hAnsi="宋体" w:eastAsia="宋体" w:cs="宋体"/>
          <w:sz w:val="21"/>
          <w:szCs w:val="21"/>
          <w:highlight w:val="none"/>
        </w:rPr>
        <w:t>:DN20</w:t>
      </w:r>
      <w:r>
        <w:rPr>
          <w:rFonts w:hint="eastAsia" w:ascii="宋体" w:hAnsi="宋体" w:eastAsia="宋体" w:cs="宋体"/>
          <w:sz w:val="21"/>
          <w:szCs w:val="21"/>
          <w:highlight w:val="none"/>
          <w:lang w:val="zh-CN"/>
        </w:rPr>
        <w:t>。</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.3.17 压力表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2个，规格：</w:t>
      </w:r>
      <w:r>
        <w:rPr>
          <w:rFonts w:hint="eastAsia" w:ascii="宋体" w:hAnsi="宋体" w:eastAsia="宋体" w:cs="宋体"/>
          <w:bCs w:val="0"/>
          <w:sz w:val="21"/>
          <w:szCs w:val="21"/>
          <w:highlight w:val="none"/>
        </w:rPr>
        <w:t>0~</w:t>
      </w:r>
      <w:r>
        <w:rPr>
          <w:rFonts w:hint="eastAsia" w:ascii="宋体" w:hAnsi="宋体" w:eastAsia="宋体" w:cs="宋体"/>
          <w:sz w:val="21"/>
          <w:szCs w:val="21"/>
          <w:highlight w:val="none"/>
        </w:rPr>
        <w:t>1.6Mpa</w:t>
      </w:r>
      <w:r>
        <w:rPr>
          <w:rFonts w:hint="eastAsia" w:ascii="宋体" w:hAnsi="宋体" w:eastAsia="宋体" w:cs="宋体"/>
          <w:bCs w:val="0"/>
          <w:sz w:val="21"/>
          <w:szCs w:val="21"/>
          <w:highlight w:val="none"/>
        </w:rPr>
        <w:t>；表盘</w:t>
      </w:r>
      <w:r>
        <w:rPr>
          <w:rFonts w:hint="eastAsia" w:ascii="宋体" w:hAnsi="宋体" w:eastAsia="宋体" w:cs="宋体"/>
          <w:sz w:val="21"/>
          <w:szCs w:val="21"/>
          <w:highlight w:val="none"/>
        </w:rPr>
        <w:t>直径不小于100mm</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.4考核系统                      1套。</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.5 电控操作台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1台。</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.5.1 以太网可编程控制器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1套。</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.5.2 按钮及指示灯               1套。</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.5.3工业触摸屏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1台。</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.6 控制终端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1台。</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 xml:space="preserve">.7 扫描枪              </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1把。</w:t>
      </w:r>
    </w:p>
    <w:p>
      <w:pPr>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4.主要技术要求和参数（包括软硬件附属设备等）：</w:t>
      </w:r>
    </w:p>
    <w:p>
      <w:pPr>
        <w:spacing w:line="24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.1 基本要求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.1.1锅炉本体、附属设备等需实物仿真，安全附件、阀门等需实物并可进行相应模拟操作；且能够对运行状况（如压力）进行模拟显示；</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.1.2要求能够实现部件识别操作、基本操作、应急处置操作等科目考试的要求，考试各部分内容所占比例部件识别占10%，基本操作占50%，应急处置占40%，所有科目考试内容应与考核大纲一致；</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.1.3满足最新TSG Z6001-2019《特种设备作业人员考核规则》中实操考核的要求；软件系统具有题库管理、随机组卷、自动限时计时、自动判卷评分、自动记录存档、统计、查询、汇总报表、建档和存档等数据库管理功能；</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1.4锅炉应选用国内目前在用的具有代表性的典型炉型，按照锅炉设计图纸，按一定比例将真实锅炉缩小制作。锅炉外形、锅炉内部结构、配备的附属设备、安全附件和操作阀门等均为真实部件，能供司炉人员操作；</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.1.5可以利用3D动画技术演示锅炉组成。</w:t>
      </w:r>
    </w:p>
    <w:p>
      <w:pPr>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.2 技术要求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.2.1系统软件至少应具备锅炉各系统工作流程与正确操作演示功能、上机操作训练功能、考核功能、考试计时功能、考核自动打分功能、学员信息管理功能、学员数据库管理功能、学员信息导入导出功能；</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.2.2应用软件演示至少应包括向高位膨胀槽注油系统、向锅炉，系统注油系统、排油流程系统、循环流程系统、启动点火流程系统、燃烧组成及工作流程系统、有机热载体锅炉组成、</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rPr>
        <w:t>注油泵要求真实导热油用齿轮泵 ；循环泵要求真实BRY风冷式热油泵</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热油循环系统截止阀必须是波纹管式截止阀；热油循环系统安全阀必须是波纹管式安全阀；燃烧器必须是锅炉用真实燃烧器；</w:t>
      </w:r>
      <w:r>
        <w:rPr>
          <w:rFonts w:hint="eastAsia" w:ascii="宋体" w:hAnsi="宋体" w:eastAsia="宋体" w:cs="宋体"/>
          <w:sz w:val="21"/>
          <w:szCs w:val="21"/>
          <w:highlight w:val="none"/>
        </w:rPr>
        <w:t xml:space="preserve"> </w:t>
      </w:r>
    </w:p>
    <w:p>
      <w:pPr>
        <w:ind w:firstLine="420" w:firstLineChars="200"/>
        <w:rPr>
          <w:rFonts w:hint="eastAsia" w:ascii="宋体" w:hAnsi="宋体" w:eastAsia="宋体" w:cs="宋体"/>
          <w:sz w:val="21"/>
          <w:szCs w:val="21"/>
          <w:highlight w:val="none"/>
        </w:rPr>
      </w:pPr>
      <w:r>
        <w:rPr>
          <w:rFonts w:hint="eastAsia" w:ascii="宋体" w:hAnsi="宋体" w:eastAsia="宋体" w:cs="宋体"/>
          <w:b w:val="0"/>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工业触摸屏运行软件包括练习界面、考核界面两个部分；练习界面应显示考题内容、考题正确步骤内容及实时显示学员每一步操作内容，学员通过触摸屏选择不同的考题进行练习；考核界面应显示考题内容实时显示学员每一步操作内容。</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工业触摸屏不小于10.2英寸</w:t>
      </w:r>
    </w:p>
    <w:p>
      <w:pPr>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控制终端</w:t>
      </w:r>
      <w:r>
        <w:rPr>
          <w:rFonts w:hint="eastAsia" w:ascii="宋体" w:hAnsi="宋体" w:eastAsia="宋体" w:cs="宋体"/>
          <w:sz w:val="21"/>
          <w:szCs w:val="21"/>
          <w:highlight w:val="none"/>
        </w:rPr>
        <w:t>：内存不小于4G，硬盘不小于128G，不小于23.8英寸</w:t>
      </w:r>
    </w:p>
    <w:p>
      <w:pPr>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5.技术服务与承诺：</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（1）保修期内，设备及附件由于质量问题而不能正常工作时，供方承诺在一天内到达用户现场免费修理或更换零部件。因维修不及时，而导致设备无法正常使用时，其保修时间随停机时间的长短而相应延长。</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（2）供方对设备提供终生维修服务，保修期外只收取零部件配件费和维修费用，并享有优惠购买零配件待遇。</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（3）售后服务人员无忧电话回访，主动跟踪动态服务。检查设备的运行情况，并对设备进行维护和保养。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（4）质保期内设备发生故障系设备出现质量问题，无偿更换；</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（5）设备未按照合同规定地点交货、验收之前，如发生不可力因素导致设备毁坏或灭失，由供方承担责任；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（6）供方公司提供</w:t>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rPr>
        <w:t>年的质保期；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）对设备软件终身免费升级；</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）供方免费提供：就位、设备安装、调试工作。</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）附带易损易耗物品清单及其价格表。</w:t>
      </w:r>
    </w:p>
    <w:p>
      <w:pPr>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6.培训：</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供方负责拟定免费培训；设备安装调试最终验收合格后，由供方专业技术人员为用户安排2～3天的操作培训、维护人员的免费培训。主要培训操作人员对设备基本原理、软件使用、操作、维护等的理解及应用，并达到用户操作人员能独立操作设备、服务</w:t>
      </w:r>
      <w:r>
        <w:rPr>
          <w:rFonts w:hint="eastAsia" w:ascii="宋体" w:hAnsi="宋体" w:eastAsia="宋体" w:cs="宋体"/>
          <w:sz w:val="21"/>
          <w:szCs w:val="21"/>
          <w:highlight w:val="none"/>
          <w:lang w:val="en-US" w:eastAsia="zh-CN"/>
        </w:rPr>
        <w:t>考试</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故障排除</w:t>
      </w:r>
      <w:r>
        <w:rPr>
          <w:rFonts w:hint="eastAsia" w:ascii="宋体" w:hAnsi="宋体" w:eastAsia="宋体" w:cs="宋体"/>
          <w:sz w:val="21"/>
          <w:szCs w:val="21"/>
          <w:highlight w:val="none"/>
        </w:rPr>
        <w:t>工作和基本的维护工作。</w:t>
      </w:r>
    </w:p>
    <w:p>
      <w:pPr>
        <w:rPr>
          <w:rFonts w:hint="eastAsia" w:ascii="宋体" w:hAnsi="宋体" w:eastAsia="宋体" w:cs="宋体"/>
          <w:b/>
          <w:bCs/>
          <w:color w:val="auto"/>
          <w:kern w:val="0"/>
          <w:sz w:val="24"/>
          <w:szCs w:val="24"/>
          <w:highlight w:val="none"/>
          <w:shd w:val="clear" w:color="auto" w:fill="FFFFFF"/>
          <w:lang w:val="en-US" w:eastAsia="zh-CN"/>
        </w:rPr>
      </w:pPr>
      <w:r>
        <w:rPr>
          <w:rFonts w:hint="eastAsia" w:ascii="宋体" w:hAnsi="宋体" w:eastAsia="宋体" w:cs="宋体"/>
          <w:b/>
          <w:bCs/>
          <w:color w:val="auto"/>
          <w:kern w:val="0"/>
          <w:sz w:val="24"/>
          <w:szCs w:val="24"/>
          <w:highlight w:val="none"/>
          <w:shd w:val="clear" w:color="auto" w:fill="FFFFFF"/>
          <w:lang w:val="en-US" w:eastAsia="zh-CN"/>
        </w:rPr>
        <w:br w:type="page"/>
      </w:r>
    </w:p>
    <w:p>
      <w:pPr>
        <w:jc w:val="center"/>
        <w:outlineLvl w:val="2"/>
        <w:rPr>
          <w:rFonts w:hint="eastAsia" w:ascii="宋体" w:hAnsi="宋体" w:eastAsia="宋体" w:cs="宋体"/>
          <w:b/>
          <w:bCs/>
          <w:color w:val="auto"/>
          <w:kern w:val="0"/>
          <w:sz w:val="24"/>
          <w:szCs w:val="24"/>
          <w:highlight w:val="none"/>
          <w:shd w:val="clear" w:color="auto" w:fill="FFFFFF"/>
          <w:lang w:val="en-US" w:eastAsia="zh-CN"/>
        </w:rPr>
      </w:pPr>
      <w:r>
        <w:rPr>
          <w:rFonts w:hint="eastAsia" w:ascii="宋体" w:hAnsi="宋体" w:eastAsia="宋体" w:cs="宋体"/>
          <w:b/>
          <w:bCs/>
          <w:color w:val="auto"/>
          <w:kern w:val="0"/>
          <w:sz w:val="24"/>
          <w:szCs w:val="24"/>
          <w:highlight w:val="none"/>
          <w:shd w:val="clear" w:color="auto" w:fill="FFFFFF"/>
          <w:lang w:val="en-US" w:eastAsia="zh-CN"/>
        </w:rPr>
        <w:t>包2</w:t>
      </w:r>
      <w:r>
        <w:rPr>
          <w:rFonts w:hint="eastAsia" w:ascii="宋体" w:hAnsi="宋体" w:eastAsia="宋体" w:cs="宋体"/>
          <w:b/>
          <w:bCs/>
          <w:color w:val="auto"/>
          <w:kern w:val="0"/>
          <w:sz w:val="24"/>
          <w:szCs w:val="24"/>
          <w:highlight w:val="none"/>
          <w:shd w:val="clear" w:color="auto" w:fill="FFFFFF"/>
        </w:rPr>
        <w:t>设备技术参数</w:t>
      </w:r>
      <w:r>
        <w:rPr>
          <w:rFonts w:hint="eastAsia" w:ascii="宋体" w:hAnsi="宋体" w:eastAsia="宋体" w:cs="宋体"/>
          <w:b/>
          <w:bCs/>
          <w:color w:val="auto"/>
          <w:kern w:val="0"/>
          <w:sz w:val="24"/>
          <w:szCs w:val="24"/>
          <w:highlight w:val="none"/>
          <w:shd w:val="clear" w:color="auto" w:fill="FFFFFF"/>
          <w:lang w:val="en-US" w:eastAsia="zh-CN"/>
        </w:rPr>
        <w:t>：</w:t>
      </w:r>
    </w:p>
    <w:p>
      <w:pPr>
        <w:spacing w:line="360" w:lineRule="auto"/>
        <w:contextualSpacing/>
        <w:jc w:val="center"/>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快开门式压力容器(灭菌器)考培设备技术参数</w:t>
      </w:r>
    </w:p>
    <w:p>
      <w:pPr>
        <w:spacing w:line="240" w:lineRule="auto"/>
        <w:ind w:left="0"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1.设备名称：</w:t>
      </w:r>
      <w:r>
        <w:rPr>
          <w:rFonts w:hint="eastAsia" w:ascii="宋体" w:hAnsi="宋体" w:eastAsia="宋体" w:cs="宋体"/>
          <w:b w:val="0"/>
          <w:sz w:val="21"/>
          <w:szCs w:val="21"/>
          <w:highlight w:val="none"/>
        </w:rPr>
        <w:t>快开门式压力容器(灭菌器)考培</w:t>
      </w:r>
      <w:r>
        <w:rPr>
          <w:rFonts w:hint="eastAsia" w:ascii="宋体" w:hAnsi="宋体" w:eastAsia="宋体" w:cs="宋体"/>
          <w:sz w:val="21"/>
          <w:szCs w:val="21"/>
          <w:highlight w:val="none"/>
          <w:lang w:eastAsia="zh-CN"/>
        </w:rPr>
        <w:t>模拟机</w:t>
      </w:r>
    </w:p>
    <w:p>
      <w:pPr>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2.主要用途：</w:t>
      </w:r>
      <w:r>
        <w:rPr>
          <w:rFonts w:hint="eastAsia" w:ascii="宋体" w:hAnsi="宋体" w:eastAsia="宋体" w:cs="宋体"/>
          <w:sz w:val="21"/>
          <w:szCs w:val="21"/>
          <w:highlight w:val="none"/>
        </w:rPr>
        <w:t>特种设备作业人员考核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3.1总体要求：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（1）设备必须采用国际上同行业中先进成熟的设计思想，制造技术；</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（2）设备在质量上必须具有优良的品质，即可靠性要高，使用寿命长；</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（3）设备必须具有良好的操作性，方便的维修性，可靠的安全性；</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（4）采用全新产品，并标明生产商、品牌与产地，并附原产地证明；</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（5）质量保证期应为设备安装调试验收合格之日起</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 主要配置：</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b w:val="0"/>
          <w:sz w:val="21"/>
          <w:szCs w:val="21"/>
          <w:highlight w:val="none"/>
        </w:rPr>
        <w:t>快开门式压力容器(灭菌器)考培</w:t>
      </w:r>
      <w:r>
        <w:rPr>
          <w:rFonts w:hint="eastAsia" w:ascii="宋体" w:hAnsi="宋体" w:eastAsia="宋体" w:cs="宋体"/>
          <w:sz w:val="21"/>
          <w:szCs w:val="21"/>
          <w:highlight w:val="none"/>
          <w:lang w:eastAsia="zh-CN"/>
        </w:rPr>
        <w:t>模拟机（共</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套）</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标准配置：</w:t>
      </w:r>
    </w:p>
    <w:p>
      <w:pPr>
        <w:ind w:firstLine="420"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lang w:eastAsia="zh-CN"/>
        </w:rPr>
        <w:t>3.2</w:t>
      </w:r>
      <w:r>
        <w:rPr>
          <w:rFonts w:hint="eastAsia" w:ascii="宋体" w:hAnsi="宋体" w:eastAsia="宋体" w:cs="宋体"/>
          <w:bCs w:val="0"/>
          <w:sz w:val="21"/>
          <w:szCs w:val="21"/>
          <w:highlight w:val="none"/>
        </w:rPr>
        <w:t>.1</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卧式圆形蒸汽灭菌器</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 xml:space="preserve">1台。 </w:t>
      </w:r>
    </w:p>
    <w:p>
      <w:pPr>
        <w:ind w:firstLine="420"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lang w:eastAsia="zh-CN"/>
        </w:rPr>
        <w:t>3.2</w:t>
      </w:r>
      <w:r>
        <w:rPr>
          <w:rFonts w:hint="eastAsia" w:ascii="宋体" w:hAnsi="宋体" w:eastAsia="宋体" w:cs="宋体"/>
          <w:bCs w:val="0"/>
          <w:sz w:val="21"/>
          <w:szCs w:val="21"/>
          <w:highlight w:val="none"/>
        </w:rPr>
        <w:t>.2</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排气管路</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1条，规格：DN15。</w:t>
      </w:r>
    </w:p>
    <w:p>
      <w:pPr>
        <w:ind w:firstLine="420"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lang w:eastAsia="zh-CN"/>
        </w:rPr>
        <w:t>3.2</w:t>
      </w:r>
      <w:r>
        <w:rPr>
          <w:rFonts w:hint="eastAsia" w:ascii="宋体" w:hAnsi="宋体" w:eastAsia="宋体" w:cs="宋体"/>
          <w:bCs w:val="0"/>
          <w:sz w:val="21"/>
          <w:szCs w:val="21"/>
          <w:highlight w:val="none"/>
        </w:rPr>
        <w:t>.3</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进汽管路</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1条，规格：DN15。</w:t>
      </w:r>
    </w:p>
    <w:p>
      <w:pPr>
        <w:ind w:firstLine="420"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lang w:eastAsia="zh-CN"/>
        </w:rPr>
        <w:t>3.2</w:t>
      </w:r>
      <w:r>
        <w:rPr>
          <w:rFonts w:hint="eastAsia" w:ascii="宋体" w:hAnsi="宋体" w:eastAsia="宋体" w:cs="宋体"/>
          <w:bCs w:val="0"/>
          <w:sz w:val="21"/>
          <w:szCs w:val="21"/>
          <w:highlight w:val="none"/>
        </w:rPr>
        <w:t>.4</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安全阀</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1个，规格：DN15。</w:t>
      </w:r>
    </w:p>
    <w:p>
      <w:pPr>
        <w:ind w:firstLine="420"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lang w:eastAsia="zh-CN"/>
        </w:rPr>
        <w:t>3.2</w:t>
      </w:r>
      <w:r>
        <w:rPr>
          <w:rFonts w:hint="eastAsia" w:ascii="宋体" w:hAnsi="宋体" w:eastAsia="宋体" w:cs="宋体"/>
          <w:bCs w:val="0"/>
          <w:sz w:val="21"/>
          <w:szCs w:val="21"/>
          <w:highlight w:val="none"/>
        </w:rPr>
        <w:t>.5</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安全连锁装置</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1套。</w:t>
      </w:r>
    </w:p>
    <w:p>
      <w:pPr>
        <w:ind w:firstLine="420"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lang w:eastAsia="zh-CN"/>
        </w:rPr>
        <w:t>3.2</w:t>
      </w:r>
      <w:r>
        <w:rPr>
          <w:rFonts w:hint="eastAsia" w:ascii="宋体" w:hAnsi="宋体" w:eastAsia="宋体" w:cs="宋体"/>
          <w:bCs w:val="0"/>
          <w:sz w:val="21"/>
          <w:szCs w:val="21"/>
          <w:highlight w:val="none"/>
        </w:rPr>
        <w:t>.6</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门开关</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1个。</w:t>
      </w:r>
    </w:p>
    <w:p>
      <w:pPr>
        <w:ind w:firstLine="420" w:firstLineChars="200"/>
        <w:rPr>
          <w:rFonts w:hint="eastAsia" w:ascii="宋体" w:hAnsi="宋体" w:eastAsia="宋体" w:cs="宋体"/>
          <w:sz w:val="21"/>
          <w:szCs w:val="21"/>
          <w:highlight w:val="none"/>
        </w:rPr>
      </w:pPr>
      <w:r>
        <w:rPr>
          <w:rFonts w:hint="eastAsia" w:ascii="宋体" w:hAnsi="宋体" w:eastAsia="宋体" w:cs="宋体"/>
          <w:bCs w:val="0"/>
          <w:sz w:val="21"/>
          <w:szCs w:val="21"/>
          <w:highlight w:val="none"/>
          <w:lang w:eastAsia="zh-CN"/>
        </w:rPr>
        <w:t>3.2</w:t>
      </w:r>
      <w:r>
        <w:rPr>
          <w:rFonts w:hint="eastAsia" w:ascii="宋体" w:hAnsi="宋体" w:eastAsia="宋体" w:cs="宋体"/>
          <w:bCs w:val="0"/>
          <w:sz w:val="21"/>
          <w:szCs w:val="21"/>
          <w:highlight w:val="none"/>
        </w:rPr>
        <w:t>.7</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电磁阀</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2个，</w:t>
      </w:r>
      <w:r>
        <w:rPr>
          <w:rFonts w:hint="eastAsia" w:ascii="宋体" w:hAnsi="宋体" w:eastAsia="宋体" w:cs="宋体"/>
          <w:sz w:val="21"/>
          <w:szCs w:val="21"/>
          <w:highlight w:val="none"/>
        </w:rPr>
        <w:t>规格：DN15。</w:t>
      </w:r>
    </w:p>
    <w:p>
      <w:pPr>
        <w:ind w:firstLine="420"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lang w:eastAsia="zh-CN"/>
        </w:rPr>
        <w:t>3.2</w:t>
      </w:r>
      <w:r>
        <w:rPr>
          <w:rFonts w:hint="eastAsia" w:ascii="宋体" w:hAnsi="宋体" w:eastAsia="宋体" w:cs="宋体"/>
          <w:bCs w:val="0"/>
          <w:sz w:val="21"/>
          <w:szCs w:val="21"/>
          <w:highlight w:val="none"/>
        </w:rPr>
        <w:t>.8</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手动球阀</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4个，</w:t>
      </w:r>
      <w:r>
        <w:rPr>
          <w:rFonts w:hint="eastAsia" w:ascii="宋体" w:hAnsi="宋体" w:eastAsia="宋体" w:cs="宋体"/>
          <w:sz w:val="21"/>
          <w:szCs w:val="21"/>
          <w:highlight w:val="none"/>
        </w:rPr>
        <w:t>规格：DN15。</w:t>
      </w:r>
    </w:p>
    <w:p>
      <w:pPr>
        <w:ind w:firstLine="420"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lang w:eastAsia="zh-CN"/>
        </w:rPr>
        <w:t>3.2</w:t>
      </w:r>
      <w:r>
        <w:rPr>
          <w:rFonts w:hint="eastAsia" w:ascii="宋体" w:hAnsi="宋体" w:eastAsia="宋体" w:cs="宋体"/>
          <w:bCs w:val="0"/>
          <w:sz w:val="21"/>
          <w:szCs w:val="21"/>
          <w:highlight w:val="none"/>
        </w:rPr>
        <w:t>.9</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压力表</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2块，规格：0~0.4Mpa；表盘</w:t>
      </w:r>
      <w:r>
        <w:rPr>
          <w:rFonts w:hint="eastAsia" w:ascii="宋体" w:hAnsi="宋体" w:eastAsia="宋体" w:cs="宋体"/>
          <w:sz w:val="21"/>
          <w:szCs w:val="21"/>
          <w:highlight w:val="none"/>
        </w:rPr>
        <w:t>直径不小于60mm</w:t>
      </w:r>
      <w:r>
        <w:rPr>
          <w:rFonts w:hint="eastAsia" w:ascii="宋体" w:hAnsi="宋体" w:eastAsia="宋体" w:cs="宋体"/>
          <w:bCs w:val="0"/>
          <w:sz w:val="21"/>
          <w:szCs w:val="21"/>
          <w:highlight w:val="none"/>
        </w:rPr>
        <w:t>。</w:t>
      </w:r>
    </w:p>
    <w:p>
      <w:pPr>
        <w:ind w:firstLine="420"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lang w:eastAsia="zh-CN"/>
        </w:rPr>
        <w:t>3.2</w:t>
      </w:r>
      <w:r>
        <w:rPr>
          <w:rFonts w:hint="eastAsia" w:ascii="宋体" w:hAnsi="宋体" w:eastAsia="宋体" w:cs="宋体"/>
          <w:bCs w:val="0"/>
          <w:sz w:val="21"/>
          <w:szCs w:val="21"/>
          <w:highlight w:val="none"/>
        </w:rPr>
        <w:t>.10</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设备铭牌</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1个。</w:t>
      </w:r>
    </w:p>
    <w:p>
      <w:pPr>
        <w:ind w:firstLine="420"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lang w:eastAsia="zh-CN"/>
        </w:rPr>
        <w:t>3.2</w:t>
      </w:r>
      <w:r>
        <w:rPr>
          <w:rFonts w:hint="eastAsia" w:ascii="宋体" w:hAnsi="宋体" w:eastAsia="宋体" w:cs="宋体"/>
          <w:bCs w:val="0"/>
          <w:sz w:val="21"/>
          <w:szCs w:val="21"/>
          <w:highlight w:val="none"/>
        </w:rPr>
        <w:t>.11  可编程控制器</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1套。</w:t>
      </w:r>
    </w:p>
    <w:p>
      <w:pPr>
        <w:ind w:firstLine="420"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lang w:eastAsia="zh-CN"/>
        </w:rPr>
        <w:t>3.2</w:t>
      </w:r>
      <w:r>
        <w:rPr>
          <w:rFonts w:hint="eastAsia" w:ascii="宋体" w:hAnsi="宋体" w:eastAsia="宋体" w:cs="宋体"/>
          <w:bCs w:val="0"/>
          <w:sz w:val="21"/>
          <w:szCs w:val="21"/>
          <w:highlight w:val="none"/>
        </w:rPr>
        <w:t>.12</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工业触摸屏</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1台。</w:t>
      </w:r>
    </w:p>
    <w:p>
      <w:pPr>
        <w:ind w:firstLine="420"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lang w:eastAsia="zh-CN"/>
        </w:rPr>
        <w:t>3.2</w:t>
      </w:r>
      <w:r>
        <w:rPr>
          <w:rFonts w:hint="eastAsia" w:ascii="宋体" w:hAnsi="宋体" w:eastAsia="宋体" w:cs="宋体"/>
          <w:bCs w:val="0"/>
          <w:sz w:val="21"/>
          <w:szCs w:val="21"/>
          <w:highlight w:val="none"/>
        </w:rPr>
        <w:t>.13</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扫描枪</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1把。</w:t>
      </w:r>
    </w:p>
    <w:p>
      <w:pPr>
        <w:ind w:firstLine="420"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lang w:eastAsia="zh-CN"/>
        </w:rPr>
        <w:t>3.2</w:t>
      </w:r>
      <w:r>
        <w:rPr>
          <w:rFonts w:hint="eastAsia" w:ascii="宋体" w:hAnsi="宋体" w:eastAsia="宋体" w:cs="宋体"/>
          <w:bCs w:val="0"/>
          <w:sz w:val="21"/>
          <w:szCs w:val="21"/>
          <w:highlight w:val="none"/>
        </w:rPr>
        <w:t>.14</w:t>
      </w:r>
      <w:r>
        <w:rPr>
          <w:rFonts w:hint="eastAsia" w:ascii="宋体" w:hAnsi="宋体" w:eastAsia="宋体" w:cs="宋体"/>
          <w:bCs w:val="0"/>
          <w:sz w:val="21"/>
          <w:szCs w:val="21"/>
          <w:highlight w:val="none"/>
        </w:rPr>
        <w:tab/>
      </w:r>
      <w:r>
        <w:rPr>
          <w:rFonts w:hint="eastAsia" w:ascii="宋体" w:hAnsi="宋体" w:eastAsia="宋体" w:cs="宋体"/>
          <w:sz w:val="21"/>
          <w:szCs w:val="21"/>
          <w:highlight w:val="none"/>
        </w:rPr>
        <w:t>控制终端</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1台</w:t>
      </w:r>
      <w:r>
        <w:rPr>
          <w:rFonts w:hint="eastAsia" w:ascii="宋体" w:hAnsi="宋体" w:eastAsia="宋体" w:cs="宋体"/>
          <w:sz w:val="21"/>
          <w:szCs w:val="21"/>
          <w:highlight w:val="none"/>
        </w:rPr>
        <w:t>。</w:t>
      </w:r>
    </w:p>
    <w:p>
      <w:pPr>
        <w:ind w:firstLine="420"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lang w:eastAsia="zh-CN"/>
        </w:rPr>
        <w:t>3.2</w:t>
      </w:r>
      <w:r>
        <w:rPr>
          <w:rFonts w:hint="eastAsia" w:ascii="宋体" w:hAnsi="宋体" w:eastAsia="宋体" w:cs="宋体"/>
          <w:bCs w:val="0"/>
          <w:sz w:val="21"/>
          <w:szCs w:val="21"/>
          <w:highlight w:val="none"/>
        </w:rPr>
        <w:t>.15</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考核软件</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1套</w:t>
      </w:r>
      <w:r>
        <w:rPr>
          <w:rFonts w:hint="eastAsia" w:ascii="宋体" w:hAnsi="宋体" w:eastAsia="宋体" w:cs="宋体"/>
          <w:sz w:val="21"/>
          <w:szCs w:val="21"/>
          <w:highlight w:val="none"/>
        </w:rPr>
        <w:t>。</w:t>
      </w:r>
    </w:p>
    <w:p>
      <w:pPr>
        <w:ind w:firstLine="420" w:firstLineChars="200"/>
        <w:rPr>
          <w:rFonts w:hint="eastAsia" w:ascii="宋体" w:hAnsi="宋体" w:eastAsia="宋体" w:cs="宋体"/>
          <w:sz w:val="21"/>
          <w:szCs w:val="21"/>
          <w:highlight w:val="none"/>
        </w:rPr>
      </w:pPr>
      <w:r>
        <w:rPr>
          <w:rFonts w:hint="eastAsia" w:ascii="宋体" w:hAnsi="宋体" w:eastAsia="宋体" w:cs="宋体"/>
          <w:bCs w:val="0"/>
          <w:sz w:val="21"/>
          <w:szCs w:val="21"/>
          <w:highlight w:val="none"/>
          <w:lang w:eastAsia="zh-CN"/>
        </w:rPr>
        <w:t>3.2</w:t>
      </w:r>
      <w:r>
        <w:rPr>
          <w:rFonts w:hint="eastAsia" w:ascii="宋体" w:hAnsi="宋体" w:eastAsia="宋体" w:cs="宋体"/>
          <w:bCs w:val="0"/>
          <w:sz w:val="21"/>
          <w:szCs w:val="21"/>
          <w:highlight w:val="none"/>
        </w:rPr>
        <w:t>.16</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部件识别系统</w:t>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ab/>
      </w:r>
      <w:r>
        <w:rPr>
          <w:rFonts w:hint="eastAsia" w:ascii="宋体" w:hAnsi="宋体" w:eastAsia="宋体" w:cs="宋体"/>
          <w:bCs w:val="0"/>
          <w:sz w:val="21"/>
          <w:szCs w:val="21"/>
          <w:highlight w:val="none"/>
        </w:rPr>
        <w:t>1套</w:t>
      </w:r>
      <w:r>
        <w:rPr>
          <w:rFonts w:hint="eastAsia" w:ascii="宋体" w:hAnsi="宋体" w:eastAsia="宋体" w:cs="宋体"/>
          <w:sz w:val="21"/>
          <w:szCs w:val="21"/>
          <w:highlight w:val="none"/>
        </w:rPr>
        <w:t>。</w:t>
      </w:r>
    </w:p>
    <w:p>
      <w:pPr>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4.主要技术要求和参数（包括软硬件附属设备等）：</w:t>
      </w:r>
    </w:p>
    <w:p>
      <w:pPr>
        <w:spacing w:line="24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4</w:t>
      </w:r>
      <w:r>
        <w:rPr>
          <w:rFonts w:hint="eastAsia" w:ascii="宋体" w:hAnsi="宋体" w:eastAsia="宋体" w:cs="宋体"/>
          <w:b/>
          <w:bCs/>
          <w:sz w:val="21"/>
          <w:szCs w:val="21"/>
          <w:highlight w:val="none"/>
        </w:rPr>
        <w:t>.1 基本要求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.1.1快开门式压力容器应选定卧式圆形压力蒸汽灭菌器。</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.1.2安全阀、压力表、温度表、安全联锁装置、门开关、泄汽阀、手动进水阀、手动排冷阀、手动排水阀、电气操作箱等均为实物，并可进行相应模拟操作，且能够对运行状况如压力、温度、液位等进行显示。</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.1.3要求能够实现部件识别操作、基本操作、应急处置操作等科目考试的要求，考试各部分内容所占比例部件识别占30%，基本操作占50%，应急处置占20%，所有科目考试内容应与考核大纲一致。</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.1.4满足TSG Z6001-2019《特种设备作业人员考核规则》中实操考核的要求，软件系统具有题库管理、随机组卷、自动限时计时、自动判卷评分、自动记录存档、统计、查询、汇总报表、建档和存档等数据库管理功能。</w:t>
      </w:r>
    </w:p>
    <w:p>
      <w:pPr>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4</w:t>
      </w:r>
      <w:r>
        <w:rPr>
          <w:rFonts w:hint="eastAsia" w:ascii="宋体" w:hAnsi="宋体" w:eastAsia="宋体" w:cs="宋体"/>
          <w:b/>
          <w:bCs/>
          <w:sz w:val="21"/>
          <w:szCs w:val="21"/>
          <w:highlight w:val="none"/>
        </w:rPr>
        <w:t>.2 技术要求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.2.1 系统软件至少应具备上机操作训练功能、 考核功能、 试题自选试题及随机选题功能、自动组卷功能、 考试计时功能、 考核自动打分功能、 学员信息管理功能、 学员数据库管理功能、 学员信息导入导出功能、 数据库维护功能、 备份数据库功能。</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.2.2快开门式压力容器及附属设备内安全附件和操作阀门采用电磁传感技术。 安全附件和操作阀门内部设计加工良好， 便于传感器的配置、调试、维修、更换。</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.2.3部件识别：嵌入考核软件中，硬件使用无线二维扫描枪，对相关操作阀门、安全附件或典型结构进行扫描识别，同时在工业触摸屏显示出识别物件相应的名称，考核端需有相应语音提示。</w:t>
      </w:r>
    </w:p>
    <w:p>
      <w:pPr>
        <w:ind w:firstLine="420" w:firstLineChars="200"/>
        <w:rPr>
          <w:rFonts w:hint="eastAsia" w:ascii="宋体" w:hAnsi="宋体" w:eastAsia="宋体" w:cs="宋体"/>
          <w:sz w:val="21"/>
          <w:szCs w:val="21"/>
          <w:highlight w:val="none"/>
        </w:rPr>
      </w:pPr>
      <w:r>
        <w:rPr>
          <w:rFonts w:hint="eastAsia" w:ascii="宋体" w:hAnsi="宋体" w:eastAsia="宋体" w:cs="宋体"/>
          <w:b w:val="0"/>
          <w:sz w:val="21"/>
          <w:szCs w:val="21"/>
          <w:highlight w:val="none"/>
        </w:rPr>
        <w:t>★</w:t>
      </w: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2.4工业触摸屏运行软件包括：练习界面、考核界面两个部分；练习界面应显示考题内容、考题正确步骤内容及实时显示学员每一步操作内容，学员通过触摸屏选择不同的考题进行练习；考核界面应显示考题内容实时显示学员每一步操作内容。</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.2.5工业触摸屏不小于10.2英寸。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rPr>
        <w:t>.2.6控制终端：内存不小于4G，硬盘不小于128G，不小于23.8英寸</w:t>
      </w:r>
    </w:p>
    <w:p>
      <w:pPr>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5.技术服务与承诺：</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（1）保修期内，设备及附件由于质量问题而不能正常工作时，供方承诺在一天内到达用户现场免费修理或更换零部件。因维修不及时，而导致设备无法正常使用时，其保修时间随停机时间的长短而相应延长。</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（2）供方对设备提供终生维修服务，保修期外只收取零部件配件费和维修费用，并享有优惠购买零配件待遇。</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（3）售后服务人员无忧电话回访，主动跟踪动态服务。检查设备的运行情况，并对设备进行维护和保养。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（4）质保期内设备发生故障系设备出现质量问题，无偿更换；</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（5）设备未按照合同规定地点交货、验收之前，如发生不可力因素导致设备毁坏或灭失，由供方承担责任；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（6）供方公司提供</w:t>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rPr>
        <w:t>年的质保期；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）对设备软件终身免费升级；</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）供方免费提供：就位、设备安装、调试工作。</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）附带易损易耗物品清单及其价格表。</w:t>
      </w:r>
    </w:p>
    <w:p>
      <w:pPr>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6.培训：</w:t>
      </w:r>
    </w:p>
    <w:p>
      <w:pPr>
        <w:ind w:firstLine="420" w:firstLineChars="200"/>
        <w:jc w:val="left"/>
        <w:outlineLvl w:val="9"/>
        <w:rPr>
          <w:rFonts w:hint="eastAsia" w:ascii="宋体" w:hAnsi="宋体" w:eastAsia="宋体" w:cs="宋体"/>
          <w:b/>
          <w:bCs/>
          <w:color w:val="auto"/>
          <w:kern w:val="0"/>
          <w:sz w:val="21"/>
          <w:szCs w:val="21"/>
          <w:highlight w:val="none"/>
          <w:shd w:val="clear" w:color="auto" w:fill="FFFFFF"/>
          <w:lang w:val="en-US" w:eastAsia="zh-CN"/>
        </w:rPr>
      </w:pPr>
      <w:r>
        <w:rPr>
          <w:rFonts w:hint="eastAsia" w:ascii="宋体" w:hAnsi="宋体" w:eastAsia="宋体" w:cs="宋体"/>
          <w:sz w:val="21"/>
          <w:szCs w:val="21"/>
          <w:highlight w:val="none"/>
        </w:rPr>
        <w:t>供方负责拟定免费培训；设备安装调试最终验收合格后，由供方专业技术人员为用户安排2～3天的操作培训、维护人员的免费培训。主要培训操作人员对设备基本原理、软件使用、操作、维护等的理解及应用，并达到用户操作人员能独立操作设备、服务</w:t>
      </w:r>
      <w:r>
        <w:rPr>
          <w:rFonts w:hint="eastAsia" w:ascii="宋体" w:hAnsi="宋体" w:eastAsia="宋体" w:cs="宋体"/>
          <w:sz w:val="21"/>
          <w:szCs w:val="21"/>
          <w:highlight w:val="none"/>
          <w:lang w:val="en-US" w:eastAsia="zh-CN"/>
        </w:rPr>
        <w:t>考试</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故障排除</w:t>
      </w:r>
      <w:r>
        <w:rPr>
          <w:rFonts w:hint="eastAsia" w:ascii="宋体" w:hAnsi="宋体" w:eastAsia="宋体" w:cs="宋体"/>
          <w:sz w:val="21"/>
          <w:szCs w:val="21"/>
          <w:highlight w:val="none"/>
        </w:rPr>
        <w:t>工作和基本的维护工作。</w:t>
      </w:r>
    </w:p>
    <w:p>
      <w:pPr>
        <w:spacing w:line="360" w:lineRule="auto"/>
        <w:contextualSpacing/>
        <w:jc w:val="center"/>
        <w:outlineLvl w:val="3"/>
        <w:rPr>
          <w:rFonts w:hint="eastAsia" w:ascii="宋体" w:hAnsi="宋体" w:eastAsia="宋体" w:cs="宋体"/>
          <w:color w:val="000000"/>
          <w:sz w:val="21"/>
          <w:szCs w:val="21"/>
          <w:highlight w:val="none"/>
        </w:rPr>
      </w:pPr>
      <w:r>
        <w:rPr>
          <w:rFonts w:hint="eastAsia" w:ascii="宋体" w:hAnsi="宋体" w:eastAsia="宋体" w:cs="宋体"/>
          <w:b/>
          <w:sz w:val="21"/>
          <w:szCs w:val="21"/>
          <w:highlight w:val="none"/>
        </w:rPr>
        <w:t>快开门式压力容器(蒸压釜)考培设备技术参数</w:t>
      </w:r>
    </w:p>
    <w:p>
      <w:pPr>
        <w:spacing w:line="240" w:lineRule="auto"/>
        <w:ind w:left="0"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1.设备名称：</w:t>
      </w:r>
      <w:r>
        <w:rPr>
          <w:rFonts w:hint="eastAsia" w:ascii="宋体" w:hAnsi="宋体" w:eastAsia="宋体" w:cs="宋体"/>
          <w:sz w:val="21"/>
          <w:szCs w:val="21"/>
          <w:highlight w:val="none"/>
        </w:rPr>
        <w:t>快开门式压力容器(蒸压釜)考培</w:t>
      </w:r>
      <w:r>
        <w:rPr>
          <w:rFonts w:hint="eastAsia" w:ascii="宋体" w:hAnsi="宋体" w:eastAsia="宋体" w:cs="宋体"/>
          <w:sz w:val="21"/>
          <w:szCs w:val="21"/>
          <w:highlight w:val="none"/>
          <w:lang w:eastAsia="zh-CN"/>
        </w:rPr>
        <w:t>模拟机</w:t>
      </w:r>
    </w:p>
    <w:p>
      <w:pPr>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2.主要用途：</w:t>
      </w:r>
      <w:r>
        <w:rPr>
          <w:rFonts w:hint="eastAsia" w:ascii="宋体" w:hAnsi="宋体" w:eastAsia="宋体" w:cs="宋体"/>
          <w:sz w:val="21"/>
          <w:szCs w:val="21"/>
          <w:highlight w:val="none"/>
        </w:rPr>
        <w:t>特种设备作业人员考核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3.1总体要求：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（1）设备必须采用国际上同行业中先进成熟的设计思想，制造技术；</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（2）设备在质量上必须具有优良的品质，即可靠性要高，使用寿命长；</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（3）设备必须具有良好的操作性，方便的维修性，可靠的安全性；</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（4）采用全新产品，并标明生产商、品牌与产地，并附原产地证明；</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（5）质量保证期应为设备安装调试验收合格之日起</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w:t>
      </w:r>
    </w:p>
    <w:p>
      <w:pPr>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3.2 主要配置：</w:t>
      </w:r>
    </w:p>
    <w:p>
      <w:pPr>
        <w:spacing w:line="360" w:lineRule="auto"/>
        <w:ind w:left="638" w:leftChars="304"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快开门式压力容器(蒸压釜)考培</w:t>
      </w:r>
      <w:r>
        <w:rPr>
          <w:rFonts w:hint="eastAsia" w:ascii="宋体" w:hAnsi="宋体" w:eastAsia="宋体" w:cs="宋体"/>
          <w:sz w:val="21"/>
          <w:szCs w:val="21"/>
          <w:highlight w:val="none"/>
          <w:lang w:eastAsia="zh-CN"/>
        </w:rPr>
        <w:t>模拟机（共</w:t>
      </w:r>
      <w:r>
        <w:rPr>
          <w:rFonts w:hint="eastAsia" w:ascii="宋体" w:hAnsi="宋体" w:eastAsia="宋体" w:cs="宋体"/>
          <w:sz w:val="21"/>
          <w:szCs w:val="21"/>
          <w:highlight w:val="none"/>
          <w:lang w:val="en-US" w:eastAsia="zh-CN"/>
        </w:rPr>
        <w:t>8套）</w:t>
      </w:r>
    </w:p>
    <w:p>
      <w:pPr>
        <w:spacing w:line="240" w:lineRule="auto"/>
        <w:ind w:lef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标准</w:t>
      </w:r>
      <w:r>
        <w:rPr>
          <w:rFonts w:hint="eastAsia" w:ascii="宋体" w:hAnsi="宋体" w:eastAsia="宋体" w:cs="宋体"/>
          <w:sz w:val="21"/>
          <w:szCs w:val="21"/>
          <w:highlight w:val="none"/>
        </w:rPr>
        <w:t>配置</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w:t>
      </w:r>
      <w:r>
        <w:rPr>
          <w:rFonts w:hint="eastAsia" w:ascii="宋体" w:hAnsi="宋体" w:eastAsia="宋体" w:cs="宋体"/>
          <w:sz w:val="21"/>
          <w:szCs w:val="21"/>
          <w:highlight w:val="none"/>
        </w:rPr>
        <w:tab/>
      </w:r>
      <w:r>
        <w:rPr>
          <w:rFonts w:hint="eastAsia" w:ascii="宋体" w:hAnsi="宋体" w:eastAsia="宋体" w:cs="宋体"/>
          <w:sz w:val="21"/>
          <w:szCs w:val="21"/>
          <w:highlight w:val="none"/>
        </w:rPr>
        <w:t>蒸压釜釜体</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1台。</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w:t>
      </w:r>
      <w:r>
        <w:rPr>
          <w:rFonts w:hint="eastAsia" w:ascii="宋体" w:hAnsi="宋体" w:eastAsia="宋体" w:cs="宋体"/>
          <w:sz w:val="21"/>
          <w:szCs w:val="21"/>
          <w:highlight w:val="none"/>
        </w:rPr>
        <w:tab/>
      </w:r>
      <w:r>
        <w:rPr>
          <w:rFonts w:hint="eastAsia" w:ascii="宋体" w:hAnsi="宋体" w:eastAsia="宋体" w:cs="宋体"/>
          <w:sz w:val="21"/>
          <w:szCs w:val="21"/>
          <w:highlight w:val="none"/>
        </w:rPr>
        <w:t>蒸汽管路</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1条，规格：DN25。</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.3</w:t>
      </w:r>
      <w:r>
        <w:rPr>
          <w:rFonts w:hint="eastAsia" w:ascii="宋体" w:hAnsi="宋体" w:eastAsia="宋体" w:cs="宋体"/>
          <w:sz w:val="21"/>
          <w:szCs w:val="21"/>
          <w:highlight w:val="none"/>
        </w:rPr>
        <w:tab/>
      </w:r>
      <w:r>
        <w:rPr>
          <w:rFonts w:hint="eastAsia" w:ascii="宋体" w:hAnsi="宋体" w:eastAsia="宋体" w:cs="宋体"/>
          <w:sz w:val="21"/>
          <w:szCs w:val="21"/>
          <w:highlight w:val="none"/>
        </w:rPr>
        <w:t>充气管路</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1条，规格：DN15。</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.4</w:t>
      </w:r>
      <w:r>
        <w:rPr>
          <w:rFonts w:hint="eastAsia" w:ascii="宋体" w:hAnsi="宋体" w:eastAsia="宋体" w:cs="宋体"/>
          <w:sz w:val="21"/>
          <w:szCs w:val="21"/>
          <w:highlight w:val="none"/>
        </w:rPr>
        <w:tab/>
      </w:r>
      <w:r>
        <w:rPr>
          <w:rFonts w:hint="eastAsia" w:ascii="宋体" w:hAnsi="宋体" w:eastAsia="宋体" w:cs="宋体"/>
          <w:sz w:val="21"/>
          <w:szCs w:val="21"/>
          <w:highlight w:val="none"/>
        </w:rPr>
        <w:t>安全联锁装置</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2套。</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.5</w:t>
      </w:r>
      <w:r>
        <w:rPr>
          <w:rFonts w:hint="eastAsia" w:ascii="宋体" w:hAnsi="宋体" w:eastAsia="宋体" w:cs="宋体"/>
          <w:sz w:val="21"/>
          <w:szCs w:val="21"/>
          <w:highlight w:val="none"/>
        </w:rPr>
        <w:tab/>
      </w:r>
      <w:r>
        <w:rPr>
          <w:rFonts w:hint="eastAsia" w:ascii="宋体" w:hAnsi="宋体" w:eastAsia="宋体" w:cs="宋体"/>
          <w:sz w:val="21"/>
          <w:szCs w:val="21"/>
          <w:highlight w:val="none"/>
        </w:rPr>
        <w:t>电动机</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2台。</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.6</w:t>
      </w:r>
      <w:r>
        <w:rPr>
          <w:rFonts w:hint="eastAsia" w:ascii="宋体" w:hAnsi="宋体" w:eastAsia="宋体" w:cs="宋体"/>
          <w:sz w:val="21"/>
          <w:szCs w:val="21"/>
          <w:highlight w:val="none"/>
        </w:rPr>
        <w:tab/>
      </w:r>
      <w:r>
        <w:rPr>
          <w:rFonts w:hint="eastAsia" w:ascii="宋体" w:hAnsi="宋体" w:eastAsia="宋体" w:cs="宋体"/>
          <w:sz w:val="21"/>
          <w:szCs w:val="21"/>
          <w:highlight w:val="none"/>
        </w:rPr>
        <w:t>安全阀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1个，规格：DN25。</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.7</w:t>
      </w:r>
      <w:r>
        <w:rPr>
          <w:rFonts w:hint="eastAsia" w:ascii="宋体" w:hAnsi="宋体" w:eastAsia="宋体" w:cs="宋体"/>
          <w:sz w:val="21"/>
          <w:szCs w:val="21"/>
          <w:highlight w:val="none"/>
        </w:rPr>
        <w:tab/>
      </w:r>
      <w:r>
        <w:rPr>
          <w:rFonts w:hint="eastAsia" w:ascii="宋体" w:hAnsi="宋体" w:eastAsia="宋体" w:cs="宋体"/>
          <w:sz w:val="21"/>
          <w:szCs w:val="21"/>
          <w:highlight w:val="none"/>
        </w:rPr>
        <w:t>截止阀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7个，规格：DN25。</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.8</w:t>
      </w:r>
      <w:r>
        <w:rPr>
          <w:rFonts w:hint="eastAsia" w:ascii="宋体" w:hAnsi="宋体" w:eastAsia="宋体" w:cs="宋体"/>
          <w:sz w:val="21"/>
          <w:szCs w:val="21"/>
          <w:highlight w:val="none"/>
        </w:rPr>
        <w:tab/>
      </w:r>
      <w:r>
        <w:rPr>
          <w:rFonts w:hint="eastAsia" w:ascii="宋体" w:hAnsi="宋体" w:eastAsia="宋体" w:cs="宋体"/>
          <w:sz w:val="21"/>
          <w:szCs w:val="21"/>
          <w:highlight w:val="none"/>
        </w:rPr>
        <w:t>三通旋塞</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.9</w:t>
      </w:r>
      <w:r>
        <w:rPr>
          <w:rFonts w:hint="eastAsia" w:ascii="宋体" w:hAnsi="宋体" w:eastAsia="宋体" w:cs="宋体"/>
          <w:sz w:val="21"/>
          <w:szCs w:val="21"/>
          <w:highlight w:val="none"/>
        </w:rPr>
        <w:tab/>
      </w:r>
      <w:r>
        <w:rPr>
          <w:rFonts w:hint="eastAsia" w:ascii="宋体" w:hAnsi="宋体" w:eastAsia="宋体" w:cs="宋体"/>
          <w:sz w:val="21"/>
          <w:szCs w:val="21"/>
          <w:highlight w:val="none"/>
        </w:rPr>
        <w:t>存水弯管</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.10</w:t>
      </w:r>
      <w:r>
        <w:rPr>
          <w:rFonts w:hint="eastAsia" w:ascii="宋体" w:hAnsi="宋体" w:eastAsia="宋体" w:cs="宋体"/>
          <w:sz w:val="21"/>
          <w:szCs w:val="21"/>
          <w:highlight w:val="none"/>
        </w:rPr>
        <w:tab/>
      </w:r>
      <w:r>
        <w:rPr>
          <w:rFonts w:hint="eastAsia" w:ascii="宋体" w:hAnsi="宋体" w:eastAsia="宋体" w:cs="宋体"/>
          <w:sz w:val="21"/>
          <w:szCs w:val="21"/>
          <w:highlight w:val="none"/>
        </w:rPr>
        <w:t>圆盘式疏水器</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1个，规格：DN25。</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.11</w:t>
      </w:r>
      <w:r>
        <w:rPr>
          <w:rFonts w:hint="eastAsia" w:ascii="宋体" w:hAnsi="宋体" w:eastAsia="宋体" w:cs="宋体"/>
          <w:sz w:val="21"/>
          <w:szCs w:val="21"/>
          <w:highlight w:val="none"/>
        </w:rPr>
        <w:tab/>
      </w:r>
      <w:r>
        <w:rPr>
          <w:rFonts w:hint="eastAsia" w:ascii="宋体" w:hAnsi="宋体" w:eastAsia="宋体" w:cs="宋体"/>
          <w:sz w:val="21"/>
          <w:szCs w:val="21"/>
          <w:highlight w:val="none"/>
        </w:rPr>
        <w:t>球阀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4个，规格：DN15。</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.12</w:t>
      </w:r>
      <w:r>
        <w:rPr>
          <w:rFonts w:hint="eastAsia" w:ascii="宋体" w:hAnsi="宋体" w:eastAsia="宋体" w:cs="宋体"/>
          <w:sz w:val="21"/>
          <w:szCs w:val="21"/>
          <w:highlight w:val="none"/>
        </w:rPr>
        <w:tab/>
      </w:r>
      <w:r>
        <w:rPr>
          <w:rFonts w:hint="eastAsia" w:ascii="宋体" w:hAnsi="宋体" w:eastAsia="宋体" w:cs="宋体"/>
          <w:sz w:val="21"/>
          <w:szCs w:val="21"/>
          <w:highlight w:val="none"/>
        </w:rPr>
        <w:t>釜门手柄阀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2个，规格：DN20。</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.13</w:t>
      </w:r>
      <w:r>
        <w:rPr>
          <w:rFonts w:hint="eastAsia" w:ascii="宋体" w:hAnsi="宋体" w:eastAsia="宋体" w:cs="宋体"/>
          <w:sz w:val="21"/>
          <w:szCs w:val="21"/>
          <w:highlight w:val="none"/>
        </w:rPr>
        <w:tab/>
      </w:r>
      <w:r>
        <w:rPr>
          <w:rFonts w:hint="eastAsia" w:ascii="宋体" w:hAnsi="宋体" w:eastAsia="宋体" w:cs="宋体"/>
          <w:sz w:val="21"/>
          <w:szCs w:val="21"/>
          <w:highlight w:val="none"/>
        </w:rPr>
        <w:t>按钮指示灯</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4个，规格：φ22。</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.14</w:t>
      </w:r>
      <w:r>
        <w:rPr>
          <w:rFonts w:hint="eastAsia" w:ascii="宋体" w:hAnsi="宋体" w:eastAsia="宋体" w:cs="宋体"/>
          <w:sz w:val="21"/>
          <w:szCs w:val="21"/>
          <w:highlight w:val="none"/>
        </w:rPr>
        <w:tab/>
      </w:r>
      <w:r>
        <w:rPr>
          <w:rFonts w:hint="eastAsia" w:ascii="宋体" w:hAnsi="宋体" w:eastAsia="宋体" w:cs="宋体"/>
          <w:sz w:val="21"/>
          <w:szCs w:val="21"/>
          <w:highlight w:val="none"/>
        </w:rPr>
        <w:t>设备铭牌</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.15</w:t>
      </w:r>
      <w:r>
        <w:rPr>
          <w:rFonts w:hint="eastAsia" w:ascii="宋体" w:hAnsi="宋体" w:eastAsia="宋体" w:cs="宋体"/>
          <w:sz w:val="21"/>
          <w:szCs w:val="21"/>
          <w:highlight w:val="none"/>
        </w:rPr>
        <w:tab/>
      </w:r>
      <w:r>
        <w:rPr>
          <w:rFonts w:hint="eastAsia" w:ascii="宋体" w:hAnsi="宋体" w:eastAsia="宋体" w:cs="宋体"/>
          <w:sz w:val="21"/>
          <w:szCs w:val="21"/>
          <w:highlight w:val="none"/>
        </w:rPr>
        <w:t>压力表</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1块，规格：0~1.6Mpa；表盘直径不小于100mm。</w:t>
      </w:r>
    </w:p>
    <w:p>
      <w:pPr>
        <w:spacing w:line="240" w:lineRule="auto"/>
        <w:ind w:firstLine="420" w:firstLineChars="200"/>
        <w:jc w:val="left"/>
        <w:rPr>
          <w:rFonts w:hint="eastAsia" w:ascii="宋体" w:hAnsi="宋体" w:eastAsia="宋体" w:cs="宋体"/>
          <w:bCs w:val="0"/>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.16</w:t>
      </w:r>
      <w:r>
        <w:rPr>
          <w:rFonts w:hint="eastAsia" w:ascii="宋体" w:hAnsi="宋体" w:eastAsia="宋体" w:cs="宋体"/>
          <w:sz w:val="21"/>
          <w:szCs w:val="21"/>
          <w:highlight w:val="none"/>
        </w:rPr>
        <w:tab/>
      </w:r>
      <w:r>
        <w:rPr>
          <w:rFonts w:hint="eastAsia" w:ascii="宋体" w:hAnsi="宋体" w:eastAsia="宋体" w:cs="宋体"/>
          <w:sz w:val="21"/>
          <w:szCs w:val="21"/>
          <w:highlight w:val="none"/>
        </w:rPr>
        <w:t>温度表</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1块，规格：0~250℃</w:t>
      </w:r>
      <w:r>
        <w:rPr>
          <w:rFonts w:hint="eastAsia" w:ascii="宋体" w:hAnsi="宋体" w:eastAsia="宋体" w:cs="宋体"/>
          <w:bCs w:val="0"/>
          <w:sz w:val="21"/>
          <w:szCs w:val="21"/>
          <w:highlight w:val="none"/>
        </w:rPr>
        <w:t>； 表盘</w:t>
      </w:r>
      <w:r>
        <w:rPr>
          <w:rFonts w:hint="eastAsia" w:ascii="宋体" w:hAnsi="宋体" w:eastAsia="宋体" w:cs="宋体"/>
          <w:sz w:val="21"/>
          <w:szCs w:val="21"/>
          <w:highlight w:val="none"/>
        </w:rPr>
        <w:t>直径不小于100mm</w:t>
      </w:r>
      <w:r>
        <w:rPr>
          <w:rFonts w:hint="eastAsia" w:ascii="宋体" w:hAnsi="宋体" w:eastAsia="宋体" w:cs="宋体"/>
          <w:bCs w:val="0"/>
          <w:sz w:val="21"/>
          <w:szCs w:val="21"/>
          <w:highlight w:val="none"/>
        </w:rPr>
        <w:t>。</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.17</w:t>
      </w:r>
      <w:r>
        <w:rPr>
          <w:rFonts w:hint="eastAsia" w:ascii="宋体" w:hAnsi="宋体" w:eastAsia="宋体" w:cs="宋体"/>
          <w:sz w:val="21"/>
          <w:szCs w:val="21"/>
          <w:highlight w:val="none"/>
        </w:rPr>
        <w:tab/>
      </w:r>
      <w:r>
        <w:rPr>
          <w:rFonts w:hint="eastAsia" w:ascii="宋体" w:hAnsi="宋体" w:eastAsia="宋体" w:cs="宋体"/>
          <w:sz w:val="21"/>
          <w:szCs w:val="21"/>
          <w:highlight w:val="none"/>
        </w:rPr>
        <w:t>可编程控制器</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1套。</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.18</w:t>
      </w:r>
      <w:r>
        <w:rPr>
          <w:rFonts w:hint="eastAsia" w:ascii="宋体" w:hAnsi="宋体" w:eastAsia="宋体" w:cs="宋体"/>
          <w:sz w:val="21"/>
          <w:szCs w:val="21"/>
          <w:highlight w:val="none"/>
        </w:rPr>
        <w:tab/>
      </w:r>
      <w:r>
        <w:rPr>
          <w:rFonts w:hint="eastAsia" w:ascii="宋体" w:hAnsi="宋体" w:eastAsia="宋体" w:cs="宋体"/>
          <w:sz w:val="21"/>
          <w:szCs w:val="21"/>
          <w:highlight w:val="none"/>
        </w:rPr>
        <w:t>工业触摸屏</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.19</w:t>
      </w:r>
      <w:r>
        <w:rPr>
          <w:rFonts w:hint="eastAsia" w:ascii="宋体" w:hAnsi="宋体" w:eastAsia="宋体" w:cs="宋体"/>
          <w:sz w:val="21"/>
          <w:szCs w:val="21"/>
          <w:highlight w:val="none"/>
        </w:rPr>
        <w:tab/>
      </w:r>
      <w:r>
        <w:rPr>
          <w:rFonts w:hint="eastAsia" w:ascii="宋体" w:hAnsi="宋体" w:eastAsia="宋体" w:cs="宋体"/>
          <w:sz w:val="21"/>
          <w:szCs w:val="21"/>
          <w:highlight w:val="none"/>
        </w:rPr>
        <w:t>扫描枪</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1把。</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.20</w:t>
      </w:r>
      <w:r>
        <w:rPr>
          <w:rFonts w:hint="eastAsia" w:ascii="宋体" w:hAnsi="宋体" w:eastAsia="宋体" w:cs="宋体"/>
          <w:sz w:val="21"/>
          <w:szCs w:val="21"/>
          <w:highlight w:val="none"/>
        </w:rPr>
        <w:tab/>
      </w:r>
      <w:r>
        <w:rPr>
          <w:rFonts w:hint="eastAsia" w:ascii="宋体" w:hAnsi="宋体" w:eastAsia="宋体" w:cs="宋体"/>
          <w:sz w:val="21"/>
          <w:szCs w:val="21"/>
          <w:highlight w:val="none"/>
        </w:rPr>
        <w:t>控制终端</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1台。</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.21</w:t>
      </w:r>
      <w:r>
        <w:rPr>
          <w:rFonts w:hint="eastAsia" w:ascii="宋体" w:hAnsi="宋体" w:eastAsia="宋体" w:cs="宋体"/>
          <w:sz w:val="21"/>
          <w:szCs w:val="21"/>
          <w:highlight w:val="none"/>
        </w:rPr>
        <w:tab/>
      </w:r>
      <w:r>
        <w:rPr>
          <w:rFonts w:hint="eastAsia" w:ascii="宋体" w:hAnsi="宋体" w:eastAsia="宋体" w:cs="宋体"/>
          <w:sz w:val="21"/>
          <w:szCs w:val="21"/>
          <w:highlight w:val="none"/>
        </w:rPr>
        <w:t>考核软件</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1套。</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.22</w:t>
      </w:r>
      <w:r>
        <w:rPr>
          <w:rFonts w:hint="eastAsia" w:ascii="宋体" w:hAnsi="宋体" w:eastAsia="宋体" w:cs="宋体"/>
          <w:sz w:val="21"/>
          <w:szCs w:val="21"/>
          <w:highlight w:val="none"/>
        </w:rPr>
        <w:tab/>
      </w:r>
      <w:r>
        <w:rPr>
          <w:rFonts w:hint="eastAsia" w:ascii="宋体" w:hAnsi="宋体" w:eastAsia="宋体" w:cs="宋体"/>
          <w:sz w:val="21"/>
          <w:szCs w:val="21"/>
          <w:highlight w:val="none"/>
        </w:rPr>
        <w:t>部件识别系统</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1套。</w:t>
      </w:r>
    </w:p>
    <w:p>
      <w:pPr>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4.主要技术要求和参数（包括软硬件附属设备等）：</w:t>
      </w:r>
    </w:p>
    <w:p>
      <w:pPr>
        <w:spacing w:line="24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.1 基本要求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.1.1蒸压釜为双开门式蒸压釜，2种开门方式（侧开门、吊开门），含有2套电动开门装置。</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.1.2安全阀、压力表、温度表、安全联锁装置、门开关、进气阀、疏水阀、排汽阀、排污阀等均为实物，并可进行相应操作，且能够对运行状况如压力、温度等进行显示。</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.1.3要求能够实现部件识别操作、基本操作、应急处置操作等科目考试的要求，考试各部分内容所占比例部件识别占30%，基本操作占50%，应急处置占20%，所有科目考试内容应与考核大纲一致。</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.1.4满足TSG Z6001-2019《特种设备作业人员考核规则》中实操考核的要求，软件系统具有题库管理、随机组卷、自动限时计时、自动判卷评分、自动记录存档、统计、查询、汇总报表、建档和存档等数据库管理功能。</w:t>
      </w:r>
    </w:p>
    <w:p>
      <w:pPr>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.2 技术要求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.2.1 系统软件至少应具备上机操作训练功能、考核功能、试题自选试题及随机选题功能、自动组卷功能、考试计时功能、考核自动打分功能、学员信息管理功能、学员数据库管理功能、学员信息导入导出功能、数据库维护功能、备份数据库功能。</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.2.2快开门式压力容器及附属设备内安全附件和操作阀门采用电磁传感技术。 安全附件和操作阀门内部设计加工良好， 便于传感器的配置、调试、维修、更换。</w:t>
      </w:r>
    </w:p>
    <w:p>
      <w:pPr>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.2.3部件识别：嵌入考核软件中，硬件使用无线二维扫描枪，对相关操作阀门、安全附件或典型结构进行扫描识别，同时在工业触摸屏显示出识别物件相应的名称，考核端需有相应语音提示。</w:t>
      </w:r>
    </w:p>
    <w:p>
      <w:pPr>
        <w:ind w:firstLine="420" w:firstLineChars="200"/>
        <w:rPr>
          <w:rFonts w:hint="eastAsia" w:ascii="宋体" w:hAnsi="宋体" w:eastAsia="宋体" w:cs="宋体"/>
          <w:sz w:val="21"/>
          <w:szCs w:val="21"/>
          <w:highlight w:val="none"/>
        </w:rPr>
      </w:pPr>
      <w:r>
        <w:rPr>
          <w:rFonts w:hint="eastAsia" w:ascii="宋体" w:hAnsi="宋体" w:eastAsia="宋体" w:cs="宋体"/>
          <w:b w:val="0"/>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2.4工业触摸屏运行软件包括：练习界面、考核界面两个部分；练习界面应显示考题内容、考题正确步骤内容及实时显示学员每一步操作内容，学员通过触摸屏选择不同的考题进行练习；考核界面应显示考题内容实时显示学员每一步操作内容。</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.2.5工业触摸屏不小于10.2英寸。</w:t>
      </w:r>
    </w:p>
    <w:p>
      <w:pPr>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4.2.6</w:t>
      </w:r>
      <w:r>
        <w:rPr>
          <w:rFonts w:hint="eastAsia" w:ascii="宋体" w:hAnsi="宋体" w:eastAsia="宋体" w:cs="宋体"/>
          <w:sz w:val="21"/>
          <w:szCs w:val="21"/>
          <w:highlight w:val="none"/>
        </w:rPr>
        <w:t>控制终端：内存不小于4G，硬盘不小于128G，不小于23.8英寸</w:t>
      </w:r>
    </w:p>
    <w:p>
      <w:pPr>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5.技术服务与承诺：</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（1）保修期内，设备及附件由于质量问题而不能正常工作时，供方承诺在一天内到达用户现场免费修理或更换零部件。因维修不及时，而导致设备无法正常使用时，其保修时间随停机时间的长短而相应延长。</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（2）供方对设备提供终生维修服务，保修期外只收取零部件配件费和维修费用，并享有优惠购买零配件待遇。</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（3）售后服务人员无忧电话回访，主动跟踪动态服务。检查设备的运行情况，并对设备进行维护和保养。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（4）质保期内设备发生故障系设备出现质量问题，无偿更换；</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（5）设备未按照合同规定地点交货、验收之前，如发生不可力因素导致设备毁坏或灭失，由供方承担责任；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（6）供方公司提供</w:t>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rPr>
        <w:t>年的质保期；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）对设备软件终身免费升级；</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）供方免费提供：就位、设备安装、调试工作。</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）附带易损易耗物品清单及其价格表。</w:t>
      </w:r>
    </w:p>
    <w:p>
      <w:pPr>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6.培训：</w:t>
      </w:r>
    </w:p>
    <w:p>
      <w:pPr>
        <w:ind w:firstLine="420" w:firstLineChars="200"/>
        <w:jc w:val="left"/>
        <w:outlineLvl w:val="9"/>
        <w:rPr>
          <w:rFonts w:hint="eastAsia" w:ascii="宋体" w:hAnsi="宋体" w:eastAsia="宋体" w:cs="宋体"/>
          <w:b/>
          <w:bCs/>
          <w:color w:val="auto"/>
          <w:kern w:val="0"/>
          <w:sz w:val="21"/>
          <w:szCs w:val="21"/>
          <w:highlight w:val="none"/>
          <w:shd w:val="clear" w:color="auto" w:fill="FFFFFF"/>
          <w:lang w:val="en-US" w:eastAsia="zh-CN"/>
        </w:rPr>
      </w:pPr>
      <w:r>
        <w:rPr>
          <w:rFonts w:hint="eastAsia" w:ascii="宋体" w:hAnsi="宋体" w:eastAsia="宋体" w:cs="宋体"/>
          <w:sz w:val="21"/>
          <w:szCs w:val="21"/>
          <w:highlight w:val="none"/>
        </w:rPr>
        <w:t>供方负责拟定免费培训；设备安装调试最终验收合格后，由供方专业技术人员为用户安排2～3天的操作培训、维护人员的免费培训。主要培训操作人员对设备基本原理、软件使用、操作、维护等的理解及应用，并达到用户操作人员能独立操作设备、服务</w:t>
      </w:r>
      <w:r>
        <w:rPr>
          <w:rFonts w:hint="eastAsia" w:ascii="宋体" w:hAnsi="宋体" w:eastAsia="宋体" w:cs="宋体"/>
          <w:sz w:val="21"/>
          <w:szCs w:val="21"/>
          <w:highlight w:val="none"/>
          <w:lang w:val="en-US" w:eastAsia="zh-CN"/>
        </w:rPr>
        <w:t>考试</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故障排除</w:t>
      </w:r>
      <w:r>
        <w:rPr>
          <w:rFonts w:hint="eastAsia" w:ascii="宋体" w:hAnsi="宋体" w:eastAsia="宋体" w:cs="宋体"/>
          <w:sz w:val="21"/>
          <w:szCs w:val="21"/>
          <w:highlight w:val="none"/>
        </w:rPr>
        <w:t>工作和基本的维护工作。</w:t>
      </w:r>
    </w:p>
    <w:p>
      <w:pPr>
        <w:rPr>
          <w:rFonts w:hint="eastAsia" w:ascii="宋体" w:hAnsi="宋体" w:eastAsia="宋体" w:cs="宋体"/>
          <w:b/>
          <w:bCs/>
          <w:color w:val="auto"/>
          <w:kern w:val="0"/>
          <w:sz w:val="24"/>
          <w:szCs w:val="24"/>
          <w:highlight w:val="none"/>
          <w:shd w:val="clear" w:color="auto" w:fill="FFFFFF"/>
          <w:lang w:val="en-US" w:eastAsia="zh-CN"/>
        </w:rPr>
      </w:pPr>
      <w:r>
        <w:rPr>
          <w:rFonts w:hint="eastAsia" w:ascii="宋体" w:hAnsi="宋体" w:eastAsia="宋体" w:cs="宋体"/>
          <w:b/>
          <w:bCs/>
          <w:color w:val="auto"/>
          <w:kern w:val="0"/>
          <w:sz w:val="24"/>
          <w:szCs w:val="24"/>
          <w:highlight w:val="none"/>
          <w:shd w:val="clear" w:color="auto" w:fill="FFFFFF"/>
          <w:lang w:val="en-US" w:eastAsia="zh-CN"/>
        </w:rPr>
        <w:br w:type="page"/>
      </w:r>
    </w:p>
    <w:p>
      <w:pPr>
        <w:jc w:val="center"/>
        <w:outlineLvl w:val="2"/>
        <w:rPr>
          <w:rFonts w:hint="eastAsia" w:ascii="宋体" w:hAnsi="宋体" w:eastAsia="宋体" w:cs="宋体"/>
          <w:b/>
          <w:bCs/>
          <w:color w:val="auto"/>
          <w:kern w:val="0"/>
          <w:sz w:val="24"/>
          <w:szCs w:val="24"/>
          <w:highlight w:val="none"/>
          <w:shd w:val="clear" w:color="auto" w:fill="FFFFFF"/>
          <w:lang w:val="en-US" w:eastAsia="zh-CN"/>
        </w:rPr>
      </w:pPr>
      <w:r>
        <w:rPr>
          <w:rFonts w:hint="eastAsia" w:ascii="宋体" w:hAnsi="宋体" w:eastAsia="宋体" w:cs="宋体"/>
          <w:b/>
          <w:bCs/>
          <w:color w:val="auto"/>
          <w:kern w:val="0"/>
          <w:sz w:val="24"/>
          <w:szCs w:val="24"/>
          <w:highlight w:val="none"/>
          <w:shd w:val="clear" w:color="auto" w:fill="FFFFFF"/>
          <w:lang w:val="en-US" w:eastAsia="zh-CN"/>
        </w:rPr>
        <w:t>包3</w:t>
      </w:r>
      <w:r>
        <w:rPr>
          <w:rFonts w:hint="eastAsia" w:ascii="宋体" w:hAnsi="宋体" w:eastAsia="宋体" w:cs="宋体"/>
          <w:b/>
          <w:bCs/>
          <w:color w:val="auto"/>
          <w:kern w:val="0"/>
          <w:sz w:val="24"/>
          <w:szCs w:val="24"/>
          <w:highlight w:val="none"/>
          <w:shd w:val="clear" w:color="auto" w:fill="FFFFFF"/>
        </w:rPr>
        <w:t>设备技术参数</w:t>
      </w:r>
      <w:r>
        <w:rPr>
          <w:rFonts w:hint="eastAsia" w:ascii="宋体" w:hAnsi="宋体" w:eastAsia="宋体" w:cs="宋体"/>
          <w:b/>
          <w:bCs/>
          <w:color w:val="auto"/>
          <w:kern w:val="0"/>
          <w:sz w:val="24"/>
          <w:szCs w:val="24"/>
          <w:highlight w:val="none"/>
          <w:shd w:val="clear" w:color="auto" w:fill="FFFFFF"/>
          <w:lang w:val="en-US" w:eastAsia="zh-CN"/>
        </w:rPr>
        <w:t>：</w:t>
      </w:r>
    </w:p>
    <w:p>
      <w:pPr>
        <w:spacing w:line="360" w:lineRule="auto"/>
        <w:contextualSpacing/>
        <w:jc w:val="center"/>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移动式压力容器（LNG槽车)考培设备技术参数</w:t>
      </w:r>
    </w:p>
    <w:p>
      <w:pPr>
        <w:ind w:firstLine="422" w:firstLineChars="200"/>
        <w:rPr>
          <w:rFonts w:hint="eastAsia" w:ascii="宋体" w:hAnsi="宋体" w:eastAsia="宋体" w:cs="宋体"/>
          <w:sz w:val="21"/>
          <w:szCs w:val="21"/>
          <w:highlight w:val="none"/>
          <w:lang w:eastAsia="zh-CN"/>
        </w:rPr>
      </w:pPr>
      <w:r>
        <w:rPr>
          <w:rFonts w:hint="eastAsia" w:ascii="宋体" w:hAnsi="宋体" w:eastAsia="宋体" w:cs="宋体"/>
          <w:b/>
          <w:sz w:val="21"/>
          <w:szCs w:val="21"/>
          <w:highlight w:val="none"/>
        </w:rPr>
        <w:t xml:space="preserve">1.设备名称： </w:t>
      </w:r>
      <w:r>
        <w:rPr>
          <w:rFonts w:hint="eastAsia" w:ascii="宋体" w:hAnsi="宋体" w:eastAsia="宋体" w:cs="宋体"/>
          <w:b w:val="0"/>
          <w:sz w:val="21"/>
          <w:szCs w:val="21"/>
          <w:highlight w:val="none"/>
        </w:rPr>
        <w:t>移动式压力容器（LNG槽车)考培</w:t>
      </w:r>
      <w:r>
        <w:rPr>
          <w:rFonts w:hint="eastAsia" w:ascii="宋体" w:hAnsi="宋体" w:eastAsia="宋体" w:cs="宋体"/>
          <w:sz w:val="21"/>
          <w:szCs w:val="21"/>
          <w:highlight w:val="none"/>
          <w:lang w:eastAsia="zh-CN"/>
        </w:rPr>
        <w:t>模拟机</w:t>
      </w:r>
    </w:p>
    <w:p>
      <w:pPr>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2.主要用途：</w:t>
      </w:r>
      <w:r>
        <w:rPr>
          <w:rFonts w:hint="eastAsia" w:ascii="宋体" w:hAnsi="宋体" w:eastAsia="宋体" w:cs="宋体"/>
          <w:sz w:val="21"/>
          <w:szCs w:val="21"/>
          <w:highlight w:val="none"/>
        </w:rPr>
        <w:t>特种设备作业人员考核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3.1总体要求：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（1）设备必须采用国际上同行业中先进成熟的设计思想，制造技术；</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（2）设备在质量上必须具有优良的品质，即可靠性要高，使用寿命长；</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（3）设备必须具有良好的操作性，方便的维修性，可靠的安全性；</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（4）采用全新产品，并标明生产商、品牌与产地，并附原产地证明；</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（5）质量保证期应为设备安装调试验收合格之日起</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 主要配置：</w:t>
      </w:r>
    </w:p>
    <w:p>
      <w:pPr>
        <w:spacing w:line="360"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b w:val="0"/>
          <w:sz w:val="21"/>
          <w:szCs w:val="21"/>
          <w:highlight w:val="none"/>
        </w:rPr>
        <w:t>移动式压力容器（LNG槽车)考培</w:t>
      </w:r>
      <w:r>
        <w:rPr>
          <w:rFonts w:hint="eastAsia" w:ascii="宋体" w:hAnsi="宋体" w:eastAsia="宋体" w:cs="宋体"/>
          <w:sz w:val="21"/>
          <w:szCs w:val="21"/>
          <w:highlight w:val="none"/>
          <w:lang w:eastAsia="zh-CN"/>
        </w:rPr>
        <w:t>模拟机</w:t>
      </w:r>
      <w:r>
        <w:rPr>
          <w:rFonts w:hint="eastAsia" w:ascii="宋体" w:hAnsi="宋体" w:eastAsia="宋体" w:cs="宋体"/>
          <w:sz w:val="21"/>
          <w:szCs w:val="21"/>
          <w:highlight w:val="none"/>
          <w:lang w:val="en-US" w:eastAsia="zh-CN"/>
        </w:rPr>
        <w:t>(共6套)</w:t>
      </w:r>
    </w:p>
    <w:p>
      <w:pPr>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标准</w:t>
      </w:r>
      <w:r>
        <w:rPr>
          <w:rFonts w:hint="eastAsia" w:ascii="宋体" w:hAnsi="宋体" w:eastAsia="宋体" w:cs="宋体"/>
          <w:sz w:val="21"/>
          <w:szCs w:val="21"/>
          <w:highlight w:val="none"/>
        </w:rPr>
        <w:t>配置</w:t>
      </w:r>
      <w:r>
        <w:rPr>
          <w:rFonts w:hint="eastAsia" w:ascii="宋体" w:hAnsi="宋体" w:eastAsia="宋体" w:cs="宋体"/>
          <w:sz w:val="21"/>
          <w:szCs w:val="21"/>
          <w:highlight w:val="none"/>
          <w:lang w:eastAsia="zh-CN"/>
        </w:rPr>
        <w:t>：</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w:t>
      </w:r>
      <w:r>
        <w:rPr>
          <w:rFonts w:hint="eastAsia" w:ascii="宋体" w:hAnsi="宋体" w:eastAsia="宋体" w:cs="宋体"/>
          <w:sz w:val="21"/>
          <w:szCs w:val="21"/>
          <w:highlight w:val="none"/>
        </w:rPr>
        <w:tab/>
      </w:r>
      <w:r>
        <w:rPr>
          <w:rFonts w:hint="eastAsia" w:ascii="宋体" w:hAnsi="宋体" w:eastAsia="宋体" w:cs="宋体"/>
          <w:sz w:val="21"/>
          <w:szCs w:val="21"/>
          <w:highlight w:val="none"/>
        </w:rPr>
        <w:t>充装台</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1台。</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w:t>
      </w:r>
      <w:r>
        <w:rPr>
          <w:rFonts w:hint="eastAsia" w:ascii="宋体" w:hAnsi="宋体" w:eastAsia="宋体" w:cs="宋体"/>
          <w:sz w:val="21"/>
          <w:szCs w:val="21"/>
          <w:highlight w:val="none"/>
        </w:rPr>
        <w:tab/>
      </w:r>
      <w:r>
        <w:rPr>
          <w:rFonts w:hint="eastAsia" w:ascii="宋体" w:hAnsi="宋体" w:eastAsia="宋体" w:cs="宋体"/>
          <w:sz w:val="21"/>
          <w:szCs w:val="21"/>
          <w:highlight w:val="none"/>
        </w:rPr>
        <w:t>液体进出管路</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1条，规格：DN25。</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.3</w:t>
      </w:r>
      <w:r>
        <w:rPr>
          <w:rFonts w:hint="eastAsia" w:ascii="宋体" w:hAnsi="宋体" w:eastAsia="宋体" w:cs="宋体"/>
          <w:sz w:val="21"/>
          <w:szCs w:val="21"/>
          <w:highlight w:val="none"/>
        </w:rPr>
        <w:tab/>
      </w:r>
      <w:r>
        <w:rPr>
          <w:rFonts w:hint="eastAsia" w:ascii="宋体" w:hAnsi="宋体" w:eastAsia="宋体" w:cs="宋体"/>
          <w:sz w:val="21"/>
          <w:szCs w:val="21"/>
          <w:highlight w:val="none"/>
        </w:rPr>
        <w:t>增压管路</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1条，规格：DN25。</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.4</w:t>
      </w:r>
      <w:r>
        <w:rPr>
          <w:rFonts w:hint="eastAsia" w:ascii="宋体" w:hAnsi="宋体" w:eastAsia="宋体" w:cs="宋体"/>
          <w:sz w:val="21"/>
          <w:szCs w:val="21"/>
          <w:highlight w:val="none"/>
        </w:rPr>
        <w:tab/>
      </w:r>
      <w:r>
        <w:rPr>
          <w:rFonts w:hint="eastAsia" w:ascii="宋体" w:hAnsi="宋体" w:eastAsia="宋体" w:cs="宋体"/>
          <w:sz w:val="21"/>
          <w:szCs w:val="21"/>
          <w:highlight w:val="none"/>
        </w:rPr>
        <w:t>气相管路</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1条，规格：DN25。</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.5</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侧满管路</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1条，规格：DN10。</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.6</w:t>
      </w:r>
      <w:r>
        <w:rPr>
          <w:rFonts w:hint="eastAsia" w:ascii="宋体" w:hAnsi="宋体" w:eastAsia="宋体" w:cs="宋体"/>
          <w:sz w:val="21"/>
          <w:szCs w:val="21"/>
          <w:highlight w:val="none"/>
        </w:rPr>
        <w:tab/>
      </w:r>
      <w:r>
        <w:rPr>
          <w:rFonts w:hint="eastAsia" w:ascii="宋体" w:hAnsi="宋体" w:eastAsia="宋体" w:cs="宋体"/>
          <w:sz w:val="21"/>
          <w:szCs w:val="21"/>
          <w:highlight w:val="none"/>
        </w:rPr>
        <w:t>安全阀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2个，规格：DN10。</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.7</w:t>
      </w:r>
      <w:r>
        <w:rPr>
          <w:rFonts w:hint="eastAsia" w:ascii="宋体" w:hAnsi="宋体" w:eastAsia="宋体" w:cs="宋体"/>
          <w:sz w:val="21"/>
          <w:szCs w:val="21"/>
          <w:highlight w:val="none"/>
        </w:rPr>
        <w:tab/>
      </w:r>
      <w:r>
        <w:rPr>
          <w:rFonts w:hint="eastAsia" w:ascii="宋体" w:hAnsi="宋体" w:eastAsia="宋体" w:cs="宋体"/>
          <w:sz w:val="21"/>
          <w:szCs w:val="21"/>
          <w:highlight w:val="none"/>
        </w:rPr>
        <w:t>低温长轴截止阀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5个，规格：DN25。</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.8</w:t>
      </w:r>
      <w:r>
        <w:rPr>
          <w:rFonts w:hint="eastAsia" w:ascii="宋体" w:hAnsi="宋体" w:eastAsia="宋体" w:cs="宋体"/>
          <w:sz w:val="21"/>
          <w:szCs w:val="21"/>
          <w:highlight w:val="none"/>
        </w:rPr>
        <w:tab/>
      </w:r>
      <w:r>
        <w:rPr>
          <w:rFonts w:hint="eastAsia" w:ascii="宋体" w:hAnsi="宋体" w:eastAsia="宋体" w:cs="宋体"/>
          <w:sz w:val="21"/>
          <w:szCs w:val="21"/>
          <w:highlight w:val="none"/>
        </w:rPr>
        <w:t>低温长轴截止阀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6个，规格：DN10。</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.9</w:t>
      </w:r>
      <w:r>
        <w:rPr>
          <w:rFonts w:hint="eastAsia" w:ascii="宋体" w:hAnsi="宋体" w:eastAsia="宋体" w:cs="宋体"/>
          <w:sz w:val="21"/>
          <w:szCs w:val="21"/>
          <w:highlight w:val="none"/>
        </w:rPr>
        <w:tab/>
      </w:r>
      <w:r>
        <w:rPr>
          <w:rFonts w:hint="eastAsia" w:ascii="宋体" w:hAnsi="宋体" w:eastAsia="宋体" w:cs="宋体"/>
          <w:sz w:val="21"/>
          <w:szCs w:val="21"/>
          <w:highlight w:val="none"/>
        </w:rPr>
        <w:t>低温紧急切断阀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3个，规格：DN25。</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.10</w:t>
      </w:r>
      <w:r>
        <w:rPr>
          <w:rFonts w:hint="eastAsia" w:ascii="宋体" w:hAnsi="宋体" w:eastAsia="宋体" w:cs="宋体"/>
          <w:sz w:val="21"/>
          <w:szCs w:val="21"/>
          <w:highlight w:val="none"/>
        </w:rPr>
        <w:tab/>
      </w:r>
      <w:r>
        <w:rPr>
          <w:rFonts w:hint="eastAsia" w:ascii="宋体" w:hAnsi="宋体" w:eastAsia="宋体" w:cs="宋体"/>
          <w:sz w:val="21"/>
          <w:szCs w:val="21"/>
          <w:highlight w:val="none"/>
        </w:rPr>
        <w:t>低温组合阀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1个，规格：DN25。</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.11</w:t>
      </w:r>
      <w:r>
        <w:rPr>
          <w:rFonts w:hint="eastAsia" w:ascii="宋体" w:hAnsi="宋体" w:eastAsia="宋体" w:cs="宋体"/>
          <w:sz w:val="21"/>
          <w:szCs w:val="21"/>
          <w:highlight w:val="none"/>
        </w:rPr>
        <w:tab/>
      </w:r>
      <w:r>
        <w:rPr>
          <w:rFonts w:hint="eastAsia" w:ascii="宋体" w:hAnsi="宋体" w:eastAsia="宋体" w:cs="宋体"/>
          <w:sz w:val="21"/>
          <w:szCs w:val="21"/>
          <w:highlight w:val="none"/>
        </w:rPr>
        <w:t>阻火器</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1个，规格：DN25。</w:t>
      </w:r>
    </w:p>
    <w:p>
      <w:pPr>
        <w:spacing w:line="240" w:lineRule="auto"/>
        <w:ind w:firstLine="420" w:firstLineChars="200"/>
        <w:rPr>
          <w:rFonts w:hint="eastAsia" w:ascii="宋体" w:hAnsi="宋体" w:eastAsia="宋体" w:cs="宋体"/>
          <w:bCs w:val="0"/>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.12</w:t>
      </w:r>
      <w:r>
        <w:rPr>
          <w:rFonts w:hint="eastAsia" w:ascii="宋体" w:hAnsi="宋体" w:eastAsia="宋体" w:cs="宋体"/>
          <w:sz w:val="21"/>
          <w:szCs w:val="21"/>
          <w:highlight w:val="none"/>
        </w:rPr>
        <w:tab/>
      </w:r>
      <w:r>
        <w:rPr>
          <w:rFonts w:hint="eastAsia" w:ascii="宋体" w:hAnsi="宋体" w:eastAsia="宋体" w:cs="宋体"/>
          <w:sz w:val="21"/>
          <w:szCs w:val="21"/>
          <w:highlight w:val="none"/>
        </w:rPr>
        <w:t>压力表</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1只，规格：0~1.6MPa</w:t>
      </w:r>
      <w:r>
        <w:rPr>
          <w:rFonts w:hint="eastAsia" w:ascii="宋体" w:hAnsi="宋体" w:eastAsia="宋体" w:cs="宋体"/>
          <w:bCs w:val="0"/>
          <w:sz w:val="21"/>
          <w:szCs w:val="21"/>
          <w:highlight w:val="none"/>
        </w:rPr>
        <w:t>；表盘</w:t>
      </w:r>
      <w:r>
        <w:rPr>
          <w:rFonts w:hint="eastAsia" w:ascii="宋体" w:hAnsi="宋体" w:eastAsia="宋体" w:cs="宋体"/>
          <w:sz w:val="21"/>
          <w:szCs w:val="21"/>
          <w:highlight w:val="none"/>
        </w:rPr>
        <w:t>直径不小于100mm</w:t>
      </w:r>
      <w:r>
        <w:rPr>
          <w:rFonts w:hint="eastAsia" w:ascii="宋体" w:hAnsi="宋体" w:eastAsia="宋体" w:cs="宋体"/>
          <w:bCs w:val="0"/>
          <w:sz w:val="21"/>
          <w:szCs w:val="21"/>
          <w:highlight w:val="none"/>
        </w:rPr>
        <w:t>。</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.13</w:t>
      </w:r>
      <w:r>
        <w:rPr>
          <w:rFonts w:hint="eastAsia" w:ascii="宋体" w:hAnsi="宋体" w:eastAsia="宋体" w:cs="宋体"/>
          <w:sz w:val="21"/>
          <w:szCs w:val="21"/>
          <w:highlight w:val="none"/>
        </w:rPr>
        <w:tab/>
      </w:r>
      <w:r>
        <w:rPr>
          <w:rFonts w:hint="eastAsia" w:ascii="宋体" w:hAnsi="宋体" w:eastAsia="宋体" w:cs="宋体"/>
          <w:sz w:val="21"/>
          <w:szCs w:val="21"/>
          <w:highlight w:val="none"/>
        </w:rPr>
        <w:t>低温组合差压液位计</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1套，规格：</w:t>
      </w:r>
      <w:r>
        <w:rPr>
          <w:rFonts w:hint="eastAsia" w:ascii="宋体" w:hAnsi="宋体" w:eastAsia="宋体" w:cs="宋体"/>
          <w:bCs w:val="0"/>
          <w:sz w:val="21"/>
          <w:szCs w:val="21"/>
          <w:highlight w:val="none"/>
        </w:rPr>
        <w:t>0~</w:t>
      </w:r>
      <w:r>
        <w:rPr>
          <w:rFonts w:hint="eastAsia" w:ascii="宋体" w:hAnsi="宋体" w:eastAsia="宋体" w:cs="宋体"/>
          <w:sz w:val="21"/>
          <w:szCs w:val="21"/>
          <w:highlight w:val="none"/>
        </w:rPr>
        <w:t>2000mm</w:t>
      </w:r>
      <w:r>
        <w:rPr>
          <w:rFonts w:hint="eastAsia" w:ascii="宋体" w:hAnsi="宋体" w:eastAsia="宋体" w:cs="宋体"/>
          <w:bCs w:val="0"/>
          <w:sz w:val="21"/>
          <w:szCs w:val="21"/>
          <w:highlight w:val="none"/>
        </w:rPr>
        <w:t>；表盘</w:t>
      </w:r>
      <w:r>
        <w:rPr>
          <w:rFonts w:hint="eastAsia" w:ascii="宋体" w:hAnsi="宋体" w:eastAsia="宋体" w:cs="宋体"/>
          <w:sz w:val="21"/>
          <w:szCs w:val="21"/>
          <w:highlight w:val="none"/>
        </w:rPr>
        <w:t>直径不小于150mm</w:t>
      </w:r>
      <w:r>
        <w:rPr>
          <w:rFonts w:hint="eastAsia" w:ascii="宋体" w:hAnsi="宋体" w:eastAsia="宋体" w:cs="宋体"/>
          <w:bCs w:val="0"/>
          <w:sz w:val="21"/>
          <w:szCs w:val="21"/>
          <w:highlight w:val="none"/>
        </w:rPr>
        <w:t>。</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.14</w:t>
      </w:r>
      <w:r>
        <w:rPr>
          <w:rFonts w:hint="eastAsia" w:ascii="宋体" w:hAnsi="宋体" w:eastAsia="宋体" w:cs="宋体"/>
          <w:sz w:val="21"/>
          <w:szCs w:val="21"/>
          <w:highlight w:val="none"/>
        </w:rPr>
        <w:tab/>
      </w:r>
      <w:r>
        <w:rPr>
          <w:rFonts w:hint="eastAsia" w:ascii="宋体" w:hAnsi="宋体" w:eastAsia="宋体" w:cs="宋体"/>
          <w:sz w:val="21"/>
          <w:szCs w:val="21"/>
          <w:highlight w:val="none"/>
        </w:rPr>
        <w:t>两位三通阀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1个，规格：DN5。</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.15</w:t>
      </w:r>
      <w:r>
        <w:rPr>
          <w:rFonts w:hint="eastAsia" w:ascii="宋体" w:hAnsi="宋体" w:eastAsia="宋体" w:cs="宋体"/>
          <w:sz w:val="21"/>
          <w:szCs w:val="21"/>
          <w:highlight w:val="none"/>
        </w:rPr>
        <w:tab/>
      </w:r>
      <w:r>
        <w:rPr>
          <w:rFonts w:hint="eastAsia" w:ascii="宋体" w:hAnsi="宋体" w:eastAsia="宋体" w:cs="宋体"/>
          <w:sz w:val="21"/>
          <w:szCs w:val="21"/>
          <w:highlight w:val="none"/>
        </w:rPr>
        <w:t>盲法兰</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3个，规格：DN25。</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.16</w:t>
      </w:r>
      <w:r>
        <w:rPr>
          <w:rFonts w:hint="eastAsia" w:ascii="宋体" w:hAnsi="宋体" w:eastAsia="宋体" w:cs="宋体"/>
          <w:sz w:val="21"/>
          <w:szCs w:val="21"/>
          <w:highlight w:val="none"/>
        </w:rPr>
        <w:tab/>
      </w:r>
      <w:r>
        <w:rPr>
          <w:rFonts w:hint="eastAsia" w:ascii="宋体" w:hAnsi="宋体" w:eastAsia="宋体" w:cs="宋体"/>
          <w:sz w:val="21"/>
          <w:szCs w:val="21"/>
          <w:highlight w:val="none"/>
        </w:rPr>
        <w:t>静电接地夹</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.17</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操作按钮</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15个。</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.18</w:t>
      </w:r>
      <w:r>
        <w:rPr>
          <w:rFonts w:hint="eastAsia" w:ascii="宋体" w:hAnsi="宋体" w:eastAsia="宋体" w:cs="宋体"/>
          <w:sz w:val="21"/>
          <w:szCs w:val="21"/>
          <w:highlight w:val="none"/>
        </w:rPr>
        <w:tab/>
      </w:r>
      <w:r>
        <w:rPr>
          <w:rFonts w:hint="eastAsia" w:ascii="宋体" w:hAnsi="宋体" w:eastAsia="宋体" w:cs="宋体"/>
          <w:sz w:val="21"/>
          <w:szCs w:val="21"/>
          <w:highlight w:val="none"/>
        </w:rPr>
        <w:t>设备铭牌</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.19</w:t>
      </w:r>
      <w:r>
        <w:rPr>
          <w:rFonts w:hint="eastAsia" w:ascii="宋体" w:hAnsi="宋体" w:eastAsia="宋体" w:cs="宋体"/>
          <w:sz w:val="21"/>
          <w:szCs w:val="21"/>
          <w:highlight w:val="none"/>
        </w:rPr>
        <w:tab/>
      </w:r>
      <w:r>
        <w:rPr>
          <w:rFonts w:hint="eastAsia" w:ascii="宋体" w:hAnsi="宋体" w:eastAsia="宋体" w:cs="宋体"/>
          <w:sz w:val="21"/>
          <w:szCs w:val="21"/>
          <w:highlight w:val="none"/>
        </w:rPr>
        <w:t>可编程控制器</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1套。</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.20</w:t>
      </w:r>
      <w:r>
        <w:rPr>
          <w:rFonts w:hint="eastAsia" w:ascii="宋体" w:hAnsi="宋体" w:eastAsia="宋体" w:cs="宋体"/>
          <w:sz w:val="21"/>
          <w:szCs w:val="21"/>
          <w:highlight w:val="none"/>
        </w:rPr>
        <w:tab/>
      </w:r>
      <w:r>
        <w:rPr>
          <w:rFonts w:hint="eastAsia" w:ascii="宋体" w:hAnsi="宋体" w:eastAsia="宋体" w:cs="宋体"/>
          <w:sz w:val="21"/>
          <w:szCs w:val="21"/>
          <w:highlight w:val="none"/>
        </w:rPr>
        <w:t>工业触摸屏</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.21</w:t>
      </w:r>
      <w:r>
        <w:rPr>
          <w:rFonts w:hint="eastAsia" w:ascii="宋体" w:hAnsi="宋体" w:eastAsia="宋体" w:cs="宋体"/>
          <w:sz w:val="21"/>
          <w:szCs w:val="21"/>
          <w:highlight w:val="none"/>
        </w:rPr>
        <w:tab/>
      </w:r>
      <w:r>
        <w:rPr>
          <w:rFonts w:hint="eastAsia" w:ascii="宋体" w:hAnsi="宋体" w:eastAsia="宋体" w:cs="宋体"/>
          <w:sz w:val="21"/>
          <w:szCs w:val="21"/>
          <w:highlight w:val="none"/>
        </w:rPr>
        <w:t>扫描枪</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1把。</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.22</w:t>
      </w:r>
      <w:r>
        <w:rPr>
          <w:rFonts w:hint="eastAsia" w:ascii="宋体" w:hAnsi="宋体" w:eastAsia="宋体" w:cs="宋体"/>
          <w:sz w:val="21"/>
          <w:szCs w:val="21"/>
          <w:highlight w:val="none"/>
        </w:rPr>
        <w:tab/>
      </w:r>
      <w:r>
        <w:rPr>
          <w:rFonts w:hint="eastAsia" w:ascii="宋体" w:hAnsi="宋体" w:eastAsia="宋体" w:cs="宋体"/>
          <w:sz w:val="21"/>
          <w:szCs w:val="21"/>
          <w:highlight w:val="none"/>
        </w:rPr>
        <w:t>控制终端</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1台。</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.23</w:t>
      </w:r>
      <w:r>
        <w:rPr>
          <w:rFonts w:hint="eastAsia" w:ascii="宋体" w:hAnsi="宋体" w:eastAsia="宋体" w:cs="宋体"/>
          <w:sz w:val="21"/>
          <w:szCs w:val="21"/>
          <w:highlight w:val="none"/>
        </w:rPr>
        <w:tab/>
      </w:r>
      <w:r>
        <w:rPr>
          <w:rFonts w:hint="eastAsia" w:ascii="宋体" w:hAnsi="宋体" w:eastAsia="宋体" w:cs="宋体"/>
          <w:sz w:val="21"/>
          <w:szCs w:val="21"/>
          <w:highlight w:val="none"/>
        </w:rPr>
        <w:t>考核软件</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1套。</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.24</w:t>
      </w:r>
      <w:r>
        <w:rPr>
          <w:rFonts w:hint="eastAsia" w:ascii="宋体" w:hAnsi="宋体" w:eastAsia="宋体" w:cs="宋体"/>
          <w:sz w:val="21"/>
          <w:szCs w:val="21"/>
          <w:highlight w:val="none"/>
        </w:rPr>
        <w:tab/>
      </w:r>
      <w:r>
        <w:rPr>
          <w:rFonts w:hint="eastAsia" w:ascii="宋体" w:hAnsi="宋体" w:eastAsia="宋体" w:cs="宋体"/>
          <w:sz w:val="21"/>
          <w:szCs w:val="21"/>
          <w:highlight w:val="none"/>
        </w:rPr>
        <w:t>部件识别系统</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1套。</w:t>
      </w:r>
    </w:p>
    <w:p>
      <w:pPr>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4.主要技术要求和参数（包括软硬件附属设备等）：</w:t>
      </w:r>
    </w:p>
    <w:p>
      <w:pPr>
        <w:spacing w:line="24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.1 基本要求</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1.1顶部进液阀、底部进出液阀、气相阀、增压阀、放散阀、设备排放阀、液相紧急切断阀、气相紧急切断阀、增压紧急切断阀、安全阀、组合阀、液位计液相阀、液位计气相阀、液位计平衡阀等均为真实LNG专用低温阀门，组合差压液位计够对运行状况如装卸压力、液位等进行模拟显示。</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.1.2阀门操作箱按照LNG槽车的实际工艺制作。配备的安全附件和操作阀门为LNG槽车常用真实部件。</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.1.3 要求能够实现部件识别操作、基本操作、应急处置操作等科目考试的要求，考试各部分内容所占比例部件识别占30%，基本操作占50%，应急处置占20%，所有科目考试内容应与考核大纲一致。</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.1.4充装台及附属设备内安全附件和操作阀门采用电磁传感技术。 安全附件和操作阀门内部设计加工良好， 便于传感器的配置、调试、维修、更换。</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.1.5满足TSG Z6001-2019《特种设备作业人员考核规则》中实操考核的要求，软件系统具有题库管理、随机组卷、自动限时计时、自动判卷评分、自动记录存档、统计、查询、汇总报表、建档和存档等数据库管理功能。</w:t>
      </w:r>
    </w:p>
    <w:p>
      <w:pPr>
        <w:spacing w:line="240" w:lineRule="auto"/>
        <w:ind w:left="0" w:leftChars="0"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.2 技术要求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2.1应用软件至少应具备移动式压力容器典型结构、主要受压元件、基本参数、容器内介质特性；移动式压力容器的安全附件和承压附件检查；充装和卸载作业前检查；充装和卸载作业要求；卸载作业后检查；移动式压力容器日常维护保养、日常故障处理；移动式压力容器紧急情况处理操作。</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.2.2系统软件至少应具备LNG槽车工作流程与正确操作演示功能、上机操作训练功能、考核功能、考试计时功能、考核自动打分功能、学员信息管理功能、学员数据库管理功能、学员信息导入导出功能。</w:t>
      </w:r>
    </w:p>
    <w:p>
      <w:pPr>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.2.3部件识别：嵌入考核软件中，硬件使用无线二维扫描枪，对相关操作阀门、安全附件或典型结构进行扫描识别，同时在工业触摸屏显示出识别物件相应的名称，考核端需有相应语音提示。</w:t>
      </w:r>
    </w:p>
    <w:p>
      <w:pPr>
        <w:ind w:firstLine="420" w:firstLineChars="200"/>
        <w:rPr>
          <w:rFonts w:hint="eastAsia" w:ascii="宋体" w:hAnsi="宋体" w:eastAsia="宋体" w:cs="宋体"/>
          <w:sz w:val="21"/>
          <w:szCs w:val="21"/>
          <w:highlight w:val="none"/>
        </w:rPr>
      </w:pPr>
      <w:r>
        <w:rPr>
          <w:rFonts w:hint="eastAsia" w:ascii="宋体" w:hAnsi="宋体" w:eastAsia="宋体" w:cs="宋体"/>
          <w:b w:val="0"/>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2.4工业触摸屏运行软件包括练习界面、考核界面两个部分；练习界面应显示考题内容、考题正确步骤内容及实时显示学员每一步操作内容，学员通过触摸屏选择不同的考题进行练习；考核界面应显示考题内容实时显示学员每一步操作内容。</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.2.5工业触摸屏不小于10.2英寸。</w:t>
      </w:r>
    </w:p>
    <w:p>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控制终端</w:t>
      </w:r>
      <w:r>
        <w:rPr>
          <w:rFonts w:hint="eastAsia" w:ascii="宋体" w:hAnsi="宋体" w:eastAsia="宋体" w:cs="宋体"/>
          <w:color w:val="000000"/>
          <w:sz w:val="21"/>
          <w:szCs w:val="21"/>
          <w:highlight w:val="none"/>
        </w:rPr>
        <w:t>：内存</w:t>
      </w:r>
      <w:r>
        <w:rPr>
          <w:rFonts w:hint="eastAsia" w:ascii="宋体" w:hAnsi="宋体" w:eastAsia="宋体" w:cs="宋体"/>
          <w:sz w:val="21"/>
          <w:szCs w:val="21"/>
          <w:highlight w:val="none"/>
        </w:rPr>
        <w:t>不小于</w:t>
      </w:r>
      <w:r>
        <w:rPr>
          <w:rFonts w:hint="eastAsia" w:ascii="宋体" w:hAnsi="宋体" w:eastAsia="宋体" w:cs="宋体"/>
          <w:color w:val="000000"/>
          <w:sz w:val="21"/>
          <w:szCs w:val="21"/>
          <w:highlight w:val="none"/>
        </w:rPr>
        <w:t>4G，硬盘</w:t>
      </w:r>
      <w:r>
        <w:rPr>
          <w:rFonts w:hint="eastAsia" w:ascii="宋体" w:hAnsi="宋体" w:eastAsia="宋体" w:cs="宋体"/>
          <w:sz w:val="21"/>
          <w:szCs w:val="21"/>
          <w:highlight w:val="none"/>
        </w:rPr>
        <w:t>不小于</w:t>
      </w:r>
      <w:r>
        <w:rPr>
          <w:rFonts w:hint="eastAsia" w:ascii="宋体" w:hAnsi="宋体" w:eastAsia="宋体" w:cs="宋体"/>
          <w:color w:val="000000"/>
          <w:sz w:val="21"/>
          <w:szCs w:val="21"/>
          <w:highlight w:val="none"/>
        </w:rPr>
        <w:t>128G，</w:t>
      </w:r>
      <w:r>
        <w:rPr>
          <w:rFonts w:hint="eastAsia" w:ascii="宋体" w:hAnsi="宋体" w:eastAsia="宋体" w:cs="宋体"/>
          <w:sz w:val="21"/>
          <w:szCs w:val="21"/>
          <w:highlight w:val="none"/>
        </w:rPr>
        <w:t>不小于</w:t>
      </w:r>
      <w:r>
        <w:rPr>
          <w:rFonts w:hint="eastAsia" w:ascii="宋体" w:hAnsi="宋体" w:eastAsia="宋体" w:cs="宋体"/>
          <w:color w:val="000000"/>
          <w:sz w:val="21"/>
          <w:szCs w:val="21"/>
          <w:highlight w:val="none"/>
        </w:rPr>
        <w:t>23.8英寸</w:t>
      </w:r>
      <w:r>
        <w:rPr>
          <w:rFonts w:hint="eastAsia" w:ascii="宋体" w:hAnsi="宋体" w:eastAsia="宋体" w:cs="宋体"/>
          <w:color w:val="000000"/>
          <w:sz w:val="21"/>
          <w:szCs w:val="21"/>
          <w:highlight w:val="none"/>
          <w:lang w:eastAsia="zh-CN"/>
        </w:rPr>
        <w:t>。</w:t>
      </w:r>
    </w:p>
    <w:p>
      <w:pPr>
        <w:ind w:firstLine="420" w:firstLineChars="20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5.技术服务与承诺：</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（1）保修期内，设备及附件由于质量问题而不能正常工作时，供方承诺在一天内到达用户现场免费修理或更换零部件。因维修不及时，而导致设备无法正常使用时，其保修时间随停机时间的长短而相应延长。</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（2）供方对设备提供终生维修服务，保修期外只收取零部件配件费和维修费用，并享有优惠购买零配件待遇。</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（3）售后服务人员无忧电话回访，主动跟踪动态服务。检查设备的运行情况，并对设备进行维护和保养。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（4）质保期内设备发生故障系设备出现质量问题，无偿更换；</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（5）设备未按照合同规定地点交货、验收之前，如发生不可力因素导致设备毁坏或灭失，由供方承担责任；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（6）供方公司提供</w:t>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rPr>
        <w:t>年的质保期；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）对设备软件终身免费升级；</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）供方免费提供：就位、设备安装、调试工作。</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）附带易损易耗物品清单及其价格表。</w:t>
      </w:r>
    </w:p>
    <w:p>
      <w:pPr>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6.培训：</w:t>
      </w:r>
    </w:p>
    <w:p>
      <w:pPr>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供方负责拟定免费培训；设备安装调试最终验收合格后，由供方专业技术人员为用户安排2～3天的操作培训、维护人员的免费培训。主要培训操作人员对设备基本原理、软件使用、操作、维护等的理解及应用，并达到用户操作人员能独立操作设备、服务</w:t>
      </w:r>
      <w:r>
        <w:rPr>
          <w:rFonts w:hint="eastAsia" w:ascii="宋体" w:hAnsi="宋体" w:eastAsia="宋体" w:cs="宋体"/>
          <w:sz w:val="21"/>
          <w:szCs w:val="21"/>
          <w:highlight w:val="none"/>
          <w:lang w:val="en-US" w:eastAsia="zh-CN"/>
        </w:rPr>
        <w:t>考试</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故障排除</w:t>
      </w:r>
      <w:r>
        <w:rPr>
          <w:rFonts w:hint="eastAsia" w:ascii="宋体" w:hAnsi="宋体" w:eastAsia="宋体" w:cs="宋体"/>
          <w:sz w:val="21"/>
          <w:szCs w:val="21"/>
          <w:highlight w:val="none"/>
        </w:rPr>
        <w:t>工作和基本的维护工作。</w:t>
      </w:r>
    </w:p>
    <w:p>
      <w:pPr>
        <w:spacing w:line="360" w:lineRule="auto"/>
        <w:contextualSpacing/>
        <w:jc w:val="center"/>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移动式压力容器（LPG槽车)考培设备技术参数</w:t>
      </w:r>
    </w:p>
    <w:p>
      <w:pPr>
        <w:ind w:firstLine="422" w:firstLineChars="200"/>
        <w:rPr>
          <w:rFonts w:hint="eastAsia" w:ascii="宋体" w:hAnsi="宋体" w:eastAsia="宋体" w:cs="宋体"/>
          <w:sz w:val="21"/>
          <w:szCs w:val="21"/>
          <w:highlight w:val="none"/>
          <w:lang w:eastAsia="zh-CN"/>
        </w:rPr>
      </w:pPr>
      <w:r>
        <w:rPr>
          <w:rFonts w:hint="eastAsia" w:ascii="宋体" w:hAnsi="宋体" w:eastAsia="宋体" w:cs="宋体"/>
          <w:b/>
          <w:sz w:val="21"/>
          <w:szCs w:val="21"/>
          <w:highlight w:val="none"/>
        </w:rPr>
        <w:t xml:space="preserve">1.设备名称： </w:t>
      </w:r>
      <w:r>
        <w:rPr>
          <w:rFonts w:hint="eastAsia" w:ascii="宋体" w:hAnsi="宋体" w:eastAsia="宋体" w:cs="宋体"/>
          <w:sz w:val="21"/>
          <w:szCs w:val="21"/>
          <w:highlight w:val="none"/>
        </w:rPr>
        <w:t>移动式压力容器（LPG槽车)考培</w:t>
      </w:r>
      <w:r>
        <w:rPr>
          <w:rFonts w:hint="eastAsia" w:ascii="宋体" w:hAnsi="宋体" w:eastAsia="宋体" w:cs="宋体"/>
          <w:sz w:val="21"/>
          <w:szCs w:val="21"/>
          <w:highlight w:val="none"/>
          <w:lang w:eastAsia="zh-CN"/>
        </w:rPr>
        <w:t>模拟机</w:t>
      </w:r>
    </w:p>
    <w:p>
      <w:pPr>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2.主要用途：</w:t>
      </w:r>
      <w:r>
        <w:rPr>
          <w:rFonts w:hint="eastAsia" w:ascii="宋体" w:hAnsi="宋体" w:eastAsia="宋体" w:cs="宋体"/>
          <w:sz w:val="21"/>
          <w:szCs w:val="21"/>
          <w:highlight w:val="none"/>
        </w:rPr>
        <w:t>特种设备作业人员考核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3.1总体要求：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（1）设备必须采用国际上同行业中先进成熟的设计思想，制造技术；</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（2）设备在质量上必须具有优良的品质，即可靠性要高，使用寿命长；</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（3）设备必须具有良好的操作性，方便的维修性，可靠的安全性；</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（4）采用全新产品，并标明生产商、品牌与产地，并附原产地证明；</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（5）质量保证期应为设备安装调试验收合格之日起</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 主要配置：</w:t>
      </w:r>
    </w:p>
    <w:p>
      <w:pPr>
        <w:spacing w:line="360"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移动式压力容器（LPG槽车)考培</w:t>
      </w:r>
      <w:r>
        <w:rPr>
          <w:rFonts w:hint="eastAsia" w:ascii="宋体" w:hAnsi="宋体" w:eastAsia="宋体" w:cs="宋体"/>
          <w:sz w:val="21"/>
          <w:szCs w:val="21"/>
          <w:highlight w:val="none"/>
          <w:lang w:eastAsia="zh-CN"/>
        </w:rPr>
        <w:t>模拟机</w:t>
      </w:r>
      <w:r>
        <w:rPr>
          <w:rFonts w:hint="eastAsia" w:ascii="宋体" w:hAnsi="宋体" w:eastAsia="宋体" w:cs="宋体"/>
          <w:sz w:val="21"/>
          <w:szCs w:val="21"/>
          <w:highlight w:val="none"/>
          <w:lang w:val="en-US" w:eastAsia="zh-CN"/>
        </w:rPr>
        <w:t>(共5套)</w:t>
      </w:r>
    </w:p>
    <w:p>
      <w:pPr>
        <w:spacing w:line="360"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标准配置：</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w:t>
      </w:r>
      <w:r>
        <w:rPr>
          <w:rFonts w:hint="eastAsia" w:ascii="宋体" w:hAnsi="宋体" w:eastAsia="宋体" w:cs="宋体"/>
          <w:sz w:val="21"/>
          <w:szCs w:val="21"/>
          <w:highlight w:val="none"/>
        </w:rPr>
        <w:tab/>
      </w:r>
      <w:r>
        <w:rPr>
          <w:rFonts w:hint="eastAsia" w:ascii="宋体" w:hAnsi="宋体" w:eastAsia="宋体" w:cs="宋体"/>
          <w:sz w:val="21"/>
          <w:szCs w:val="21"/>
          <w:highlight w:val="none"/>
        </w:rPr>
        <w:t>LPG罐体</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1台。</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操作箱</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.3</w:t>
      </w:r>
      <w:r>
        <w:rPr>
          <w:rFonts w:hint="eastAsia" w:ascii="宋体" w:hAnsi="宋体" w:eastAsia="宋体" w:cs="宋体"/>
          <w:sz w:val="21"/>
          <w:szCs w:val="21"/>
          <w:highlight w:val="none"/>
        </w:rPr>
        <w:tab/>
      </w:r>
      <w:r>
        <w:rPr>
          <w:rFonts w:hint="eastAsia" w:ascii="宋体" w:hAnsi="宋体" w:eastAsia="宋体" w:cs="宋体"/>
          <w:sz w:val="21"/>
          <w:szCs w:val="21"/>
          <w:highlight w:val="none"/>
        </w:rPr>
        <w:t>软管平台</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.4</w:t>
      </w:r>
      <w:r>
        <w:rPr>
          <w:rFonts w:hint="eastAsia" w:ascii="宋体" w:hAnsi="宋体" w:eastAsia="宋体" w:cs="宋体"/>
          <w:sz w:val="21"/>
          <w:szCs w:val="21"/>
          <w:highlight w:val="none"/>
        </w:rPr>
        <w:tab/>
      </w:r>
      <w:r>
        <w:rPr>
          <w:rFonts w:hint="eastAsia" w:ascii="宋体" w:hAnsi="宋体" w:eastAsia="宋体" w:cs="宋体"/>
          <w:sz w:val="21"/>
          <w:szCs w:val="21"/>
          <w:highlight w:val="none"/>
        </w:rPr>
        <w:t>车架</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1套。</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.5</w:t>
      </w:r>
      <w:r>
        <w:rPr>
          <w:rFonts w:hint="eastAsia" w:ascii="宋体" w:hAnsi="宋体" w:eastAsia="宋体" w:cs="宋体"/>
          <w:sz w:val="21"/>
          <w:szCs w:val="21"/>
          <w:highlight w:val="none"/>
        </w:rPr>
        <w:tab/>
      </w:r>
      <w:r>
        <w:rPr>
          <w:rFonts w:hint="eastAsia" w:ascii="宋体" w:hAnsi="宋体" w:eastAsia="宋体" w:cs="宋体"/>
          <w:sz w:val="21"/>
          <w:szCs w:val="21"/>
          <w:highlight w:val="none"/>
        </w:rPr>
        <w:t>移动车轮</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4个。</w:t>
      </w:r>
    </w:p>
    <w:p>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.6</w:t>
      </w:r>
      <w:r>
        <w:rPr>
          <w:rFonts w:hint="eastAsia" w:ascii="宋体" w:hAnsi="宋体" w:eastAsia="宋体" w:cs="宋体"/>
          <w:sz w:val="21"/>
          <w:szCs w:val="21"/>
          <w:highlight w:val="none"/>
        </w:rPr>
        <w:tab/>
      </w:r>
      <w:r>
        <w:rPr>
          <w:rFonts w:hint="eastAsia" w:ascii="宋体" w:hAnsi="宋体" w:eastAsia="宋体" w:cs="宋体"/>
          <w:sz w:val="21"/>
          <w:szCs w:val="21"/>
          <w:highlight w:val="none"/>
        </w:rPr>
        <w:t>安全阀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1个，规格：DN25。</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.7</w:t>
      </w:r>
      <w:r>
        <w:rPr>
          <w:rFonts w:hint="eastAsia" w:ascii="宋体" w:hAnsi="宋体" w:eastAsia="宋体" w:cs="宋体"/>
          <w:sz w:val="21"/>
          <w:szCs w:val="21"/>
          <w:highlight w:val="none"/>
        </w:rPr>
        <w:tab/>
      </w:r>
      <w:r>
        <w:rPr>
          <w:rFonts w:hint="eastAsia" w:ascii="宋体" w:hAnsi="宋体" w:eastAsia="宋体" w:cs="宋体"/>
          <w:sz w:val="21"/>
          <w:szCs w:val="21"/>
          <w:highlight w:val="none"/>
        </w:rPr>
        <w:t>液相紧急切断阀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1个，规格：DN50。</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.8</w:t>
      </w:r>
      <w:r>
        <w:rPr>
          <w:rFonts w:hint="eastAsia" w:ascii="宋体" w:hAnsi="宋体" w:eastAsia="宋体" w:cs="宋体"/>
          <w:sz w:val="21"/>
          <w:szCs w:val="21"/>
          <w:highlight w:val="none"/>
        </w:rPr>
        <w:tab/>
      </w:r>
      <w:r>
        <w:rPr>
          <w:rFonts w:hint="eastAsia" w:ascii="宋体" w:hAnsi="宋体" w:eastAsia="宋体" w:cs="宋体"/>
          <w:sz w:val="21"/>
          <w:szCs w:val="21"/>
          <w:highlight w:val="none"/>
        </w:rPr>
        <w:t>气相紧急切断阀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1个，规格：DN25。</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.9</w:t>
      </w:r>
      <w:r>
        <w:rPr>
          <w:rFonts w:hint="eastAsia" w:ascii="宋体" w:hAnsi="宋体" w:eastAsia="宋体" w:cs="宋体"/>
          <w:sz w:val="21"/>
          <w:szCs w:val="21"/>
          <w:highlight w:val="none"/>
        </w:rPr>
        <w:tab/>
      </w:r>
      <w:r>
        <w:rPr>
          <w:rFonts w:hint="eastAsia" w:ascii="宋体" w:hAnsi="宋体" w:eastAsia="宋体" w:cs="宋体"/>
          <w:sz w:val="21"/>
          <w:szCs w:val="21"/>
          <w:highlight w:val="none"/>
        </w:rPr>
        <w:t>液相球阀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1个，规格：DN50。</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.10</w:t>
      </w:r>
      <w:r>
        <w:rPr>
          <w:rFonts w:hint="eastAsia" w:ascii="宋体" w:hAnsi="宋体" w:eastAsia="宋体" w:cs="宋体"/>
          <w:sz w:val="21"/>
          <w:szCs w:val="21"/>
          <w:highlight w:val="none"/>
        </w:rPr>
        <w:tab/>
      </w:r>
      <w:r>
        <w:rPr>
          <w:rFonts w:hint="eastAsia" w:ascii="宋体" w:hAnsi="宋体" w:eastAsia="宋体" w:cs="宋体"/>
          <w:sz w:val="21"/>
          <w:szCs w:val="21"/>
          <w:highlight w:val="none"/>
        </w:rPr>
        <w:t>气相球阀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1个，规格：DN25。</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.11</w:t>
      </w:r>
      <w:r>
        <w:rPr>
          <w:rFonts w:hint="eastAsia" w:ascii="宋体" w:hAnsi="宋体" w:eastAsia="宋体" w:cs="宋体"/>
          <w:sz w:val="21"/>
          <w:szCs w:val="21"/>
          <w:highlight w:val="none"/>
        </w:rPr>
        <w:tab/>
      </w:r>
      <w:r>
        <w:rPr>
          <w:rFonts w:hint="eastAsia" w:ascii="宋体" w:hAnsi="宋体" w:eastAsia="宋体" w:cs="宋体"/>
          <w:sz w:val="21"/>
          <w:szCs w:val="21"/>
          <w:highlight w:val="none"/>
        </w:rPr>
        <w:t>压力表针型阀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1个，规格：DN15。</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.12</w:t>
      </w:r>
      <w:r>
        <w:rPr>
          <w:rFonts w:hint="eastAsia" w:ascii="宋体" w:hAnsi="宋体" w:eastAsia="宋体" w:cs="宋体"/>
          <w:sz w:val="21"/>
          <w:szCs w:val="21"/>
          <w:highlight w:val="none"/>
        </w:rPr>
        <w:tab/>
      </w:r>
      <w:r>
        <w:rPr>
          <w:rFonts w:hint="eastAsia" w:ascii="宋体" w:hAnsi="宋体" w:eastAsia="宋体" w:cs="宋体"/>
          <w:sz w:val="21"/>
          <w:szCs w:val="21"/>
          <w:highlight w:val="none"/>
        </w:rPr>
        <w:t>紧急切断阀拉断装置</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1套。</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.13</w:t>
      </w:r>
      <w:r>
        <w:rPr>
          <w:rFonts w:hint="eastAsia" w:ascii="宋体" w:hAnsi="宋体" w:eastAsia="宋体" w:cs="宋体"/>
          <w:sz w:val="21"/>
          <w:szCs w:val="21"/>
          <w:highlight w:val="none"/>
        </w:rPr>
        <w:tab/>
      </w:r>
      <w:r>
        <w:rPr>
          <w:rFonts w:hint="eastAsia" w:ascii="宋体" w:hAnsi="宋体" w:eastAsia="宋体" w:cs="宋体"/>
          <w:sz w:val="21"/>
          <w:szCs w:val="21"/>
          <w:highlight w:val="none"/>
        </w:rPr>
        <w:t>装卸台软管总成</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2条，规格：DN25/DH25。</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.14</w:t>
      </w:r>
      <w:r>
        <w:rPr>
          <w:rFonts w:hint="eastAsia" w:ascii="宋体" w:hAnsi="宋体" w:eastAsia="宋体" w:cs="宋体"/>
          <w:sz w:val="21"/>
          <w:szCs w:val="21"/>
          <w:highlight w:val="none"/>
        </w:rPr>
        <w:tab/>
      </w:r>
      <w:r>
        <w:rPr>
          <w:rFonts w:hint="eastAsia" w:ascii="宋体" w:hAnsi="宋体" w:eastAsia="宋体" w:cs="宋体"/>
          <w:sz w:val="21"/>
          <w:szCs w:val="21"/>
          <w:highlight w:val="none"/>
        </w:rPr>
        <w:t>装卸台液相紧急拉断阀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1个，规格：DN25。</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.15</w:t>
      </w:r>
      <w:r>
        <w:rPr>
          <w:rFonts w:hint="eastAsia" w:ascii="宋体" w:hAnsi="宋体" w:eastAsia="宋体" w:cs="宋体"/>
          <w:sz w:val="21"/>
          <w:szCs w:val="21"/>
          <w:highlight w:val="none"/>
        </w:rPr>
        <w:tab/>
      </w:r>
      <w:r>
        <w:rPr>
          <w:rFonts w:hint="eastAsia" w:ascii="宋体" w:hAnsi="宋体" w:eastAsia="宋体" w:cs="宋体"/>
          <w:sz w:val="21"/>
          <w:szCs w:val="21"/>
          <w:highlight w:val="none"/>
        </w:rPr>
        <w:t>装卸台气相紧急拉断阀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1个，规格：DN25。</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.16</w:t>
      </w:r>
      <w:r>
        <w:rPr>
          <w:rFonts w:hint="eastAsia" w:ascii="宋体" w:hAnsi="宋体" w:eastAsia="宋体" w:cs="宋体"/>
          <w:sz w:val="21"/>
          <w:szCs w:val="21"/>
          <w:highlight w:val="none"/>
        </w:rPr>
        <w:tab/>
      </w:r>
      <w:r>
        <w:rPr>
          <w:rFonts w:hint="eastAsia" w:ascii="宋体" w:hAnsi="宋体" w:eastAsia="宋体" w:cs="宋体"/>
          <w:sz w:val="21"/>
          <w:szCs w:val="21"/>
          <w:highlight w:val="none"/>
        </w:rPr>
        <w:t>液相管道球阀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1个，规格：DN50。</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.17</w:t>
      </w:r>
      <w:r>
        <w:rPr>
          <w:rFonts w:hint="eastAsia" w:ascii="宋体" w:hAnsi="宋体" w:eastAsia="宋体" w:cs="宋体"/>
          <w:sz w:val="21"/>
          <w:szCs w:val="21"/>
          <w:highlight w:val="none"/>
        </w:rPr>
        <w:tab/>
      </w:r>
      <w:r>
        <w:rPr>
          <w:rFonts w:hint="eastAsia" w:ascii="宋体" w:hAnsi="宋体" w:eastAsia="宋体" w:cs="宋体"/>
          <w:sz w:val="21"/>
          <w:szCs w:val="21"/>
          <w:highlight w:val="none"/>
        </w:rPr>
        <w:t>气相管道球阀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1个，规格：DN25。</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.18</w:t>
      </w:r>
      <w:r>
        <w:rPr>
          <w:rFonts w:hint="eastAsia" w:ascii="宋体" w:hAnsi="宋体" w:eastAsia="宋体" w:cs="宋体"/>
          <w:sz w:val="21"/>
          <w:szCs w:val="21"/>
          <w:highlight w:val="none"/>
        </w:rPr>
        <w:tab/>
      </w:r>
      <w:r>
        <w:rPr>
          <w:rFonts w:hint="eastAsia" w:ascii="宋体" w:hAnsi="宋体" w:eastAsia="宋体" w:cs="宋体"/>
          <w:sz w:val="21"/>
          <w:szCs w:val="21"/>
          <w:highlight w:val="none"/>
        </w:rPr>
        <w:t>槽车压力表</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1个，规格：</w:t>
      </w:r>
      <w:r>
        <w:rPr>
          <w:rFonts w:hint="eastAsia" w:ascii="宋体" w:hAnsi="宋体" w:eastAsia="宋体" w:cs="宋体"/>
          <w:bCs w:val="0"/>
          <w:sz w:val="21"/>
          <w:szCs w:val="21"/>
          <w:highlight w:val="none"/>
        </w:rPr>
        <w:t>0~</w:t>
      </w:r>
      <w:r>
        <w:rPr>
          <w:rFonts w:hint="eastAsia" w:ascii="宋体" w:hAnsi="宋体" w:eastAsia="宋体" w:cs="宋体"/>
          <w:sz w:val="21"/>
          <w:szCs w:val="21"/>
          <w:highlight w:val="none"/>
        </w:rPr>
        <w:t>4Mpa</w:t>
      </w:r>
      <w:r>
        <w:rPr>
          <w:rFonts w:hint="eastAsia" w:ascii="宋体" w:hAnsi="宋体" w:eastAsia="宋体" w:cs="宋体"/>
          <w:bCs w:val="0"/>
          <w:sz w:val="21"/>
          <w:szCs w:val="21"/>
          <w:highlight w:val="none"/>
        </w:rPr>
        <w:t>；  表盘</w:t>
      </w:r>
      <w:r>
        <w:rPr>
          <w:rFonts w:hint="eastAsia" w:ascii="宋体" w:hAnsi="宋体" w:eastAsia="宋体" w:cs="宋体"/>
          <w:sz w:val="21"/>
          <w:szCs w:val="21"/>
          <w:highlight w:val="none"/>
        </w:rPr>
        <w:t>直径不小于100mm</w:t>
      </w:r>
      <w:r>
        <w:rPr>
          <w:rFonts w:hint="eastAsia" w:ascii="宋体" w:hAnsi="宋体" w:eastAsia="宋体" w:cs="宋体"/>
          <w:bCs w:val="0"/>
          <w:sz w:val="21"/>
          <w:szCs w:val="21"/>
          <w:highlight w:val="none"/>
        </w:rPr>
        <w:t>。</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.19</w:t>
      </w:r>
      <w:r>
        <w:rPr>
          <w:rFonts w:hint="eastAsia" w:ascii="宋体" w:hAnsi="宋体" w:eastAsia="宋体" w:cs="宋体"/>
          <w:sz w:val="21"/>
          <w:szCs w:val="21"/>
          <w:highlight w:val="none"/>
        </w:rPr>
        <w:tab/>
      </w:r>
      <w:r>
        <w:rPr>
          <w:rFonts w:hint="eastAsia" w:ascii="宋体" w:hAnsi="宋体" w:eastAsia="宋体" w:cs="宋体"/>
          <w:sz w:val="21"/>
          <w:szCs w:val="21"/>
          <w:highlight w:val="none"/>
        </w:rPr>
        <w:t>槽车温度表</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1个，规格：-40~60℃</w:t>
      </w:r>
      <w:r>
        <w:rPr>
          <w:rFonts w:hint="eastAsia" w:ascii="宋体" w:hAnsi="宋体" w:eastAsia="宋体" w:cs="宋体"/>
          <w:bCs w:val="0"/>
          <w:sz w:val="21"/>
          <w:szCs w:val="21"/>
          <w:highlight w:val="none"/>
        </w:rPr>
        <w:t>；表盘</w:t>
      </w:r>
      <w:r>
        <w:rPr>
          <w:rFonts w:hint="eastAsia" w:ascii="宋体" w:hAnsi="宋体" w:eastAsia="宋体" w:cs="宋体"/>
          <w:sz w:val="21"/>
          <w:szCs w:val="21"/>
          <w:highlight w:val="none"/>
        </w:rPr>
        <w:t>直径不小于100mm</w:t>
      </w:r>
      <w:r>
        <w:rPr>
          <w:rFonts w:hint="eastAsia" w:ascii="宋体" w:hAnsi="宋体" w:eastAsia="宋体" w:cs="宋体"/>
          <w:bCs w:val="0"/>
          <w:sz w:val="21"/>
          <w:szCs w:val="21"/>
          <w:highlight w:val="none"/>
        </w:rPr>
        <w:t>。</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.20</w:t>
      </w:r>
      <w:r>
        <w:rPr>
          <w:rFonts w:hint="eastAsia" w:ascii="宋体" w:hAnsi="宋体" w:eastAsia="宋体" w:cs="宋体"/>
          <w:sz w:val="21"/>
          <w:szCs w:val="21"/>
          <w:highlight w:val="none"/>
        </w:rPr>
        <w:tab/>
      </w:r>
      <w:r>
        <w:rPr>
          <w:rFonts w:hint="eastAsia" w:ascii="宋体" w:hAnsi="宋体" w:eastAsia="宋体" w:cs="宋体"/>
          <w:sz w:val="21"/>
          <w:szCs w:val="21"/>
          <w:highlight w:val="none"/>
        </w:rPr>
        <w:t>旋转手柄液位计</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.21</w:t>
      </w:r>
      <w:r>
        <w:rPr>
          <w:rFonts w:hint="eastAsia" w:ascii="宋体" w:hAnsi="宋体" w:eastAsia="宋体" w:cs="宋体"/>
          <w:sz w:val="21"/>
          <w:szCs w:val="21"/>
          <w:highlight w:val="none"/>
        </w:rPr>
        <w:tab/>
      </w:r>
      <w:r>
        <w:rPr>
          <w:rFonts w:hint="eastAsia" w:ascii="宋体" w:hAnsi="宋体" w:eastAsia="宋体" w:cs="宋体"/>
          <w:sz w:val="21"/>
          <w:szCs w:val="21"/>
          <w:highlight w:val="none"/>
        </w:rPr>
        <w:t>静电接地报警箱</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.22</w:t>
      </w:r>
      <w:r>
        <w:rPr>
          <w:rFonts w:hint="eastAsia" w:ascii="宋体" w:hAnsi="宋体" w:eastAsia="宋体" w:cs="宋体"/>
          <w:sz w:val="21"/>
          <w:szCs w:val="21"/>
          <w:highlight w:val="none"/>
        </w:rPr>
        <w:tab/>
      </w:r>
      <w:r>
        <w:rPr>
          <w:rFonts w:hint="eastAsia" w:ascii="宋体" w:hAnsi="宋体" w:eastAsia="宋体" w:cs="宋体"/>
          <w:sz w:val="21"/>
          <w:szCs w:val="21"/>
          <w:highlight w:val="none"/>
        </w:rPr>
        <w:t>静电接地夹</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.23</w:t>
      </w:r>
      <w:r>
        <w:rPr>
          <w:rFonts w:hint="eastAsia" w:ascii="宋体" w:hAnsi="宋体" w:eastAsia="宋体" w:cs="宋体"/>
          <w:sz w:val="21"/>
          <w:szCs w:val="21"/>
          <w:highlight w:val="none"/>
        </w:rPr>
        <w:tab/>
      </w:r>
      <w:r>
        <w:rPr>
          <w:rFonts w:hint="eastAsia" w:ascii="宋体" w:hAnsi="宋体" w:eastAsia="宋体" w:cs="宋体"/>
          <w:sz w:val="21"/>
          <w:szCs w:val="21"/>
          <w:highlight w:val="none"/>
        </w:rPr>
        <w:t>设备铭牌</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.24</w:t>
      </w:r>
      <w:r>
        <w:rPr>
          <w:rFonts w:hint="eastAsia" w:ascii="宋体" w:hAnsi="宋体" w:eastAsia="宋体" w:cs="宋体"/>
          <w:sz w:val="21"/>
          <w:szCs w:val="21"/>
          <w:highlight w:val="none"/>
        </w:rPr>
        <w:tab/>
      </w:r>
      <w:r>
        <w:rPr>
          <w:rFonts w:hint="eastAsia" w:ascii="宋体" w:hAnsi="宋体" w:eastAsia="宋体" w:cs="宋体"/>
          <w:sz w:val="21"/>
          <w:szCs w:val="21"/>
          <w:highlight w:val="none"/>
        </w:rPr>
        <w:t>可编程控制器</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1套。</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.25</w:t>
      </w:r>
      <w:r>
        <w:rPr>
          <w:rFonts w:hint="eastAsia" w:ascii="宋体" w:hAnsi="宋体" w:eastAsia="宋体" w:cs="宋体"/>
          <w:sz w:val="21"/>
          <w:szCs w:val="21"/>
          <w:highlight w:val="none"/>
        </w:rPr>
        <w:tab/>
      </w:r>
      <w:r>
        <w:rPr>
          <w:rFonts w:hint="eastAsia" w:ascii="宋体" w:hAnsi="宋体" w:eastAsia="宋体" w:cs="宋体"/>
          <w:sz w:val="21"/>
          <w:szCs w:val="21"/>
          <w:highlight w:val="none"/>
        </w:rPr>
        <w:t>工业触摸屏</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.26</w:t>
      </w:r>
      <w:r>
        <w:rPr>
          <w:rFonts w:hint="eastAsia" w:ascii="宋体" w:hAnsi="宋体" w:eastAsia="宋体" w:cs="宋体"/>
          <w:sz w:val="21"/>
          <w:szCs w:val="21"/>
          <w:highlight w:val="none"/>
        </w:rPr>
        <w:tab/>
      </w:r>
      <w:r>
        <w:rPr>
          <w:rFonts w:hint="eastAsia" w:ascii="宋体" w:hAnsi="宋体" w:eastAsia="宋体" w:cs="宋体"/>
          <w:sz w:val="21"/>
          <w:szCs w:val="21"/>
          <w:highlight w:val="none"/>
        </w:rPr>
        <w:t>扫描枪</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1把。</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.27</w:t>
      </w:r>
      <w:r>
        <w:rPr>
          <w:rFonts w:hint="eastAsia" w:ascii="宋体" w:hAnsi="宋体" w:eastAsia="宋体" w:cs="宋体"/>
          <w:sz w:val="21"/>
          <w:szCs w:val="21"/>
          <w:highlight w:val="none"/>
        </w:rPr>
        <w:tab/>
      </w:r>
      <w:r>
        <w:rPr>
          <w:rFonts w:hint="eastAsia" w:ascii="宋体" w:hAnsi="宋体" w:eastAsia="宋体" w:cs="宋体"/>
          <w:sz w:val="21"/>
          <w:szCs w:val="21"/>
          <w:highlight w:val="none"/>
        </w:rPr>
        <w:t>控制终端</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1台。</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.28</w:t>
      </w:r>
      <w:r>
        <w:rPr>
          <w:rFonts w:hint="eastAsia" w:ascii="宋体" w:hAnsi="宋体" w:eastAsia="宋体" w:cs="宋体"/>
          <w:sz w:val="21"/>
          <w:szCs w:val="21"/>
          <w:highlight w:val="none"/>
        </w:rPr>
        <w:tab/>
      </w:r>
      <w:r>
        <w:rPr>
          <w:rFonts w:hint="eastAsia" w:ascii="宋体" w:hAnsi="宋体" w:eastAsia="宋体" w:cs="宋体"/>
          <w:sz w:val="21"/>
          <w:szCs w:val="21"/>
          <w:highlight w:val="none"/>
        </w:rPr>
        <w:t>考核软件</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1套。</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.29</w:t>
      </w:r>
      <w:r>
        <w:rPr>
          <w:rFonts w:hint="eastAsia" w:ascii="宋体" w:hAnsi="宋体" w:eastAsia="宋体" w:cs="宋体"/>
          <w:sz w:val="21"/>
          <w:szCs w:val="21"/>
          <w:highlight w:val="none"/>
        </w:rPr>
        <w:tab/>
      </w:r>
      <w:r>
        <w:rPr>
          <w:rFonts w:hint="eastAsia" w:ascii="宋体" w:hAnsi="宋体" w:eastAsia="宋体" w:cs="宋体"/>
          <w:sz w:val="21"/>
          <w:szCs w:val="21"/>
          <w:highlight w:val="none"/>
        </w:rPr>
        <w:t>部件识别系统</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1套。</w:t>
      </w:r>
    </w:p>
    <w:p>
      <w:pPr>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4.主要技术要求和参数（包括软硬件附属设备等）：</w:t>
      </w:r>
    </w:p>
    <w:p>
      <w:pPr>
        <w:spacing w:line="24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.1 基本要求</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.1.1槽车液相紧急切断阀、槽车气相紧急切断阀、槽车液相球阀、槽车气相球阀、LPG槽车专用安全阀、LPG装卸软管总成、LPG管道球阀、紧急拉断阀、紧急切断阀拉断装置均为LPG槽车装卸专用阀门。</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.1.2阀门操作箱按照LPG槽车的实际工艺制作。配备的安全附件和操作阀门为LPG槽车常用真实部件。</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.1.3 要求能够实现部件识别操作、基本操作、应急处置操作等科目考试的要求，考试各部分内容所占比例部件识别占30%，基本操作占50%，应急处置占20%，所有科目考试内容应与考核大纲一致。</w:t>
      </w:r>
    </w:p>
    <w:p>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.1.4充装台及附属设备内安全附件和操作阀门采用电磁传感技术。安全附件和操作阀门内部设计加工良好， 便于传感器的配置、调试、维修、更换。</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.1.5满足TSG Z6001-2019《特种设备作业人员考核规则》中实操考核的要求，软件系统具有题库管理、随机组卷、自动限时计时、自动判卷评分、自动记录存档、统计、查询、汇总报表、建档和存档等数据库管理功能。</w:t>
      </w:r>
    </w:p>
    <w:p>
      <w:pPr>
        <w:spacing w:line="240" w:lineRule="auto"/>
        <w:ind w:left="0" w:leftChars="0"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.2 技术要求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2.1应用软件至少应具备移动式压力容器典型结构、主要受压元件、基本参数、容器内介质特性；移动式压力容器的安全附件和承压附件检查；充装和卸载作业前检查；充装和卸载作业要求；卸载作业后检查；移动式压力容器日常维护保养要求；移动式压力容器日常故障处理操作；移动式压力容器紧急情况处理操作。</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.2.2系统软件至少应具备LPG槽车工作流程与正确操作演示功能、上机操作训练功能、考核功能、考试计时功能、考核自动打分功能、学员信息管理功能、学员数据库管理功能、学员信息导入导出功能。</w:t>
      </w:r>
    </w:p>
    <w:p>
      <w:pPr>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.2.3部件识别：嵌入考核软件中，硬件使用无线二维扫描枪，对相关操作阀门、安全附件或典型结构进行扫描识别，同时在工业触摸屏显示出识别物件相应的名称，考核端需有相应语音提示。</w:t>
      </w:r>
    </w:p>
    <w:p>
      <w:pPr>
        <w:ind w:firstLine="420" w:firstLineChars="200"/>
        <w:rPr>
          <w:rFonts w:hint="eastAsia" w:ascii="宋体" w:hAnsi="宋体" w:eastAsia="宋体" w:cs="宋体"/>
          <w:sz w:val="21"/>
          <w:szCs w:val="21"/>
          <w:highlight w:val="none"/>
        </w:rPr>
      </w:pPr>
      <w:r>
        <w:rPr>
          <w:rFonts w:hint="eastAsia" w:ascii="宋体" w:hAnsi="宋体" w:eastAsia="宋体" w:cs="宋体"/>
          <w:b w:val="0"/>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2.4工业触摸屏运行软件包括：练习界面、考核界面两个部分；练习界面应显示考题内容、考题正确步骤内容及实时显示学员每一步操作内容，学员通过触摸屏选择不同的考题进行练习；考核界面应显示考题内容实时显示学员每一步操作内容。</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.2.5工业触摸屏不小于10.2英寸。</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控制终端</w:t>
      </w:r>
      <w:r>
        <w:rPr>
          <w:rFonts w:hint="eastAsia" w:ascii="宋体" w:hAnsi="宋体" w:eastAsia="宋体" w:cs="宋体"/>
          <w:color w:val="000000"/>
          <w:sz w:val="21"/>
          <w:szCs w:val="21"/>
          <w:highlight w:val="none"/>
        </w:rPr>
        <w:t>：内存</w:t>
      </w:r>
      <w:r>
        <w:rPr>
          <w:rFonts w:hint="eastAsia" w:ascii="宋体" w:hAnsi="宋体" w:eastAsia="宋体" w:cs="宋体"/>
          <w:sz w:val="21"/>
          <w:szCs w:val="21"/>
          <w:highlight w:val="none"/>
        </w:rPr>
        <w:t>不小于</w:t>
      </w:r>
      <w:r>
        <w:rPr>
          <w:rFonts w:hint="eastAsia" w:ascii="宋体" w:hAnsi="宋体" w:eastAsia="宋体" w:cs="宋体"/>
          <w:color w:val="000000"/>
          <w:sz w:val="21"/>
          <w:szCs w:val="21"/>
          <w:highlight w:val="none"/>
        </w:rPr>
        <w:t>4G，硬盘</w:t>
      </w:r>
      <w:r>
        <w:rPr>
          <w:rFonts w:hint="eastAsia" w:ascii="宋体" w:hAnsi="宋体" w:eastAsia="宋体" w:cs="宋体"/>
          <w:sz w:val="21"/>
          <w:szCs w:val="21"/>
          <w:highlight w:val="none"/>
        </w:rPr>
        <w:t>不小于</w:t>
      </w:r>
      <w:r>
        <w:rPr>
          <w:rFonts w:hint="eastAsia" w:ascii="宋体" w:hAnsi="宋体" w:eastAsia="宋体" w:cs="宋体"/>
          <w:color w:val="000000"/>
          <w:sz w:val="21"/>
          <w:szCs w:val="21"/>
          <w:highlight w:val="none"/>
        </w:rPr>
        <w:t>128G，</w:t>
      </w:r>
      <w:r>
        <w:rPr>
          <w:rFonts w:hint="eastAsia" w:ascii="宋体" w:hAnsi="宋体" w:eastAsia="宋体" w:cs="宋体"/>
          <w:sz w:val="21"/>
          <w:szCs w:val="21"/>
          <w:highlight w:val="none"/>
        </w:rPr>
        <w:t>不小于</w:t>
      </w:r>
      <w:r>
        <w:rPr>
          <w:rFonts w:hint="eastAsia" w:ascii="宋体" w:hAnsi="宋体" w:eastAsia="宋体" w:cs="宋体"/>
          <w:color w:val="000000"/>
          <w:sz w:val="21"/>
          <w:szCs w:val="21"/>
          <w:highlight w:val="none"/>
        </w:rPr>
        <w:t>23.8英寸</w:t>
      </w:r>
      <w:r>
        <w:rPr>
          <w:rFonts w:hint="eastAsia" w:ascii="宋体" w:hAnsi="宋体" w:eastAsia="宋体" w:cs="宋体"/>
          <w:color w:val="000000"/>
          <w:sz w:val="21"/>
          <w:szCs w:val="21"/>
          <w:highlight w:val="none"/>
          <w:lang w:eastAsia="zh-CN"/>
        </w:rPr>
        <w:t>。</w:t>
      </w:r>
    </w:p>
    <w:p>
      <w:pPr>
        <w:ind w:firstLine="420" w:firstLineChars="20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5.技术服务与承诺：</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（1）保修期内，设备及附件由于质量问题而不能正常工作时，供方承诺在一天内到达用户现场免费修理或更换零部件。因维修不及时，而导致设备无法正常使用时，其保修时间随停机时间的长短而相应延长。</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（2）供方对设备提供终生维修服务，保修期外只收取零部件配件费和维修费用，并享有优惠购买零配件待遇。</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（3）售后服务人员无忧电话回访，主动跟踪动态服务。检查设备的运行情况，并对设备进行维护和保养。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（4）质保期内设备发生故障系设备出现质量问题，无偿更换；</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（5）设备未按照合同规定地点交货、验收之前，如发生不可力因素导致设备毁坏或灭失，由供方承担责任；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（6）供方公司提供</w:t>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rPr>
        <w:t>年的质保期；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）对设备软件终身免费升级；</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）供方免费提供：就位、设备安装、调试工作。</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）附带易损易耗物品清单及其价格表。</w:t>
      </w:r>
    </w:p>
    <w:p>
      <w:pPr>
        <w:ind w:firstLine="420" w:firstLineChars="20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6.培训：</w:t>
      </w:r>
    </w:p>
    <w:p>
      <w:pPr>
        <w:ind w:firstLine="420" w:firstLineChars="200"/>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供方负责拟定免费培训；设备安装调试最终验收合格后，由供方专业技术人员为用户安排2～3天的操作培训、维护人员的免费培训。主要培训操作人员对设备基本原理、软件使用、操作、维护等的理解及应用，并达到用户操作人员能独立操作设备、服务</w:t>
      </w:r>
      <w:r>
        <w:rPr>
          <w:rFonts w:hint="eastAsia" w:ascii="宋体" w:hAnsi="宋体" w:eastAsia="宋体" w:cs="宋体"/>
          <w:sz w:val="21"/>
          <w:szCs w:val="21"/>
          <w:highlight w:val="none"/>
          <w:lang w:val="en-US" w:eastAsia="zh-CN"/>
        </w:rPr>
        <w:t>考试</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故障排除</w:t>
      </w:r>
      <w:r>
        <w:rPr>
          <w:rFonts w:hint="eastAsia" w:ascii="宋体" w:hAnsi="宋体" w:eastAsia="宋体" w:cs="宋体"/>
          <w:sz w:val="21"/>
          <w:szCs w:val="21"/>
          <w:highlight w:val="none"/>
        </w:rPr>
        <w:t>工作和基本的维护工作。</w:t>
      </w:r>
    </w:p>
    <w:p>
      <w:pPr>
        <w:rPr>
          <w:rFonts w:hint="eastAsia" w:ascii="宋体" w:hAnsi="宋体" w:eastAsia="宋体" w:cs="宋体"/>
          <w:b/>
          <w:bCs/>
          <w:color w:val="auto"/>
          <w:kern w:val="0"/>
          <w:sz w:val="24"/>
          <w:szCs w:val="24"/>
          <w:highlight w:val="none"/>
          <w:shd w:val="clear" w:color="auto" w:fill="FFFFFF"/>
          <w:lang w:val="en-US" w:eastAsia="zh-CN"/>
        </w:rPr>
      </w:pPr>
      <w:r>
        <w:rPr>
          <w:rFonts w:hint="eastAsia" w:ascii="宋体" w:hAnsi="宋体" w:eastAsia="宋体" w:cs="宋体"/>
          <w:b/>
          <w:bCs/>
          <w:color w:val="auto"/>
          <w:kern w:val="0"/>
          <w:sz w:val="24"/>
          <w:szCs w:val="24"/>
          <w:highlight w:val="none"/>
          <w:shd w:val="clear" w:color="auto" w:fill="FFFFFF"/>
          <w:lang w:val="en-US" w:eastAsia="zh-CN"/>
        </w:rPr>
        <w:br w:type="page"/>
      </w:r>
    </w:p>
    <w:p>
      <w:pPr>
        <w:jc w:val="center"/>
        <w:outlineLvl w:val="2"/>
        <w:rPr>
          <w:rFonts w:hint="eastAsia" w:ascii="宋体" w:hAnsi="宋体" w:eastAsia="宋体" w:cs="宋体"/>
          <w:b/>
          <w:bCs/>
          <w:color w:val="auto"/>
          <w:kern w:val="0"/>
          <w:sz w:val="24"/>
          <w:szCs w:val="24"/>
          <w:highlight w:val="none"/>
          <w:shd w:val="clear" w:color="auto" w:fill="FFFFFF"/>
          <w:lang w:val="en-US" w:eastAsia="zh-CN"/>
        </w:rPr>
      </w:pPr>
      <w:r>
        <w:rPr>
          <w:rFonts w:hint="eastAsia" w:ascii="宋体" w:hAnsi="宋体" w:eastAsia="宋体" w:cs="宋体"/>
          <w:b/>
          <w:bCs/>
          <w:color w:val="auto"/>
          <w:kern w:val="0"/>
          <w:sz w:val="24"/>
          <w:szCs w:val="24"/>
          <w:highlight w:val="none"/>
          <w:shd w:val="clear" w:color="auto" w:fill="FFFFFF"/>
          <w:lang w:val="en-US" w:eastAsia="zh-CN"/>
        </w:rPr>
        <w:t>包4</w:t>
      </w:r>
      <w:r>
        <w:rPr>
          <w:rFonts w:hint="eastAsia" w:ascii="宋体" w:hAnsi="宋体" w:eastAsia="宋体" w:cs="宋体"/>
          <w:b/>
          <w:bCs/>
          <w:color w:val="auto"/>
          <w:kern w:val="0"/>
          <w:sz w:val="24"/>
          <w:szCs w:val="24"/>
          <w:highlight w:val="none"/>
          <w:shd w:val="clear" w:color="auto" w:fill="FFFFFF"/>
        </w:rPr>
        <w:t>设备技术参数</w:t>
      </w:r>
      <w:r>
        <w:rPr>
          <w:rFonts w:hint="eastAsia" w:ascii="宋体" w:hAnsi="宋体" w:eastAsia="宋体" w:cs="宋体"/>
          <w:b/>
          <w:bCs/>
          <w:color w:val="auto"/>
          <w:kern w:val="0"/>
          <w:sz w:val="24"/>
          <w:szCs w:val="24"/>
          <w:highlight w:val="none"/>
          <w:shd w:val="clear" w:color="auto" w:fill="FFFFFF"/>
          <w:lang w:val="en-US" w:eastAsia="zh-CN"/>
        </w:rPr>
        <w:t>：</w:t>
      </w:r>
    </w:p>
    <w:p>
      <w:pPr>
        <w:spacing w:line="360" w:lineRule="auto"/>
        <w:contextualSpacing/>
        <w:jc w:val="center"/>
        <w:outlineLvl w:val="3"/>
        <w:rPr>
          <w:rFonts w:ascii="宋体" w:hAnsi="宋体" w:cs="宋体"/>
          <w:b/>
          <w:color w:val="auto"/>
          <w:szCs w:val="21"/>
          <w:highlight w:val="none"/>
        </w:rPr>
      </w:pPr>
      <w:r>
        <w:rPr>
          <w:rFonts w:hint="eastAsia" w:ascii="宋体" w:hAnsi="宋体" w:cs="宋体"/>
          <w:b/>
          <w:color w:val="auto"/>
          <w:szCs w:val="21"/>
          <w:highlight w:val="none"/>
        </w:rPr>
        <w:t>液化石油气气瓶充装考培设备技术参数</w:t>
      </w:r>
    </w:p>
    <w:p>
      <w:pPr>
        <w:ind w:firstLine="422" w:firstLineChars="200"/>
        <w:rPr>
          <w:rFonts w:ascii="宋体" w:hAnsi="宋体" w:cs="宋体"/>
          <w:color w:val="auto"/>
          <w:szCs w:val="21"/>
          <w:highlight w:val="none"/>
        </w:rPr>
      </w:pPr>
      <w:r>
        <w:rPr>
          <w:rFonts w:hint="eastAsia" w:ascii="宋体" w:hAnsi="宋体" w:cs="宋体"/>
          <w:b/>
          <w:color w:val="auto"/>
          <w:szCs w:val="21"/>
          <w:highlight w:val="none"/>
        </w:rPr>
        <w:t>1.设备名称：</w:t>
      </w:r>
      <w:r>
        <w:rPr>
          <w:rFonts w:hint="eastAsia" w:ascii="宋体" w:hAnsi="宋体" w:cs="宋体"/>
          <w:color w:val="auto"/>
          <w:szCs w:val="21"/>
          <w:highlight w:val="none"/>
        </w:rPr>
        <w:t>液化石油气气瓶充装考培模拟机</w:t>
      </w:r>
    </w:p>
    <w:p>
      <w:pPr>
        <w:ind w:firstLine="422" w:firstLineChars="200"/>
        <w:rPr>
          <w:rFonts w:ascii="宋体" w:hAnsi="宋体" w:cs="宋体"/>
          <w:color w:val="auto"/>
          <w:szCs w:val="21"/>
          <w:highlight w:val="none"/>
        </w:rPr>
      </w:pPr>
      <w:r>
        <w:rPr>
          <w:rFonts w:hint="eastAsia" w:ascii="宋体" w:hAnsi="宋体" w:cs="宋体"/>
          <w:b/>
          <w:color w:val="auto"/>
          <w:szCs w:val="21"/>
          <w:highlight w:val="none"/>
        </w:rPr>
        <w:t>2.主要用途：</w:t>
      </w:r>
      <w:r>
        <w:rPr>
          <w:rFonts w:hint="eastAsia" w:ascii="宋体" w:hAnsi="宋体" w:cs="宋体"/>
          <w:color w:val="auto"/>
          <w:szCs w:val="21"/>
          <w:highlight w:val="none"/>
        </w:rPr>
        <w:t>特种设备作业人员考核</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3.1总体要求：</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（1）设备必须采用国际上同行业中先进成熟的设计思想，制造技术；</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（2）设备在质量上必须具有优良的品质，即可靠性要高，使用寿命长；</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（3）设备必须具有良好的操作性，方便的维修性，可靠的安全性；</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（4）采用全新产品，并标明生产商、品牌与产地，并附原产地证明；</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（5）质量保证期应为设备安装调试验收合格之日起1年。</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 主要配置：</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液化石油气气瓶充装考培模拟机(共6套)</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标准配置：</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w:t>
      </w:r>
      <w:r>
        <w:rPr>
          <w:rFonts w:hint="eastAsia" w:ascii="宋体" w:hAnsi="宋体" w:cs="宋体"/>
          <w:color w:val="auto"/>
          <w:szCs w:val="21"/>
          <w:highlight w:val="none"/>
        </w:rPr>
        <w:tab/>
      </w:r>
      <w:r>
        <w:rPr>
          <w:rFonts w:hint="eastAsia" w:ascii="宋体" w:hAnsi="宋体" w:cs="宋体"/>
          <w:color w:val="auto"/>
          <w:szCs w:val="21"/>
          <w:highlight w:val="none"/>
        </w:rPr>
        <w:t>充装台</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1台。</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3.2.2</w:t>
      </w:r>
      <w:r>
        <w:rPr>
          <w:rFonts w:hint="eastAsia" w:ascii="宋体" w:hAnsi="宋体" w:cs="宋体"/>
          <w:color w:val="auto"/>
          <w:szCs w:val="21"/>
          <w:highlight w:val="none"/>
        </w:rPr>
        <w:tab/>
      </w:r>
      <w:r>
        <w:rPr>
          <w:rFonts w:hint="eastAsia" w:ascii="宋体" w:hAnsi="宋体" w:cs="宋体"/>
          <w:color w:val="auto"/>
          <w:szCs w:val="21"/>
          <w:highlight w:val="none"/>
        </w:rPr>
        <w:t>充装排</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1条，规格：DN20。</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3.2.3</w:t>
      </w:r>
      <w:r>
        <w:rPr>
          <w:rFonts w:hint="eastAsia" w:ascii="宋体" w:hAnsi="宋体" w:cs="宋体"/>
          <w:color w:val="auto"/>
          <w:szCs w:val="21"/>
          <w:highlight w:val="none"/>
        </w:rPr>
        <w:tab/>
      </w:r>
      <w:r>
        <w:rPr>
          <w:rFonts w:hint="eastAsia" w:ascii="宋体" w:hAnsi="宋体" w:cs="宋体"/>
          <w:color w:val="auto"/>
          <w:szCs w:val="21"/>
          <w:highlight w:val="none"/>
        </w:rPr>
        <w:t>抽真空排</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1条，规格：DN20。</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3.2.4</w:t>
      </w:r>
      <w:r>
        <w:rPr>
          <w:rFonts w:hint="eastAsia" w:ascii="宋体" w:hAnsi="宋体" w:cs="宋体"/>
          <w:color w:val="auto"/>
          <w:szCs w:val="21"/>
          <w:highlight w:val="none"/>
        </w:rPr>
        <w:tab/>
      </w:r>
      <w:r>
        <w:rPr>
          <w:rFonts w:hint="eastAsia" w:ascii="宋体" w:hAnsi="宋体" w:cs="宋体"/>
          <w:color w:val="auto"/>
          <w:szCs w:val="21"/>
          <w:highlight w:val="none"/>
        </w:rPr>
        <w:t>倒残液排</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1条，规格：DN20。</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3.2.5</w:t>
      </w:r>
      <w:r>
        <w:rPr>
          <w:rFonts w:hint="eastAsia" w:ascii="宋体" w:hAnsi="宋体" w:cs="宋体"/>
          <w:color w:val="auto"/>
          <w:szCs w:val="21"/>
          <w:highlight w:val="none"/>
        </w:rPr>
        <w:tab/>
      </w:r>
      <w:r>
        <w:rPr>
          <w:rFonts w:hint="eastAsia" w:ascii="宋体" w:hAnsi="宋体" w:cs="宋体"/>
          <w:color w:val="auto"/>
          <w:szCs w:val="21"/>
          <w:highlight w:val="none"/>
        </w:rPr>
        <w:t>液化石油气瓶</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4只，规格：35.5L。</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3.2.6</w:t>
      </w:r>
      <w:r>
        <w:rPr>
          <w:rFonts w:hint="eastAsia" w:ascii="宋体" w:hAnsi="宋体" w:cs="宋体"/>
          <w:color w:val="auto"/>
          <w:szCs w:val="21"/>
          <w:highlight w:val="none"/>
        </w:rPr>
        <w:tab/>
      </w:r>
      <w:r>
        <w:rPr>
          <w:rFonts w:hint="eastAsia" w:ascii="宋体" w:hAnsi="宋体" w:cs="宋体"/>
          <w:color w:val="auto"/>
          <w:szCs w:val="21"/>
          <w:highlight w:val="none"/>
        </w:rPr>
        <w:t>充装标准夹具</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2套。</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3.2.7</w:t>
      </w:r>
      <w:r>
        <w:rPr>
          <w:rFonts w:hint="eastAsia" w:ascii="宋体" w:hAnsi="宋体" w:cs="宋体"/>
          <w:color w:val="auto"/>
          <w:szCs w:val="21"/>
          <w:highlight w:val="none"/>
        </w:rPr>
        <w:tab/>
      </w:r>
      <w:r>
        <w:rPr>
          <w:rFonts w:hint="eastAsia" w:ascii="宋体" w:hAnsi="宋体" w:cs="宋体"/>
          <w:color w:val="auto"/>
          <w:szCs w:val="21"/>
          <w:highlight w:val="none"/>
        </w:rPr>
        <w:t>计量称</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3个。</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3.2.8</w:t>
      </w:r>
      <w:r>
        <w:rPr>
          <w:rFonts w:hint="eastAsia" w:ascii="宋体" w:hAnsi="宋体" w:cs="宋体"/>
          <w:color w:val="auto"/>
          <w:szCs w:val="21"/>
          <w:highlight w:val="none"/>
        </w:rPr>
        <w:tab/>
      </w:r>
      <w:r>
        <w:rPr>
          <w:rFonts w:hint="eastAsia" w:ascii="宋体" w:hAnsi="宋体" w:cs="宋体"/>
          <w:color w:val="auto"/>
          <w:szCs w:val="21"/>
          <w:highlight w:val="none"/>
        </w:rPr>
        <w:t>气瓶翻转支架</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1套。</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3.2.9</w:t>
      </w:r>
      <w:r>
        <w:rPr>
          <w:rFonts w:hint="eastAsia" w:ascii="宋体" w:hAnsi="宋体" w:cs="宋体"/>
          <w:color w:val="auto"/>
          <w:szCs w:val="21"/>
          <w:highlight w:val="none"/>
        </w:rPr>
        <w:tab/>
      </w:r>
      <w:r>
        <w:rPr>
          <w:rFonts w:hint="eastAsia" w:ascii="宋体" w:hAnsi="宋体" w:cs="宋体"/>
          <w:color w:val="auto"/>
          <w:szCs w:val="21"/>
          <w:highlight w:val="none"/>
        </w:rPr>
        <w:t>安全阀</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1个，规格：DN15。</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3.2.10</w:t>
      </w:r>
      <w:r>
        <w:rPr>
          <w:rFonts w:hint="eastAsia" w:ascii="宋体" w:hAnsi="宋体" w:cs="宋体"/>
          <w:color w:val="auto"/>
          <w:szCs w:val="21"/>
          <w:highlight w:val="none"/>
        </w:rPr>
        <w:tab/>
      </w:r>
      <w:r>
        <w:rPr>
          <w:rFonts w:hint="eastAsia" w:ascii="宋体" w:hAnsi="宋体" w:cs="宋体"/>
          <w:color w:val="auto"/>
          <w:szCs w:val="21"/>
          <w:highlight w:val="none"/>
        </w:rPr>
        <w:t>充装排控制阀</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1个，规格：DN20。</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3.2.11</w:t>
      </w:r>
      <w:r>
        <w:rPr>
          <w:rFonts w:hint="eastAsia" w:ascii="宋体" w:hAnsi="宋体" w:cs="宋体"/>
          <w:color w:val="auto"/>
          <w:szCs w:val="21"/>
          <w:highlight w:val="none"/>
        </w:rPr>
        <w:tab/>
      </w:r>
      <w:r>
        <w:rPr>
          <w:rFonts w:hint="eastAsia" w:ascii="宋体" w:hAnsi="宋体" w:cs="宋体"/>
          <w:color w:val="auto"/>
          <w:szCs w:val="21"/>
          <w:highlight w:val="none"/>
        </w:rPr>
        <w:t>充装截止阀</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2个，规格：DN15。</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3.2.12</w:t>
      </w:r>
      <w:r>
        <w:rPr>
          <w:rFonts w:hint="eastAsia" w:ascii="宋体" w:hAnsi="宋体" w:cs="宋体"/>
          <w:color w:val="auto"/>
          <w:szCs w:val="21"/>
          <w:highlight w:val="none"/>
        </w:rPr>
        <w:tab/>
      </w:r>
      <w:r>
        <w:rPr>
          <w:rFonts w:hint="eastAsia" w:ascii="宋体" w:hAnsi="宋体" w:cs="宋体"/>
          <w:color w:val="auto"/>
          <w:szCs w:val="21"/>
          <w:highlight w:val="none"/>
        </w:rPr>
        <w:t>气瓶瓶阀</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3个，规格：DN15。</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3.2.13</w:t>
      </w:r>
      <w:r>
        <w:rPr>
          <w:rFonts w:hint="eastAsia" w:ascii="宋体" w:hAnsi="宋体" w:cs="宋体"/>
          <w:color w:val="auto"/>
          <w:szCs w:val="21"/>
          <w:highlight w:val="none"/>
        </w:rPr>
        <w:tab/>
      </w:r>
      <w:r>
        <w:rPr>
          <w:rFonts w:hint="eastAsia" w:ascii="宋体" w:hAnsi="宋体" w:cs="宋体"/>
          <w:color w:val="auto"/>
          <w:szCs w:val="21"/>
          <w:highlight w:val="none"/>
        </w:rPr>
        <w:t>抽真空气瓶瓶阀</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1个，规格：DN15。</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3.2.14</w:t>
      </w:r>
      <w:r>
        <w:rPr>
          <w:rFonts w:hint="eastAsia" w:ascii="宋体" w:hAnsi="宋体" w:cs="宋体"/>
          <w:color w:val="auto"/>
          <w:szCs w:val="21"/>
          <w:highlight w:val="none"/>
        </w:rPr>
        <w:tab/>
      </w:r>
      <w:r>
        <w:rPr>
          <w:rFonts w:hint="eastAsia" w:ascii="宋体" w:hAnsi="宋体" w:cs="宋体"/>
          <w:color w:val="auto"/>
          <w:szCs w:val="21"/>
          <w:highlight w:val="none"/>
        </w:rPr>
        <w:t>抽真空球阀</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 xml:space="preserve">    1个，规格：DN15。</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3.2.15</w:t>
      </w:r>
      <w:r>
        <w:rPr>
          <w:rFonts w:hint="eastAsia" w:ascii="宋体" w:hAnsi="宋体" w:cs="宋体"/>
          <w:color w:val="auto"/>
          <w:szCs w:val="21"/>
          <w:highlight w:val="none"/>
        </w:rPr>
        <w:tab/>
      </w:r>
      <w:r>
        <w:rPr>
          <w:rFonts w:hint="eastAsia" w:ascii="宋体" w:hAnsi="宋体" w:cs="宋体"/>
          <w:color w:val="auto"/>
          <w:szCs w:val="21"/>
          <w:highlight w:val="none"/>
        </w:rPr>
        <w:t>充装排排空阀</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1个，规格：DN20。</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3.2.16</w:t>
      </w:r>
      <w:r>
        <w:rPr>
          <w:rFonts w:hint="eastAsia" w:ascii="宋体" w:hAnsi="宋体" w:cs="宋体"/>
          <w:color w:val="auto"/>
          <w:szCs w:val="21"/>
          <w:highlight w:val="none"/>
        </w:rPr>
        <w:tab/>
      </w:r>
      <w:r>
        <w:rPr>
          <w:rFonts w:hint="eastAsia" w:ascii="宋体" w:hAnsi="宋体" w:cs="宋体"/>
          <w:color w:val="auto"/>
          <w:szCs w:val="21"/>
          <w:highlight w:val="none"/>
        </w:rPr>
        <w:t>残液阀</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2个，规格：DN20。</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3.2.17</w:t>
      </w:r>
      <w:r>
        <w:rPr>
          <w:rFonts w:hint="eastAsia" w:ascii="宋体" w:hAnsi="宋体" w:cs="宋体"/>
          <w:color w:val="auto"/>
          <w:szCs w:val="21"/>
          <w:highlight w:val="none"/>
        </w:rPr>
        <w:tab/>
      </w:r>
      <w:r>
        <w:rPr>
          <w:rFonts w:hint="eastAsia" w:ascii="宋体" w:hAnsi="宋体" w:cs="宋体"/>
          <w:color w:val="auto"/>
          <w:szCs w:val="21"/>
          <w:highlight w:val="none"/>
        </w:rPr>
        <w:t>残液止回阀</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1个，规格：DN20。</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3.2.18</w:t>
      </w:r>
      <w:r>
        <w:rPr>
          <w:rFonts w:hint="eastAsia" w:ascii="宋体" w:hAnsi="宋体" w:cs="宋体"/>
          <w:color w:val="auto"/>
          <w:szCs w:val="21"/>
          <w:highlight w:val="none"/>
        </w:rPr>
        <w:tab/>
      </w:r>
      <w:r>
        <w:rPr>
          <w:rFonts w:hint="eastAsia" w:ascii="宋体" w:hAnsi="宋体" w:cs="宋体"/>
          <w:color w:val="auto"/>
          <w:szCs w:val="21"/>
          <w:highlight w:val="none"/>
        </w:rPr>
        <w:t>电磁阀</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2个，规格：DN15。</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3.2.19</w:t>
      </w:r>
      <w:r>
        <w:rPr>
          <w:rFonts w:hint="eastAsia" w:ascii="宋体" w:hAnsi="宋体" w:cs="宋体"/>
          <w:color w:val="auto"/>
          <w:szCs w:val="21"/>
          <w:highlight w:val="none"/>
        </w:rPr>
        <w:tab/>
      </w:r>
      <w:r>
        <w:rPr>
          <w:rFonts w:hint="eastAsia" w:ascii="宋体" w:hAnsi="宋体" w:cs="宋体"/>
          <w:color w:val="auto"/>
          <w:szCs w:val="21"/>
          <w:highlight w:val="none"/>
        </w:rPr>
        <w:t>压力表针型阀</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1个，规格：DN15。</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3.2.20</w:t>
      </w:r>
      <w:r>
        <w:rPr>
          <w:rFonts w:hint="eastAsia" w:ascii="宋体" w:hAnsi="宋体" w:cs="宋体"/>
          <w:color w:val="auto"/>
          <w:szCs w:val="21"/>
          <w:highlight w:val="none"/>
        </w:rPr>
        <w:tab/>
      </w:r>
      <w:r>
        <w:rPr>
          <w:rFonts w:hint="eastAsia" w:ascii="宋体" w:hAnsi="宋体" w:cs="宋体"/>
          <w:color w:val="auto"/>
          <w:szCs w:val="21"/>
          <w:highlight w:val="none"/>
        </w:rPr>
        <w:t>按钮指示灯</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2个，规格：φ22mm。</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3.2.21</w:t>
      </w:r>
      <w:r>
        <w:rPr>
          <w:rFonts w:hint="eastAsia" w:ascii="宋体" w:hAnsi="宋体" w:cs="宋体"/>
          <w:color w:val="auto"/>
          <w:szCs w:val="21"/>
          <w:highlight w:val="none"/>
        </w:rPr>
        <w:tab/>
      </w:r>
      <w:r>
        <w:rPr>
          <w:rFonts w:hint="eastAsia" w:ascii="宋体" w:hAnsi="宋体" w:cs="宋体"/>
          <w:color w:val="auto"/>
          <w:szCs w:val="21"/>
          <w:highlight w:val="none"/>
        </w:rPr>
        <w:t>金属气瓶检验环</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4个。</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3.2.22</w:t>
      </w:r>
      <w:r>
        <w:rPr>
          <w:rFonts w:hint="eastAsia" w:ascii="宋体" w:hAnsi="宋体" w:cs="宋体"/>
          <w:color w:val="auto"/>
          <w:szCs w:val="21"/>
          <w:highlight w:val="none"/>
        </w:rPr>
        <w:tab/>
      </w:r>
      <w:r>
        <w:rPr>
          <w:rFonts w:hint="eastAsia" w:ascii="宋体" w:hAnsi="宋体" w:cs="宋体"/>
          <w:color w:val="auto"/>
          <w:szCs w:val="21"/>
          <w:highlight w:val="none"/>
        </w:rPr>
        <w:t>设备铭牌</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1个。</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3.2.23</w:t>
      </w:r>
      <w:r>
        <w:rPr>
          <w:rFonts w:hint="eastAsia" w:ascii="宋体" w:hAnsi="宋体" w:cs="宋体"/>
          <w:color w:val="auto"/>
          <w:szCs w:val="21"/>
          <w:highlight w:val="none"/>
        </w:rPr>
        <w:tab/>
      </w:r>
      <w:r>
        <w:rPr>
          <w:rFonts w:hint="eastAsia" w:ascii="宋体" w:hAnsi="宋体" w:cs="宋体"/>
          <w:color w:val="auto"/>
          <w:szCs w:val="21"/>
          <w:highlight w:val="none"/>
        </w:rPr>
        <w:t>压力表</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1个，规格：0～2.5Mpa； 表盘直径不小于100mm。</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3.2.24</w:t>
      </w:r>
      <w:r>
        <w:rPr>
          <w:rFonts w:hint="eastAsia" w:ascii="宋体" w:hAnsi="宋体" w:cs="宋体"/>
          <w:color w:val="auto"/>
          <w:szCs w:val="21"/>
          <w:highlight w:val="none"/>
        </w:rPr>
        <w:tab/>
      </w:r>
      <w:r>
        <w:rPr>
          <w:rFonts w:hint="eastAsia" w:ascii="宋体" w:hAnsi="宋体" w:cs="宋体"/>
          <w:color w:val="auto"/>
          <w:szCs w:val="21"/>
          <w:highlight w:val="none"/>
        </w:rPr>
        <w:t>真空表</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 xml:space="preserve">    1个，规格：-0.1～0Mpa；表盘直径不小于100mm。</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3.2.25</w:t>
      </w:r>
      <w:r>
        <w:rPr>
          <w:rFonts w:hint="eastAsia" w:ascii="宋体" w:hAnsi="宋体" w:cs="宋体"/>
          <w:color w:val="auto"/>
          <w:szCs w:val="21"/>
          <w:highlight w:val="none"/>
        </w:rPr>
        <w:tab/>
      </w:r>
      <w:r>
        <w:rPr>
          <w:rFonts w:hint="eastAsia" w:ascii="宋体" w:hAnsi="宋体" w:cs="宋体"/>
          <w:color w:val="auto"/>
          <w:szCs w:val="21"/>
          <w:highlight w:val="none"/>
        </w:rPr>
        <w:t>可编程控制器</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1套。</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3.2.26</w:t>
      </w:r>
      <w:r>
        <w:rPr>
          <w:rFonts w:hint="eastAsia" w:ascii="宋体" w:hAnsi="宋体" w:cs="宋体"/>
          <w:color w:val="auto"/>
          <w:szCs w:val="21"/>
          <w:highlight w:val="none"/>
        </w:rPr>
        <w:tab/>
      </w:r>
      <w:r>
        <w:rPr>
          <w:rFonts w:hint="eastAsia" w:ascii="宋体" w:hAnsi="宋体" w:cs="宋体"/>
          <w:color w:val="auto"/>
          <w:szCs w:val="21"/>
          <w:highlight w:val="none"/>
          <w:lang w:val="zh-CN"/>
        </w:rPr>
        <w:t>工业触摸屏</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1个。</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3.2.27</w:t>
      </w:r>
      <w:r>
        <w:rPr>
          <w:rFonts w:hint="eastAsia" w:ascii="宋体" w:hAnsi="宋体" w:cs="宋体"/>
          <w:color w:val="auto"/>
          <w:szCs w:val="21"/>
          <w:highlight w:val="none"/>
        </w:rPr>
        <w:tab/>
      </w:r>
      <w:r>
        <w:rPr>
          <w:rFonts w:hint="eastAsia" w:ascii="宋体" w:hAnsi="宋体" w:cs="宋体"/>
          <w:color w:val="auto"/>
          <w:szCs w:val="21"/>
          <w:highlight w:val="none"/>
        </w:rPr>
        <w:t>扫描枪</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1把。</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3.2.28</w:t>
      </w:r>
      <w:r>
        <w:rPr>
          <w:rFonts w:hint="eastAsia" w:ascii="宋体" w:hAnsi="宋体" w:cs="宋体"/>
          <w:color w:val="auto"/>
          <w:szCs w:val="21"/>
          <w:highlight w:val="none"/>
        </w:rPr>
        <w:tab/>
      </w:r>
      <w:r>
        <w:rPr>
          <w:rFonts w:hint="eastAsia" w:ascii="宋体" w:hAnsi="宋体" w:cs="宋体"/>
          <w:color w:val="auto"/>
          <w:szCs w:val="21"/>
          <w:highlight w:val="none"/>
        </w:rPr>
        <w:t>控制终端</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1台。</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3.2.29</w:t>
      </w:r>
      <w:r>
        <w:rPr>
          <w:rFonts w:hint="eastAsia" w:ascii="宋体" w:hAnsi="宋体" w:cs="宋体"/>
          <w:color w:val="auto"/>
          <w:szCs w:val="21"/>
          <w:highlight w:val="none"/>
        </w:rPr>
        <w:tab/>
      </w:r>
      <w:r>
        <w:rPr>
          <w:rFonts w:hint="eastAsia" w:ascii="宋体" w:hAnsi="宋体" w:cs="宋体"/>
          <w:color w:val="auto"/>
          <w:szCs w:val="21"/>
          <w:highlight w:val="none"/>
        </w:rPr>
        <w:t>考核软件</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1套。</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3.2.30</w:t>
      </w:r>
      <w:r>
        <w:rPr>
          <w:rFonts w:hint="eastAsia" w:ascii="宋体" w:hAnsi="宋体" w:cs="宋体"/>
          <w:color w:val="auto"/>
          <w:szCs w:val="21"/>
          <w:highlight w:val="none"/>
        </w:rPr>
        <w:tab/>
      </w:r>
      <w:r>
        <w:rPr>
          <w:rFonts w:hint="eastAsia" w:ascii="宋体" w:hAnsi="宋体" w:cs="宋体"/>
          <w:color w:val="auto"/>
          <w:szCs w:val="21"/>
          <w:highlight w:val="none"/>
        </w:rPr>
        <w:t>部件识别系统</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1套。</w:t>
      </w:r>
    </w:p>
    <w:p>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4.主要技术要求和参数（包括软硬件附属设备等）：</w:t>
      </w:r>
    </w:p>
    <w:p>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4.1 基本要求</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4.1.1.充装台、气瓶、安全附件、充装夹具、气瓶充装截止阀、气瓶瓶阀、充装管路、压力表、真空表等需实物仿真，并可进行相应模拟操作，且能够对运行状况如充装压力等进行模拟显示。</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4.1.2  充装台应按照液化气体气瓶充装实际工艺制作。配备的安全附件和操作阀门均为气体充装常用真实部件，供学员实操训练及考核。</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4.1.3  要求能够实现部件识别操作、基本操作、应急处置操作等科目考试的要求，考试各部分内容所占比例部件识别占25%，基本操作占50%，应急处置占25%，所有科目考试内容应与考核大纲一致。</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4.1.4  可以利用动画技术演示液化石油气充装系统的组成。</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4.1.5满足TSG Z6001-2019《特种设备作业人员考核规则》中实操考核的要求，软件系统具有题库管理、随机组卷、自动限时计时、自动判卷评分、自动记录存档、统计、查询、汇总报表、建档和存档等数据库管理功能。</w:t>
      </w:r>
    </w:p>
    <w:p>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4.2 技术要求</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4.2.1 系统软件至少应具备上机操作训练功能、考核功能、试题自选试题及随机选题功能、自动组卷功能、考试计时功能、考核自动打分功能、学员信息管理功能、学员数据库管理功能、学员信息导入导出功能、数据库维护功能、备份数据库功能。</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4.2.2. 充装台及附属设备内安全附件和操作阀门采用电磁传感技术。 安全附件和操作阀门内部设计加工良好， 便于传感器的配置、调试、维修、更换。</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★4.2.3部件识别：嵌入考核软件中，硬件使用无线二维扫描枪，对相关操作阀门、安全附件或典型结构进行扫描识别，同时在工业触摸屏显示出识别物件相应的名称，考核端需有相应语音提示。</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4.2.4工业触摸屏运行软件包括：练习界面、考核界面两个部分；练习界面应显示考题内容、考题正确步骤内容及实时显示学员每一步操作内容，学员通过触摸屏选择不同的考题进行练习；考核界面应显示考题内容实时显示学员每一步操作内容。</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4.2.5工业触摸屏不小于10.2英寸。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4.2.6控制终端：内存不小于4G，硬盘不小于128G，</w:t>
      </w:r>
      <w:r>
        <w:rPr>
          <w:rFonts w:hint="eastAsia" w:ascii="宋体" w:hAnsi="宋体" w:cs="宋体"/>
          <w:color w:val="auto"/>
          <w:szCs w:val="21"/>
          <w:highlight w:val="none"/>
          <w:lang w:val="en-US" w:eastAsia="zh-CN"/>
        </w:rPr>
        <w:t>屏幕</w:t>
      </w:r>
      <w:r>
        <w:rPr>
          <w:rFonts w:hint="eastAsia" w:ascii="宋体" w:hAnsi="宋体" w:cs="宋体"/>
          <w:color w:val="auto"/>
          <w:szCs w:val="21"/>
          <w:highlight w:val="none"/>
        </w:rPr>
        <w:t>不小于23.8英寸。</w:t>
      </w:r>
    </w:p>
    <w:p>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5.技术服务与承诺：</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（1）保修期内，设备及附件由于质量问题而不能正常工作时，供方承诺在一天内到达用户现场免费修理或更换零部件。因维修不及时，而导致设备无法正常使用时，其保修时间随停机时间的长短而相应延长。</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（2）供方对设备提供终生维修服务，保修期外只收取零部件配件费和维修费用，并享有优惠购买零配件待遇。</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（3）售后服务人员无忧电话回访，主动跟踪动态服务。检查设备的运行情况，并对设备进行维护和保养。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（4）质保期内设备发生故障系设备出现质量问题，无偿更换；</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（5）设备未按照合同规定地点交货、验收之前，如发生不可力因素导致设备毁坏或灭失，由供方承担责任；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（6）供方公司提供一年的质保期；</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（7）对设备软件终身免费升级；</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（8）供方免费提供：就位、设备安装、调试工作。</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（9）附带易损易耗物品清单及其价格表。</w:t>
      </w:r>
    </w:p>
    <w:p>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6.培训：</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方负责拟定免费培训；设备安装调试最终验收合格后，由供方专业技术人员为用户安排2～3天的操作培训、维护人员的免费培训。主要培训操作人员对设备基本原理、软件使用、操作、维护等的理解及应用，并达到用户操作人员能独立操作设备、服务考试、故障排除工作和基本的维护工作。</w:t>
      </w:r>
    </w:p>
    <w:p>
      <w:pPr>
        <w:ind w:firstLine="422" w:firstLineChars="200"/>
        <w:jc w:val="left"/>
        <w:outlineLvl w:val="9"/>
        <w:rPr>
          <w:rFonts w:hint="eastAsia" w:ascii="宋体" w:hAnsi="宋体" w:eastAsia="宋体" w:cs="宋体"/>
          <w:b/>
          <w:bCs/>
          <w:color w:val="auto"/>
          <w:kern w:val="0"/>
          <w:sz w:val="21"/>
          <w:szCs w:val="21"/>
          <w:highlight w:val="none"/>
          <w:shd w:val="clear" w:color="auto" w:fill="FFFFFF"/>
          <w:lang w:val="en-US" w:eastAsia="zh-CN"/>
        </w:rPr>
      </w:pPr>
    </w:p>
    <w:p>
      <w:pPr>
        <w:spacing w:line="360" w:lineRule="auto"/>
        <w:contextualSpacing/>
        <w:jc w:val="center"/>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rPr>
        <w:t>永久气体气瓶充装考培设备技术参数</w:t>
      </w:r>
    </w:p>
    <w:p>
      <w:pPr>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1.设备名称：</w:t>
      </w:r>
      <w:r>
        <w:rPr>
          <w:rFonts w:hint="eastAsia" w:ascii="宋体" w:hAnsi="宋体" w:eastAsia="宋体" w:cs="宋体"/>
          <w:sz w:val="21"/>
          <w:szCs w:val="21"/>
          <w:highlight w:val="none"/>
          <w:lang w:eastAsia="zh-CN"/>
        </w:rPr>
        <w:t>永久气体气瓶充装考培模拟机</w:t>
      </w:r>
    </w:p>
    <w:p>
      <w:pPr>
        <w:numPr>
          <w:ilvl w:val="-1"/>
          <w:numId w:val="0"/>
        </w:numPr>
        <w:spacing w:line="360" w:lineRule="auto"/>
        <w:ind w:left="0" w:leftChars="0"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2.</w:t>
      </w:r>
      <w:r>
        <w:rPr>
          <w:rFonts w:hint="eastAsia" w:ascii="宋体" w:hAnsi="宋体" w:eastAsia="宋体" w:cs="宋体"/>
          <w:b/>
          <w:sz w:val="21"/>
          <w:szCs w:val="21"/>
          <w:highlight w:val="none"/>
        </w:rPr>
        <w:t>主要用途：</w:t>
      </w:r>
      <w:r>
        <w:rPr>
          <w:rFonts w:hint="eastAsia" w:ascii="宋体" w:hAnsi="宋体" w:eastAsia="宋体" w:cs="宋体"/>
          <w:sz w:val="21"/>
          <w:szCs w:val="21"/>
          <w:highlight w:val="none"/>
        </w:rPr>
        <w:t>特种设备作业人员考核</w:t>
      </w:r>
    </w:p>
    <w:p>
      <w:pPr>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3.供货范围和配置（包括软硬件和附件等）：</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3.1总体要求：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（1）设备必须采用国际上同行业中先进成熟的设计思想，制造技术；</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（2）设备在质量上必须具有优良的品质，即可靠性要高，使用寿命长；</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（3）设备必须具有良好的操作性，方便的维修性，可靠的安全性；</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（4）采用全新产品，并标明生产商、品牌与产地，并附原产地证明；</w:t>
      </w:r>
    </w:p>
    <w:p>
      <w:pPr>
        <w:spacing w:line="240" w:lineRule="auto"/>
        <w:ind w:lef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（5）质量保证期应为设备安装调试验收合格之日起</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w:t>
      </w:r>
    </w:p>
    <w:p>
      <w:pPr>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3.2 主要配置：</w:t>
      </w:r>
    </w:p>
    <w:p>
      <w:pPr>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永久气体气瓶充装考培模拟机（共</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套）</w:t>
      </w:r>
    </w:p>
    <w:p>
      <w:pPr>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标准配置：</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w:t>
      </w:r>
      <w:r>
        <w:rPr>
          <w:rFonts w:hint="eastAsia" w:ascii="宋体" w:hAnsi="宋体" w:eastAsia="宋体" w:cs="宋体"/>
          <w:sz w:val="21"/>
          <w:szCs w:val="21"/>
          <w:highlight w:val="none"/>
        </w:rPr>
        <w:tab/>
      </w:r>
      <w:r>
        <w:rPr>
          <w:rFonts w:hint="eastAsia" w:ascii="宋体" w:hAnsi="宋体" w:eastAsia="宋体" w:cs="宋体"/>
          <w:sz w:val="21"/>
          <w:szCs w:val="21"/>
          <w:highlight w:val="none"/>
        </w:rPr>
        <w:t>充装台</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1台。</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w:t>
      </w:r>
      <w:r>
        <w:rPr>
          <w:rFonts w:hint="eastAsia" w:ascii="宋体" w:hAnsi="宋体" w:eastAsia="宋体" w:cs="宋体"/>
          <w:sz w:val="21"/>
          <w:szCs w:val="21"/>
          <w:highlight w:val="none"/>
        </w:rPr>
        <w:tab/>
      </w:r>
      <w:r>
        <w:rPr>
          <w:rFonts w:hint="eastAsia" w:ascii="宋体" w:hAnsi="宋体" w:eastAsia="宋体" w:cs="宋体"/>
          <w:sz w:val="21"/>
          <w:szCs w:val="21"/>
          <w:highlight w:val="none"/>
        </w:rPr>
        <w:t>防爆墙</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1面。</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.3</w:t>
      </w:r>
      <w:r>
        <w:rPr>
          <w:rFonts w:hint="eastAsia" w:ascii="宋体" w:hAnsi="宋体" w:eastAsia="宋体" w:cs="宋体"/>
          <w:sz w:val="21"/>
          <w:szCs w:val="21"/>
          <w:highlight w:val="none"/>
        </w:rPr>
        <w:tab/>
      </w:r>
      <w:r>
        <w:rPr>
          <w:rFonts w:hint="eastAsia" w:ascii="宋体" w:hAnsi="宋体" w:eastAsia="宋体" w:cs="宋体"/>
          <w:sz w:val="21"/>
          <w:szCs w:val="21"/>
          <w:highlight w:val="none"/>
        </w:rPr>
        <w:t>充装排</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2条，规格：DN20。</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.4</w:t>
      </w:r>
      <w:r>
        <w:rPr>
          <w:rFonts w:hint="eastAsia" w:ascii="宋体" w:hAnsi="宋体" w:eastAsia="宋体" w:cs="宋体"/>
          <w:sz w:val="21"/>
          <w:szCs w:val="21"/>
          <w:highlight w:val="none"/>
        </w:rPr>
        <w:tab/>
      </w:r>
      <w:r>
        <w:rPr>
          <w:rFonts w:hint="eastAsia" w:ascii="宋体" w:hAnsi="宋体" w:eastAsia="宋体" w:cs="宋体"/>
          <w:sz w:val="21"/>
          <w:szCs w:val="21"/>
          <w:highlight w:val="none"/>
        </w:rPr>
        <w:t>抽真空排</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1条，规格：DN20。</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.5</w:t>
      </w:r>
      <w:r>
        <w:rPr>
          <w:rFonts w:hint="eastAsia" w:ascii="宋体" w:hAnsi="宋体" w:eastAsia="宋体" w:cs="宋体"/>
          <w:sz w:val="21"/>
          <w:szCs w:val="21"/>
          <w:highlight w:val="none"/>
        </w:rPr>
        <w:tab/>
      </w:r>
      <w:r>
        <w:rPr>
          <w:rFonts w:hint="eastAsia" w:ascii="宋体" w:hAnsi="宋体" w:eastAsia="宋体" w:cs="宋体"/>
          <w:sz w:val="21"/>
          <w:szCs w:val="21"/>
          <w:highlight w:val="none"/>
        </w:rPr>
        <w:t>氧气瓶</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5只，规格：40L。</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.6</w:t>
      </w:r>
      <w:r>
        <w:rPr>
          <w:rFonts w:hint="eastAsia" w:ascii="宋体" w:hAnsi="宋体" w:eastAsia="宋体" w:cs="宋体"/>
          <w:sz w:val="21"/>
          <w:szCs w:val="21"/>
          <w:highlight w:val="none"/>
        </w:rPr>
        <w:tab/>
      </w:r>
      <w:r>
        <w:rPr>
          <w:rFonts w:hint="eastAsia" w:ascii="宋体" w:hAnsi="宋体" w:eastAsia="宋体" w:cs="宋体"/>
          <w:sz w:val="21"/>
          <w:szCs w:val="21"/>
          <w:highlight w:val="none"/>
        </w:rPr>
        <w:t>气瓶防倒链</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5条。 </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.7</w:t>
      </w:r>
      <w:r>
        <w:rPr>
          <w:rFonts w:hint="eastAsia" w:ascii="宋体" w:hAnsi="宋体" w:eastAsia="宋体" w:cs="宋体"/>
          <w:sz w:val="21"/>
          <w:szCs w:val="21"/>
          <w:highlight w:val="none"/>
        </w:rPr>
        <w:tab/>
      </w:r>
      <w:r>
        <w:rPr>
          <w:rFonts w:hint="eastAsia" w:ascii="宋体" w:hAnsi="宋体" w:eastAsia="宋体" w:cs="宋体"/>
          <w:sz w:val="21"/>
          <w:szCs w:val="21"/>
          <w:highlight w:val="none"/>
        </w:rPr>
        <w:t>防错装充装夹具</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4套。</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.8</w:t>
      </w:r>
      <w:r>
        <w:rPr>
          <w:rFonts w:hint="eastAsia" w:ascii="宋体" w:hAnsi="宋体" w:eastAsia="宋体" w:cs="宋体"/>
          <w:sz w:val="21"/>
          <w:szCs w:val="21"/>
          <w:highlight w:val="none"/>
        </w:rPr>
        <w:tab/>
      </w:r>
      <w:r>
        <w:rPr>
          <w:rFonts w:hint="eastAsia" w:ascii="宋体" w:hAnsi="宋体" w:eastAsia="宋体" w:cs="宋体"/>
          <w:sz w:val="21"/>
          <w:szCs w:val="21"/>
          <w:highlight w:val="none"/>
        </w:rPr>
        <w:t>抽真空夹具</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1套。</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.9</w:t>
      </w:r>
      <w:r>
        <w:rPr>
          <w:rFonts w:hint="eastAsia" w:ascii="宋体" w:hAnsi="宋体" w:eastAsia="宋体" w:cs="宋体"/>
          <w:sz w:val="21"/>
          <w:szCs w:val="21"/>
          <w:highlight w:val="none"/>
        </w:rPr>
        <w:tab/>
      </w:r>
      <w:r>
        <w:rPr>
          <w:rFonts w:hint="eastAsia" w:ascii="宋体" w:hAnsi="宋体" w:eastAsia="宋体" w:cs="宋体"/>
          <w:sz w:val="21"/>
          <w:szCs w:val="21"/>
          <w:highlight w:val="none"/>
        </w:rPr>
        <w:t>安全阀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3个，规格：DN15。</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.10</w:t>
      </w:r>
      <w:r>
        <w:rPr>
          <w:rFonts w:hint="eastAsia" w:ascii="宋体" w:hAnsi="宋体" w:eastAsia="宋体" w:cs="宋体"/>
          <w:sz w:val="21"/>
          <w:szCs w:val="21"/>
          <w:highlight w:val="none"/>
        </w:rPr>
        <w:tab/>
      </w:r>
      <w:r>
        <w:rPr>
          <w:rFonts w:hint="eastAsia" w:ascii="宋体" w:hAnsi="宋体" w:eastAsia="宋体" w:cs="宋体"/>
          <w:sz w:val="21"/>
          <w:szCs w:val="21"/>
          <w:highlight w:val="none"/>
        </w:rPr>
        <w:t>充装控制总阀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1个，规格：DN20。</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.11</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充装分支控制阀 </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2个，规格：DN20。</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.12</w:t>
      </w:r>
      <w:r>
        <w:rPr>
          <w:rFonts w:hint="eastAsia" w:ascii="宋体" w:hAnsi="宋体" w:eastAsia="宋体" w:cs="宋体"/>
          <w:sz w:val="21"/>
          <w:szCs w:val="21"/>
          <w:highlight w:val="none"/>
        </w:rPr>
        <w:tab/>
      </w:r>
      <w:r>
        <w:rPr>
          <w:rFonts w:hint="eastAsia" w:ascii="宋体" w:hAnsi="宋体" w:eastAsia="宋体" w:cs="宋体"/>
          <w:sz w:val="21"/>
          <w:szCs w:val="21"/>
          <w:highlight w:val="none"/>
        </w:rPr>
        <w:t>充装截止阀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4个，规格：DN15。</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.13</w:t>
      </w:r>
      <w:r>
        <w:rPr>
          <w:rFonts w:hint="eastAsia" w:ascii="宋体" w:hAnsi="宋体" w:eastAsia="宋体" w:cs="宋体"/>
          <w:sz w:val="21"/>
          <w:szCs w:val="21"/>
          <w:highlight w:val="none"/>
        </w:rPr>
        <w:tab/>
      </w:r>
      <w:r>
        <w:rPr>
          <w:rFonts w:hint="eastAsia" w:ascii="宋体" w:hAnsi="宋体" w:eastAsia="宋体" w:cs="宋体"/>
          <w:sz w:val="21"/>
          <w:szCs w:val="21"/>
          <w:highlight w:val="none"/>
        </w:rPr>
        <w:t>充装排空阀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2个，规格：DN15。</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.14</w:t>
      </w:r>
      <w:r>
        <w:rPr>
          <w:rFonts w:hint="eastAsia" w:ascii="宋体" w:hAnsi="宋体" w:eastAsia="宋体" w:cs="宋体"/>
          <w:sz w:val="21"/>
          <w:szCs w:val="21"/>
          <w:highlight w:val="none"/>
        </w:rPr>
        <w:tab/>
      </w:r>
      <w:r>
        <w:rPr>
          <w:rFonts w:hint="eastAsia" w:ascii="宋体" w:hAnsi="宋体" w:eastAsia="宋体" w:cs="宋体"/>
          <w:sz w:val="21"/>
          <w:szCs w:val="21"/>
          <w:highlight w:val="none"/>
        </w:rPr>
        <w:t>气瓶瓶阀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4个，规格：DN15。</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.15</w:t>
      </w:r>
      <w:r>
        <w:rPr>
          <w:rFonts w:hint="eastAsia" w:ascii="宋体" w:hAnsi="宋体" w:eastAsia="宋体" w:cs="宋体"/>
          <w:sz w:val="21"/>
          <w:szCs w:val="21"/>
          <w:highlight w:val="none"/>
        </w:rPr>
        <w:tab/>
      </w:r>
      <w:r>
        <w:rPr>
          <w:rFonts w:hint="eastAsia" w:ascii="宋体" w:hAnsi="宋体" w:eastAsia="宋体" w:cs="宋体"/>
          <w:sz w:val="21"/>
          <w:szCs w:val="21"/>
          <w:highlight w:val="none"/>
        </w:rPr>
        <w:t>抽真空气瓶瓶阀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1个，规格：DN15。</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.16</w:t>
      </w:r>
      <w:r>
        <w:rPr>
          <w:rFonts w:hint="eastAsia" w:ascii="宋体" w:hAnsi="宋体" w:eastAsia="宋体" w:cs="宋体"/>
          <w:sz w:val="21"/>
          <w:szCs w:val="21"/>
          <w:highlight w:val="none"/>
        </w:rPr>
        <w:tab/>
      </w:r>
      <w:r>
        <w:rPr>
          <w:rFonts w:hint="eastAsia" w:ascii="宋体" w:hAnsi="宋体" w:eastAsia="宋体" w:cs="宋体"/>
          <w:sz w:val="21"/>
          <w:szCs w:val="21"/>
          <w:highlight w:val="none"/>
        </w:rPr>
        <w:t>抽真空截止阀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1个，规格：DN15。</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.17</w:t>
      </w:r>
      <w:r>
        <w:rPr>
          <w:rFonts w:hint="eastAsia" w:ascii="宋体" w:hAnsi="宋体" w:eastAsia="宋体" w:cs="宋体"/>
          <w:sz w:val="21"/>
          <w:szCs w:val="21"/>
          <w:highlight w:val="none"/>
        </w:rPr>
        <w:tab/>
      </w:r>
      <w:r>
        <w:rPr>
          <w:rFonts w:hint="eastAsia" w:ascii="宋体" w:hAnsi="宋体" w:eastAsia="宋体" w:cs="宋体"/>
          <w:sz w:val="21"/>
          <w:szCs w:val="21"/>
          <w:highlight w:val="none"/>
        </w:rPr>
        <w:t>压力表针型阀</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3个，规格：DN15。</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.18</w:t>
      </w:r>
      <w:r>
        <w:rPr>
          <w:rFonts w:hint="eastAsia" w:ascii="宋体" w:hAnsi="宋体" w:eastAsia="宋体" w:cs="宋体"/>
          <w:sz w:val="21"/>
          <w:szCs w:val="21"/>
          <w:highlight w:val="none"/>
        </w:rPr>
        <w:tab/>
      </w:r>
      <w:r>
        <w:rPr>
          <w:rFonts w:hint="eastAsia" w:ascii="宋体" w:hAnsi="宋体" w:eastAsia="宋体" w:cs="宋体"/>
          <w:sz w:val="21"/>
          <w:szCs w:val="21"/>
          <w:highlight w:val="none"/>
        </w:rPr>
        <w:t>按钮指示灯</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2个，规格：φ22。</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.19</w:t>
      </w:r>
      <w:r>
        <w:rPr>
          <w:rFonts w:hint="eastAsia" w:ascii="宋体" w:hAnsi="宋体" w:eastAsia="宋体" w:cs="宋体"/>
          <w:sz w:val="21"/>
          <w:szCs w:val="21"/>
          <w:highlight w:val="none"/>
        </w:rPr>
        <w:tab/>
      </w:r>
      <w:r>
        <w:rPr>
          <w:rFonts w:hint="eastAsia" w:ascii="宋体" w:hAnsi="宋体" w:eastAsia="宋体" w:cs="宋体"/>
          <w:sz w:val="21"/>
          <w:szCs w:val="21"/>
          <w:highlight w:val="none"/>
        </w:rPr>
        <w:t>金属气瓶检验环</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4个。</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.20</w:t>
      </w:r>
      <w:r>
        <w:rPr>
          <w:rFonts w:hint="eastAsia" w:ascii="宋体" w:hAnsi="宋体" w:eastAsia="宋体" w:cs="宋体"/>
          <w:sz w:val="21"/>
          <w:szCs w:val="21"/>
          <w:highlight w:val="none"/>
        </w:rPr>
        <w:tab/>
      </w:r>
      <w:r>
        <w:rPr>
          <w:rFonts w:hint="eastAsia" w:ascii="宋体" w:hAnsi="宋体" w:eastAsia="宋体" w:cs="宋体"/>
          <w:sz w:val="21"/>
          <w:szCs w:val="21"/>
          <w:highlight w:val="none"/>
        </w:rPr>
        <w:t>设备铭牌</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.21</w:t>
      </w:r>
      <w:r>
        <w:rPr>
          <w:rFonts w:hint="eastAsia" w:ascii="宋体" w:hAnsi="宋体" w:eastAsia="宋体" w:cs="宋体"/>
          <w:sz w:val="21"/>
          <w:szCs w:val="21"/>
          <w:highlight w:val="none"/>
        </w:rPr>
        <w:tab/>
      </w:r>
      <w:r>
        <w:rPr>
          <w:rFonts w:hint="eastAsia" w:ascii="宋体" w:hAnsi="宋体" w:eastAsia="宋体" w:cs="宋体"/>
          <w:sz w:val="21"/>
          <w:szCs w:val="21"/>
          <w:highlight w:val="none"/>
        </w:rPr>
        <w:t>压力表</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3块，规格：0~25Mpa；  表盘</w:t>
      </w:r>
      <w:r>
        <w:rPr>
          <w:rFonts w:hint="eastAsia" w:ascii="宋体" w:hAnsi="宋体" w:eastAsia="宋体" w:cs="宋体"/>
          <w:sz w:val="21"/>
          <w:szCs w:val="21"/>
          <w:highlight w:val="none"/>
          <w:lang w:eastAsia="zh-CN"/>
        </w:rPr>
        <w:t>直径不小于</w:t>
      </w:r>
      <w:r>
        <w:rPr>
          <w:rFonts w:hint="eastAsia" w:ascii="宋体" w:hAnsi="宋体" w:eastAsia="宋体" w:cs="宋体"/>
          <w:sz w:val="21"/>
          <w:szCs w:val="21"/>
          <w:highlight w:val="none"/>
        </w:rPr>
        <w:t>100。</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.22</w:t>
      </w:r>
      <w:r>
        <w:rPr>
          <w:rFonts w:hint="eastAsia" w:ascii="宋体" w:hAnsi="宋体" w:eastAsia="宋体" w:cs="宋体"/>
          <w:sz w:val="21"/>
          <w:szCs w:val="21"/>
          <w:highlight w:val="none"/>
        </w:rPr>
        <w:tab/>
      </w:r>
      <w:r>
        <w:rPr>
          <w:rFonts w:hint="eastAsia" w:ascii="宋体" w:hAnsi="宋体" w:eastAsia="宋体" w:cs="宋体"/>
          <w:sz w:val="21"/>
          <w:szCs w:val="21"/>
          <w:highlight w:val="none"/>
        </w:rPr>
        <w:t>抽真空表</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1个，规格：-0.1~0Mpa；表盘</w:t>
      </w:r>
      <w:r>
        <w:rPr>
          <w:rFonts w:hint="eastAsia" w:ascii="宋体" w:hAnsi="宋体" w:eastAsia="宋体" w:cs="宋体"/>
          <w:sz w:val="21"/>
          <w:szCs w:val="21"/>
          <w:highlight w:val="none"/>
          <w:lang w:eastAsia="zh-CN"/>
        </w:rPr>
        <w:t>直径不小于</w:t>
      </w:r>
      <w:r>
        <w:rPr>
          <w:rFonts w:hint="eastAsia" w:ascii="宋体" w:hAnsi="宋体" w:eastAsia="宋体" w:cs="宋体"/>
          <w:sz w:val="21"/>
          <w:szCs w:val="21"/>
          <w:highlight w:val="none"/>
        </w:rPr>
        <w:t>100。</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.23</w:t>
      </w:r>
      <w:r>
        <w:rPr>
          <w:rFonts w:hint="eastAsia" w:ascii="宋体" w:hAnsi="宋体" w:eastAsia="宋体" w:cs="宋体"/>
          <w:sz w:val="21"/>
          <w:szCs w:val="21"/>
          <w:highlight w:val="none"/>
        </w:rPr>
        <w:tab/>
      </w:r>
      <w:r>
        <w:rPr>
          <w:rFonts w:hint="eastAsia" w:ascii="宋体" w:hAnsi="宋体" w:eastAsia="宋体" w:cs="宋体"/>
          <w:sz w:val="21"/>
          <w:szCs w:val="21"/>
          <w:highlight w:val="none"/>
        </w:rPr>
        <w:t>可编程控制器</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1套。</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.24</w:t>
      </w:r>
      <w:r>
        <w:rPr>
          <w:rFonts w:hint="eastAsia" w:ascii="宋体" w:hAnsi="宋体" w:eastAsia="宋体" w:cs="宋体"/>
          <w:sz w:val="21"/>
          <w:szCs w:val="21"/>
          <w:highlight w:val="none"/>
        </w:rPr>
        <w:tab/>
      </w:r>
      <w:r>
        <w:rPr>
          <w:rFonts w:hint="eastAsia" w:ascii="宋体" w:hAnsi="宋体" w:eastAsia="宋体" w:cs="宋体"/>
          <w:sz w:val="21"/>
          <w:szCs w:val="21"/>
          <w:highlight w:val="none"/>
        </w:rPr>
        <w:t>工业触摸屏</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1个。</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.25</w:t>
      </w:r>
      <w:r>
        <w:rPr>
          <w:rFonts w:hint="eastAsia" w:ascii="宋体" w:hAnsi="宋体" w:eastAsia="宋体" w:cs="宋体"/>
          <w:sz w:val="21"/>
          <w:szCs w:val="21"/>
          <w:highlight w:val="none"/>
        </w:rPr>
        <w:tab/>
      </w:r>
      <w:r>
        <w:rPr>
          <w:rFonts w:hint="eastAsia" w:ascii="宋体" w:hAnsi="宋体" w:eastAsia="宋体" w:cs="宋体"/>
          <w:sz w:val="21"/>
          <w:szCs w:val="21"/>
          <w:highlight w:val="none"/>
        </w:rPr>
        <w:t>扫描枪</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1把。</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.26</w:t>
      </w:r>
      <w:r>
        <w:rPr>
          <w:rFonts w:hint="eastAsia" w:ascii="宋体" w:hAnsi="宋体" w:eastAsia="宋体" w:cs="宋体"/>
          <w:sz w:val="21"/>
          <w:szCs w:val="21"/>
          <w:highlight w:val="none"/>
        </w:rPr>
        <w:tab/>
      </w:r>
      <w:r>
        <w:rPr>
          <w:rFonts w:hint="eastAsia" w:ascii="宋体" w:hAnsi="宋体" w:eastAsia="宋体" w:cs="宋体"/>
          <w:sz w:val="21"/>
          <w:szCs w:val="21"/>
          <w:highlight w:val="none"/>
          <w:lang w:eastAsia="zh-CN"/>
        </w:rPr>
        <w:t>控制终端</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1台，规格：内存4G，硬盘128G，23.8英寸。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.27</w:t>
      </w:r>
      <w:r>
        <w:rPr>
          <w:rFonts w:hint="eastAsia" w:ascii="宋体" w:hAnsi="宋体" w:eastAsia="宋体" w:cs="宋体"/>
          <w:sz w:val="21"/>
          <w:szCs w:val="21"/>
          <w:highlight w:val="none"/>
        </w:rPr>
        <w:tab/>
      </w:r>
      <w:r>
        <w:rPr>
          <w:rFonts w:hint="eastAsia" w:ascii="宋体" w:hAnsi="宋体" w:eastAsia="宋体" w:cs="宋体"/>
          <w:sz w:val="21"/>
          <w:szCs w:val="21"/>
          <w:highlight w:val="none"/>
        </w:rPr>
        <w:t>考核软件</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1套。</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3.2</w:t>
      </w:r>
      <w:r>
        <w:rPr>
          <w:rFonts w:hint="eastAsia" w:ascii="宋体" w:hAnsi="宋体" w:eastAsia="宋体" w:cs="宋体"/>
          <w:sz w:val="21"/>
          <w:szCs w:val="21"/>
          <w:highlight w:val="none"/>
        </w:rPr>
        <w:t>.28</w:t>
      </w:r>
      <w:r>
        <w:rPr>
          <w:rFonts w:hint="eastAsia" w:ascii="宋体" w:hAnsi="宋体" w:eastAsia="宋体" w:cs="宋体"/>
          <w:sz w:val="21"/>
          <w:szCs w:val="21"/>
          <w:highlight w:val="none"/>
        </w:rPr>
        <w:tab/>
      </w:r>
      <w:r>
        <w:rPr>
          <w:rFonts w:hint="eastAsia" w:ascii="宋体" w:hAnsi="宋体" w:eastAsia="宋体" w:cs="宋体"/>
          <w:sz w:val="21"/>
          <w:szCs w:val="21"/>
          <w:highlight w:val="none"/>
        </w:rPr>
        <w:t>部件识别系统</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1套。</w:t>
      </w:r>
    </w:p>
    <w:p>
      <w:pPr>
        <w:spacing w:line="240" w:lineRule="auto"/>
        <w:ind w:firstLine="422" w:firstLineChars="200"/>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 主要技术要求</w:t>
      </w:r>
      <w:r>
        <w:rPr>
          <w:rFonts w:hint="eastAsia" w:ascii="宋体" w:hAnsi="宋体" w:eastAsia="宋体" w:cs="宋体"/>
          <w:b/>
          <w:bCs/>
          <w:sz w:val="21"/>
          <w:szCs w:val="21"/>
          <w:highlight w:val="none"/>
          <w:lang w:eastAsia="zh-CN"/>
        </w:rPr>
        <w:t>和参数（包括软硬件附属设备等）</w:t>
      </w:r>
    </w:p>
    <w:p>
      <w:pPr>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.1 基本要求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.1.1充装台、气瓶、安全附件、充装夹具、充装截止阀、气瓶瓶阀、充装管路、压力表、真空表等需实物仿真，并可进行相应模拟操作，且能够对运行状况充装压力等进行模拟显示。</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.1.2充装台应按照永久气体气瓶充装实际工艺制作。配备的安全附件和操作阀门均为气体充装常用真实部件，供学员实操训练及考核。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.1.3要求能够实现部件识别操作、基本操作、应急处置操作等科目考试的要求，考试各部分内容所占比例部件识别占25%，基本操作占50%，应急处置占25%，所有科目考试内容应与考核大纲一致。</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.1.4为方便教学、演示，要求利用动画技术生动演示了永久气体充装组成、及安全附件的教学。</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.1.5满足最新TSG Z6001-2019《特种设备作业人员考核规则》中实操考核的要求，软件系统具有题库管理、随机组卷、自动限时计时、自动判卷评分、自动记录存档、统计、查询、汇总报表、建档和存档等数据库管理功能。</w:t>
      </w:r>
    </w:p>
    <w:p>
      <w:pPr>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.2 技术要求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.2.1 系统软件至少应具备上机操作训练功能、考核功能、试题自选试题及随机选题功能、自动组卷功能、考试计时功能、考核自动打分功能、学员信息管理功能、学员数据库管理功能、学员信息导入导出功能、数据库维护功能、备份数据库等功能。</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.2.2系统需采用电磁传感技术安装在充装台及附属设备内安全附件和操作阀门。安全附件和操作阀门内部设计加工良好，配置传感器安装部件，以方便传感器的调试、维修、更换。</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.2.3部件识别：嵌入考核软件中，硬件使用无线二维扫描枪，对相关操作阀门、安全附件或典型结构进行扫描识别，同时在工业触摸屏显示出识别物件相应的名称，考核端需有相应语音提示。</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2.4工业触摸屏运行软件包括：练习界面、考核界面两个部分；练习界面应显示考题内容、考题正确步骤内容及实时显示学员每一步操作内容，学员通过触摸屏选择不同的考题进行练习；考核界面应显示考题内容实时显示学员每一步操作内容。</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.2.5安装尺寸：长</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宽</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高≥1850</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650</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1960mm。</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工业触摸屏不小于10.2英寸</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控制终端</w:t>
      </w:r>
      <w:r>
        <w:rPr>
          <w:rFonts w:hint="eastAsia" w:ascii="宋体" w:hAnsi="宋体" w:eastAsia="宋体" w:cs="宋体"/>
          <w:color w:val="000000"/>
          <w:sz w:val="21"/>
          <w:szCs w:val="21"/>
          <w:highlight w:val="none"/>
        </w:rPr>
        <w:t>：内存</w:t>
      </w:r>
      <w:r>
        <w:rPr>
          <w:rFonts w:hint="eastAsia" w:ascii="宋体" w:hAnsi="宋体" w:eastAsia="宋体" w:cs="宋体"/>
          <w:sz w:val="21"/>
          <w:szCs w:val="21"/>
          <w:highlight w:val="none"/>
        </w:rPr>
        <w:t>不小于</w:t>
      </w:r>
      <w:r>
        <w:rPr>
          <w:rFonts w:hint="eastAsia" w:ascii="宋体" w:hAnsi="宋体" w:eastAsia="宋体" w:cs="宋体"/>
          <w:color w:val="000000"/>
          <w:sz w:val="21"/>
          <w:szCs w:val="21"/>
          <w:highlight w:val="none"/>
        </w:rPr>
        <w:t>4G，硬盘</w:t>
      </w:r>
      <w:r>
        <w:rPr>
          <w:rFonts w:hint="eastAsia" w:ascii="宋体" w:hAnsi="宋体" w:eastAsia="宋体" w:cs="宋体"/>
          <w:sz w:val="21"/>
          <w:szCs w:val="21"/>
          <w:highlight w:val="none"/>
        </w:rPr>
        <w:t>不小于</w:t>
      </w:r>
      <w:r>
        <w:rPr>
          <w:rFonts w:hint="eastAsia" w:ascii="宋体" w:hAnsi="宋体" w:eastAsia="宋体" w:cs="宋体"/>
          <w:color w:val="000000"/>
          <w:sz w:val="21"/>
          <w:szCs w:val="21"/>
          <w:highlight w:val="none"/>
        </w:rPr>
        <w:t>128G，</w:t>
      </w:r>
      <w:r>
        <w:rPr>
          <w:rFonts w:hint="eastAsia" w:ascii="宋体" w:hAnsi="宋体" w:eastAsia="宋体" w:cs="宋体"/>
          <w:sz w:val="21"/>
          <w:szCs w:val="21"/>
          <w:highlight w:val="none"/>
        </w:rPr>
        <w:t>不小于</w:t>
      </w:r>
      <w:r>
        <w:rPr>
          <w:rFonts w:hint="eastAsia" w:ascii="宋体" w:hAnsi="宋体" w:eastAsia="宋体" w:cs="宋体"/>
          <w:color w:val="000000"/>
          <w:sz w:val="21"/>
          <w:szCs w:val="21"/>
          <w:highlight w:val="none"/>
        </w:rPr>
        <w:t>23.8英寸</w:t>
      </w:r>
    </w:p>
    <w:p>
      <w:pPr>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5.技术服务与承诺：</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（1）保修期内，设备及附件由于质量问题而不能正常工作时，供方承诺在一天内到达用户现场免费修理或更换零部件。因维修不及时，而导致设备无法正常使用时，其保修时间随停机时间的长短而相应延长。</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（2）供方对设备提供终生维修服务，保修期外只收取零部件配件费和维修费用，并享有优惠购买零配件待遇。</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（3）售后服务人员无忧电话回访，主动跟踪动态服务。检查设备的运行情况，并对设备进行维护和保养。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（4）质保期内设备发生故障系设备出现质量问题，无偿更换；</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（5）设备未按照合同规定地点交货、验收之前，如发生不可力因素导致设备毁坏或灭失，由供方承担责任；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（6）供方公司提供</w:t>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rPr>
        <w:t>年的质保期；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）对设备软件终身免费升级；</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）供方免费提供：就位、设备安装、调试工作。</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）附带易损易耗物品清单及其价格表。</w:t>
      </w:r>
    </w:p>
    <w:p>
      <w:pPr>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6.培训：</w:t>
      </w:r>
    </w:p>
    <w:p>
      <w:pPr>
        <w:ind w:firstLine="420" w:firstLineChars="200"/>
        <w:jc w:val="left"/>
        <w:outlineLvl w:val="9"/>
        <w:rPr>
          <w:rFonts w:hint="eastAsia" w:ascii="宋体" w:hAnsi="宋体" w:eastAsia="宋体" w:cs="宋体"/>
          <w:b/>
          <w:bCs/>
          <w:color w:val="auto"/>
          <w:kern w:val="0"/>
          <w:sz w:val="21"/>
          <w:szCs w:val="21"/>
          <w:highlight w:val="none"/>
          <w:shd w:val="clear" w:color="auto" w:fill="FFFFFF"/>
          <w:lang w:val="en-US" w:eastAsia="zh-CN"/>
        </w:rPr>
      </w:pPr>
      <w:r>
        <w:rPr>
          <w:rFonts w:hint="eastAsia" w:ascii="宋体" w:hAnsi="宋体" w:eastAsia="宋体" w:cs="宋体"/>
          <w:sz w:val="21"/>
          <w:szCs w:val="21"/>
          <w:highlight w:val="none"/>
        </w:rPr>
        <w:t>供方负责拟定免费培训；设备安装调试最终验收合格后，由供方专业技术人员为用户安排2～3天的操作培训、维护人员的免费培训。主要培训操作人员对设备基本原理、软件使用、操作、维护等的理解及应用，并达到用户操作人员能独立操作设备、服务</w:t>
      </w:r>
      <w:r>
        <w:rPr>
          <w:rFonts w:hint="eastAsia" w:ascii="宋体" w:hAnsi="宋体" w:eastAsia="宋体" w:cs="宋体"/>
          <w:sz w:val="21"/>
          <w:szCs w:val="21"/>
          <w:highlight w:val="none"/>
          <w:lang w:val="en-US" w:eastAsia="zh-CN"/>
        </w:rPr>
        <w:t>考试</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故障排除</w:t>
      </w:r>
      <w:r>
        <w:rPr>
          <w:rFonts w:hint="eastAsia" w:ascii="宋体" w:hAnsi="宋体" w:eastAsia="宋体" w:cs="宋体"/>
          <w:sz w:val="21"/>
          <w:szCs w:val="21"/>
          <w:highlight w:val="none"/>
        </w:rPr>
        <w:t>工作和基本的维护工作。</w:t>
      </w:r>
    </w:p>
    <w:p>
      <w:pPr>
        <w:rPr>
          <w:rFonts w:hint="eastAsia" w:ascii="宋体" w:hAnsi="宋体" w:eastAsia="宋体" w:cs="宋体"/>
          <w:b/>
          <w:bCs/>
          <w:color w:val="auto"/>
          <w:kern w:val="0"/>
          <w:sz w:val="24"/>
          <w:szCs w:val="24"/>
          <w:highlight w:val="none"/>
          <w:shd w:val="clear" w:color="auto" w:fill="FFFFFF"/>
          <w:lang w:val="en-US" w:eastAsia="zh-CN"/>
        </w:rPr>
      </w:pPr>
      <w:r>
        <w:rPr>
          <w:rFonts w:hint="eastAsia" w:ascii="宋体" w:hAnsi="宋体" w:eastAsia="宋体" w:cs="宋体"/>
          <w:b/>
          <w:bCs/>
          <w:color w:val="auto"/>
          <w:kern w:val="0"/>
          <w:sz w:val="24"/>
          <w:szCs w:val="24"/>
          <w:highlight w:val="none"/>
          <w:shd w:val="clear" w:color="auto" w:fill="FFFFFF"/>
          <w:lang w:val="en-US" w:eastAsia="zh-CN"/>
        </w:rPr>
        <w:br w:type="page"/>
      </w:r>
    </w:p>
    <w:p>
      <w:pPr>
        <w:jc w:val="center"/>
        <w:outlineLvl w:val="2"/>
        <w:rPr>
          <w:rFonts w:hint="eastAsia" w:ascii="宋体" w:hAnsi="宋体" w:eastAsia="宋体" w:cs="宋体"/>
          <w:b/>
          <w:bCs/>
          <w:color w:val="auto"/>
          <w:kern w:val="0"/>
          <w:sz w:val="24"/>
          <w:szCs w:val="24"/>
          <w:highlight w:val="none"/>
          <w:shd w:val="clear" w:color="auto" w:fill="FFFFFF"/>
          <w:lang w:val="en-US" w:eastAsia="zh-CN"/>
        </w:rPr>
      </w:pPr>
      <w:r>
        <w:rPr>
          <w:rFonts w:hint="eastAsia" w:ascii="宋体" w:hAnsi="宋体" w:eastAsia="宋体" w:cs="宋体"/>
          <w:b/>
          <w:bCs/>
          <w:color w:val="auto"/>
          <w:kern w:val="0"/>
          <w:sz w:val="24"/>
          <w:szCs w:val="24"/>
          <w:highlight w:val="none"/>
          <w:shd w:val="clear" w:color="auto" w:fill="FFFFFF"/>
          <w:lang w:val="en-US" w:eastAsia="zh-CN"/>
        </w:rPr>
        <w:t>包5</w:t>
      </w:r>
      <w:r>
        <w:rPr>
          <w:rFonts w:hint="eastAsia" w:ascii="宋体" w:hAnsi="宋体" w:eastAsia="宋体" w:cs="宋体"/>
          <w:b/>
          <w:bCs/>
          <w:color w:val="auto"/>
          <w:kern w:val="0"/>
          <w:sz w:val="24"/>
          <w:szCs w:val="24"/>
          <w:highlight w:val="none"/>
          <w:shd w:val="clear" w:color="auto" w:fill="FFFFFF"/>
        </w:rPr>
        <w:t>设备技术参数</w:t>
      </w:r>
      <w:r>
        <w:rPr>
          <w:rFonts w:hint="eastAsia" w:ascii="宋体" w:hAnsi="宋体" w:eastAsia="宋体" w:cs="宋体"/>
          <w:b/>
          <w:bCs/>
          <w:color w:val="auto"/>
          <w:kern w:val="0"/>
          <w:sz w:val="24"/>
          <w:szCs w:val="24"/>
          <w:highlight w:val="none"/>
          <w:shd w:val="clear" w:color="auto" w:fill="FFFFFF"/>
          <w:lang w:val="en-US" w:eastAsia="zh-CN"/>
        </w:rPr>
        <w:t>：</w:t>
      </w:r>
    </w:p>
    <w:p>
      <w:pPr>
        <w:jc w:val="center"/>
        <w:outlineLvl w:val="3"/>
        <w:rPr>
          <w:rFonts w:hint="eastAsia" w:ascii="宋体" w:hAnsi="宋体" w:eastAsia="宋体" w:cs="宋体"/>
          <w:bCs/>
          <w:spacing w:val="-20"/>
          <w:sz w:val="21"/>
          <w:szCs w:val="21"/>
          <w:highlight w:val="none"/>
        </w:rPr>
      </w:pPr>
      <w:r>
        <w:rPr>
          <w:rFonts w:hint="eastAsia" w:ascii="宋体" w:hAnsi="宋体" w:eastAsia="宋体" w:cs="宋体"/>
          <w:b/>
          <w:bCs w:val="0"/>
          <w:spacing w:val="-20"/>
          <w:sz w:val="21"/>
          <w:szCs w:val="21"/>
          <w:highlight w:val="none"/>
        </w:rPr>
        <w:t>特种设备作业人员考核机构设备主要配置及技术要求和参数</w:t>
      </w:r>
    </w:p>
    <w:p>
      <w:pPr>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1.设备名称： </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气瓶充装考培模拟机组</w:t>
      </w:r>
    </w:p>
    <w:p>
      <w:pPr>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2.主要用途：</w:t>
      </w:r>
      <w:r>
        <w:rPr>
          <w:rFonts w:hint="eastAsia" w:ascii="宋体" w:hAnsi="宋体" w:eastAsia="宋体" w:cs="宋体"/>
          <w:sz w:val="21"/>
          <w:szCs w:val="21"/>
          <w:highlight w:val="none"/>
        </w:rPr>
        <w:t>特种设备作业人员考核</w:t>
      </w:r>
    </w:p>
    <w:p>
      <w:pPr>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3.供货范围和配置（包括软硬件和附件等）：</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3.1总体要求：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（1）设备必须采用国际上同行业中先进成熟的设计思想，制造技术；</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（2）设备在质量上必须具有优良的品质，即可靠性要高，使用寿命长；</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（3）设备必须具有良好的操作性，方便的维修性，可靠的安全性；</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（4）采用全新产品，并标明生产商、品牌与产地，并附原产地证明；</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（5）质量保证期应为设备安装调试验收合格之日起1年。</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 主要配置：</w:t>
      </w:r>
    </w:p>
    <w:p>
      <w:pPr>
        <w:ind w:firstLine="211" w:firstLineChars="1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（1）气瓶充装模拟机组（共2组）</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标准配置：</w:t>
      </w:r>
    </w:p>
    <w:p>
      <w:pPr>
        <w:numPr>
          <w:ilvl w:val="0"/>
          <w:numId w:val="6"/>
        </w:num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永久气体气瓶充装模拟机本体1台</w:t>
      </w:r>
    </w:p>
    <w:p>
      <w:pPr>
        <w:numPr>
          <w:ilvl w:val="0"/>
          <w:numId w:val="6"/>
        </w:num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液化石油气气瓶充装模拟机本体1台</w:t>
      </w:r>
    </w:p>
    <w:p>
      <w:pPr>
        <w:numPr>
          <w:ilvl w:val="0"/>
          <w:numId w:val="6"/>
        </w:num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车载气瓶充装模拟机本体1台</w:t>
      </w:r>
    </w:p>
    <w:p>
      <w:pPr>
        <w:numPr>
          <w:ilvl w:val="0"/>
          <w:numId w:val="6"/>
        </w:num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液化气体、溶解乙炔气瓶充装排架1台</w:t>
      </w:r>
    </w:p>
    <w:p>
      <w:pPr>
        <w:numPr>
          <w:ilvl w:val="0"/>
          <w:numId w:val="6"/>
        </w:num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控制终端3台</w:t>
      </w:r>
    </w:p>
    <w:p>
      <w:pPr>
        <w:numPr>
          <w:ilvl w:val="0"/>
          <w:numId w:val="6"/>
        </w:num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显示器3块</w:t>
      </w:r>
    </w:p>
    <w:p>
      <w:pPr>
        <w:numPr>
          <w:ilvl w:val="0"/>
          <w:numId w:val="6"/>
        </w:num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逻辑控制开关3套（包含逻辑开关控制按钮及控制器）</w:t>
      </w:r>
    </w:p>
    <w:p>
      <w:pPr>
        <w:numPr>
          <w:ilvl w:val="0"/>
          <w:numId w:val="6"/>
        </w:num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使用说明书、合格证、保修卡各3份</w:t>
      </w:r>
    </w:p>
    <w:p>
      <w:pPr>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4.主要技术要求和参数（包括软硬件附属设备等）：</w:t>
      </w:r>
    </w:p>
    <w:p>
      <w:pPr>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4.1永久气体气瓶充装模拟机</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4.1.1技术要求：</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1）充装台、气瓶、安全附件、充装夹具、气瓶充装截止阀、气瓶瓶阀、充装管路、压力表、真空表等需实物仿真，并可进行相应模拟操作，且能够对运行状况（如充装压力、真空度等）进行显示</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2）要求能够实现考核大纲要求的正常操作、零部件识别、故障设置、应急操作等科目考试的要求，所有科目考试内容应与考核大纲一致，满足最新TSG Z6001-2019《特种设备作业人员考核规则》中实操考核的要求；试题要求不少于100套试题，其中包括零部件识别，基本操作，应急处理</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3）满足最新TSG Z6001-2019《特种设备作业人员考核规则》中实操考核的要求,软件系统具有题库管理、随机组卷、自动限时计时、自动判卷评分、自动记录存档、统计、查询、汇总报表、建档和存档等数据库管理功能</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4）充装台应按照永久气体气瓶充装实际工艺制作，在此基础上进行模拟化改造，达到实操考核的使用要求。配备的安全附件和操作阀门均为气体充装常用真实部件，供学员实操训练及考核</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系统采用逻辑控制点位开关技术安装在永久气体气瓶充装及附属设备,安全附件和操作阀门相对应位置上，所有阀门和控制点位都要进行安装逻辑开关进行一一对应训练考试。共有15组逻辑开关和零部件一一对应。</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6）要求实现学员信息自动录入及学员持身份证考核确认功能</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4.1.2永久气体气瓶充装模拟机技术参数：</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1）充装台2000 X 600 X 1600mm  1个</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2）氧气瓶：WP15  5只</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3）防错装充装夹具：标准  4套</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4）抽真空夹具：标准  1套</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5）永久气体气瓶充装管路  1套</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6）永久气体气瓶抽真空管路  1套</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7）1.安全阀：DN20  1个</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8）压力表：Y150、16Mpa  3个</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9）抽真空表：Y100、-0.1Mpa  1个</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10）充装控制总阀：DN20  1个</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11）充装排分支控制阀：DN20  2个</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12）充装排充装截止阀：DN15  4个</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13）充装排充装排空阀：DN15  2个</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14）模拟考点逻辑开关  15组</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15）以太网可编程控制器  1台</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16）操作触摸屏TCP1062KX  1台</w:t>
      </w:r>
    </w:p>
    <w:p>
      <w:pPr>
        <w:numPr>
          <w:ilvl w:val="0"/>
          <w:numId w:val="7"/>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自动控制电控箱  1台</w:t>
      </w:r>
    </w:p>
    <w:p>
      <w:pPr>
        <w:numPr>
          <w:ilvl w:val="0"/>
          <w:numId w:val="7"/>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安装尺寸:长</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宽</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高≥3000</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1500</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1600mm</w:t>
      </w:r>
    </w:p>
    <w:p>
      <w:pPr>
        <w:numPr>
          <w:ilvl w:val="0"/>
          <w:numId w:val="7"/>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安装重量：≥200Kg</w:t>
      </w:r>
    </w:p>
    <w:p>
      <w:pPr>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4.2液化石油气气瓶充装模拟机</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4.2.1技术要求：</w:t>
      </w:r>
    </w:p>
    <w:p>
      <w:pPr>
        <w:numPr>
          <w:ilvl w:val="0"/>
          <w:numId w:val="8"/>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充装台、气瓶、安全附件、充装夹具、气瓶充装截止阀、气瓶瓶阀、充装管路、压力表、真空表等需实物仿真，并可进行相应模拟操作，且能够对运行状况（如充装压力、真空度等）进行显示</w:t>
      </w:r>
    </w:p>
    <w:p>
      <w:pPr>
        <w:numPr>
          <w:ilvl w:val="0"/>
          <w:numId w:val="8"/>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要求能够实现考核大纲要求的正常操作、零部件识别、故障设置、应急操作等科目考试的要求，所有科目考试内容应与考核大纲一致，满足最新TSG Z6001-2019《特种设备作业人员考核规则》中实操考核的要求；试题要求不少于100套试题，其中包括零部件识别，基本操作，应急处理</w:t>
      </w:r>
    </w:p>
    <w:p>
      <w:pPr>
        <w:numPr>
          <w:ilvl w:val="0"/>
          <w:numId w:val="8"/>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满足最新TSG Z6001-2019《特种设备作业人员考核规则》中实操考核的要求,软件系统具有题库管理、随机组卷、自动限时计时、自动判卷评分、自动记录存档、统计、查询、汇总报表、建档和存档等数据库管理功能</w:t>
      </w:r>
    </w:p>
    <w:p>
      <w:pPr>
        <w:numPr>
          <w:ilvl w:val="0"/>
          <w:numId w:val="8"/>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充装台应按照液化气体气瓶充装实际工艺制作，在此基础上进行模拟化改造，达到实操考核的使用要求。配备的安全附件和操作阀门均为气体充装常用真实部件，供学员实操训练及考核</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系统采用逻辑控制点位开关技术安装在液化气体气瓶充装及附属设备,安全附件和操作阀门相对应位置上，所有阀门和控制点位都要进行安装逻辑开关进行一一对应训练考试。共有15组逻辑开关和零部件一一对应。</w:t>
      </w:r>
    </w:p>
    <w:p>
      <w:pPr>
        <w:numPr>
          <w:ilvl w:val="0"/>
          <w:numId w:val="8"/>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要求实现学员信息自动录入及学员持身份证考核确认功能</w:t>
      </w:r>
    </w:p>
    <w:p>
      <w:pPr>
        <w:numPr>
          <w:ilvl w:val="0"/>
          <w:numId w:val="8"/>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逻辑开关具备考点检测功能</w:t>
      </w:r>
    </w:p>
    <w:p>
      <w:p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4.2.2液化石油气气瓶充装模拟机技术参数：</w:t>
      </w:r>
    </w:p>
    <w:p>
      <w:pPr>
        <w:numPr>
          <w:ilvl w:val="0"/>
          <w:numId w:val="9"/>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充装台2000 X 600 X 1600mm  1个</w:t>
      </w:r>
    </w:p>
    <w:p>
      <w:pPr>
        <w:numPr>
          <w:ilvl w:val="0"/>
          <w:numId w:val="9"/>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液化石油气瓶：16.5Kg  4只</w:t>
      </w:r>
    </w:p>
    <w:p>
      <w:pPr>
        <w:numPr>
          <w:ilvl w:val="0"/>
          <w:numId w:val="9"/>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充装夹具标准  3套</w:t>
      </w:r>
    </w:p>
    <w:p>
      <w:pPr>
        <w:numPr>
          <w:ilvl w:val="0"/>
          <w:numId w:val="9"/>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称重称：100Kg  3个</w:t>
      </w:r>
    </w:p>
    <w:p>
      <w:pPr>
        <w:numPr>
          <w:ilvl w:val="0"/>
          <w:numId w:val="9"/>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液化石油气充装管路  1套</w:t>
      </w:r>
    </w:p>
    <w:p>
      <w:pPr>
        <w:numPr>
          <w:ilvl w:val="0"/>
          <w:numId w:val="9"/>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液化石油气抽真空管路  1套</w:t>
      </w:r>
    </w:p>
    <w:p>
      <w:pPr>
        <w:numPr>
          <w:ilvl w:val="0"/>
          <w:numId w:val="9"/>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液化石油气倒残液管路  1套</w:t>
      </w:r>
    </w:p>
    <w:p>
      <w:pPr>
        <w:numPr>
          <w:ilvl w:val="0"/>
          <w:numId w:val="9"/>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安全阀：DN15  1个</w:t>
      </w:r>
    </w:p>
    <w:p>
      <w:pPr>
        <w:numPr>
          <w:ilvl w:val="0"/>
          <w:numId w:val="9"/>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压力表：Y100  1个</w:t>
      </w:r>
    </w:p>
    <w:p>
      <w:pPr>
        <w:numPr>
          <w:ilvl w:val="0"/>
          <w:numId w:val="9"/>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抽真空表：Y100  1个</w:t>
      </w:r>
    </w:p>
    <w:p>
      <w:pPr>
        <w:numPr>
          <w:ilvl w:val="0"/>
          <w:numId w:val="9"/>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充装排分支控制阀：DN20  1个</w:t>
      </w:r>
    </w:p>
    <w:p>
      <w:pPr>
        <w:numPr>
          <w:ilvl w:val="0"/>
          <w:numId w:val="9"/>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充装排充装截止阀：DN15  3个</w:t>
      </w:r>
    </w:p>
    <w:p>
      <w:pPr>
        <w:numPr>
          <w:ilvl w:val="0"/>
          <w:numId w:val="9"/>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充装排充装排空阀：DN15  1个</w:t>
      </w:r>
    </w:p>
    <w:p>
      <w:pPr>
        <w:numPr>
          <w:ilvl w:val="0"/>
          <w:numId w:val="9"/>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排残液阀：DN15  1个</w:t>
      </w:r>
    </w:p>
    <w:p>
      <w:pPr>
        <w:numPr>
          <w:ilvl w:val="0"/>
          <w:numId w:val="9"/>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以太网可编程控制器  1个</w:t>
      </w:r>
    </w:p>
    <w:p>
      <w:pPr>
        <w:numPr>
          <w:ilvl w:val="0"/>
          <w:numId w:val="9"/>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操作触摸屏：TCP1062KX  1台</w:t>
      </w:r>
    </w:p>
    <w:p>
      <w:pPr>
        <w:numPr>
          <w:ilvl w:val="0"/>
          <w:numId w:val="9"/>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模拟考点逻辑开关  15组</w:t>
      </w:r>
    </w:p>
    <w:p>
      <w:pPr>
        <w:numPr>
          <w:ilvl w:val="0"/>
          <w:numId w:val="9"/>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安装尺寸:长</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宽</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高≥3000</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1500</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1600mm</w:t>
      </w:r>
    </w:p>
    <w:p>
      <w:pPr>
        <w:numPr>
          <w:ilvl w:val="0"/>
          <w:numId w:val="9"/>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安装重量：≥200Kg</w:t>
      </w:r>
    </w:p>
    <w:p>
      <w:pPr>
        <w:ind w:firstLine="64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4.3车载气瓶充装模拟机</w:t>
      </w:r>
    </w:p>
    <w:p>
      <w:p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4.3.1技术要求：</w:t>
      </w:r>
    </w:p>
    <w:p>
      <w:pPr>
        <w:numPr>
          <w:ilvl w:val="0"/>
          <w:numId w:val="10"/>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要求该系统有真实的充装设备包括：充装柜、车用LNG杜瓦瓶、CNG绕带式缠绕气瓶、LNG充气枪、LNG回气枪、CNG充气枪、充气软管等，并可进行相应模拟操作，且能够对运行状况（如充装重量、充装压力、充装金额等）进行模拟显示</w:t>
      </w:r>
    </w:p>
    <w:p>
      <w:pPr>
        <w:numPr>
          <w:ilvl w:val="0"/>
          <w:numId w:val="10"/>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要求能够实现考核大纲要求的正常操作、零部件识别、故障设置、应急操作等科目考试的要求，所有科目考试内容应与考核大纲一致，满足最新TSG Z6001-2019《特种设备作业人员考核规则》中实操考核的要求；试题要求不少于100套试题，其中包括零部件识别，基本操作，应急处理</w:t>
      </w:r>
    </w:p>
    <w:p>
      <w:pPr>
        <w:numPr>
          <w:ilvl w:val="0"/>
          <w:numId w:val="10"/>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满足TSG Z6001-2019《特种设备作业人员考核规则》中实操考核的要求，软件系统具有题库管理、随机组卷、自动限时计时、自动判卷评分、自动记录存档、统计、查询、汇总报表、建档和存档等数据库管理功能</w:t>
      </w:r>
    </w:p>
    <w:p>
      <w:pPr>
        <w:numPr>
          <w:ilvl w:val="0"/>
          <w:numId w:val="10"/>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充气机要求按实际车用LNG和CNG燃料气瓶充气机制作，在此基础上进行模拟化改造，达到实操考核的使用要求。配备的安全附件和操作阀门均为车用燃料气瓶充装常用真实部件，供学员实操训练及考核</w:t>
      </w:r>
    </w:p>
    <w:p>
      <w:pPr>
        <w:numPr>
          <w:ilvl w:val="0"/>
          <w:numId w:val="10"/>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系统采用逻辑控制点位开关技术安装在车载气瓶充装柜及附属设备上,安装在安全附件和操作阀门相对应位置上。所有阀门和控制点位都要进行安装逻辑开关进行一一对应训练考试。共有35组逻辑开关和零部件一一对应。</w:t>
      </w:r>
    </w:p>
    <w:p>
      <w:pPr>
        <w:numPr>
          <w:ilvl w:val="0"/>
          <w:numId w:val="10"/>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要求实现学员信息自动录入及学员持身份证考核确认功能</w:t>
      </w:r>
    </w:p>
    <w:p>
      <w:pPr>
        <w:numPr>
          <w:ilvl w:val="0"/>
          <w:numId w:val="10"/>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逻辑开关具备考点检测功能</w:t>
      </w:r>
    </w:p>
    <w:p>
      <w:p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4.3.2车载气瓶充装模拟机技术参数：</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充装台 尺寸：800mm×600mm×1950mm  1台</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PLC以太网可编程控制器  1套</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操作触摸屏  1台</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车用LNG杜瓦瓶：80L  1只</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车用CNG绕带式气瓶：50L  1只</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LNG加液枪：ZK250DH20  1套</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CNG充装枪  1套</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LNG加液口：ZK256DH20  2个</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LNG回气口：ZK262DH12  2个</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LNG回气枪：ZK256DH12  1个</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LNG加液管：ZK6000LG  PN40  1条</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LNG回气管：ZK7200LG  PN40  1条</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CNG瓶阀：QF-T1  1个</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CNG加气阀：QF-T3H  1个</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CNG加气电磁阀：CTF-DX6  1个</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CNG加气短管：CNG1/4-0.4  1条</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CNG拉断阀：1/4-LDF  1个</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CNG加气长管：CNG1/4-5  1条</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CNG枪阀：CNG1/4-NPT  1个</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CNG枪头：1/4-NPT-QT  1个</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CNG排气阀：1/4-NPT-PQF  1个</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CNG充装：压力表 60Mpa  2只</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LNG充装：压力表4Mpa  2只</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模拟考点逻辑开关  35组</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安装尺寸:长</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宽</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高≥3000</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3000</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2000mm</w:t>
      </w:r>
    </w:p>
    <w:p>
      <w:pPr>
        <w:numPr>
          <w:ilvl w:val="0"/>
          <w:numId w:val="11"/>
        </w:numPr>
        <w:ind w:firstLine="64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安装重量：≥300Kg</w:t>
      </w:r>
    </w:p>
    <w:p>
      <w:pPr>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4.4液化气体、溶解乙炔气瓶充装排架</w:t>
      </w:r>
    </w:p>
    <w:p>
      <w:pPr>
        <w:numPr>
          <w:ilvl w:val="0"/>
          <w:numId w:val="12"/>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排架尺寸：2000 X 600 X 1600mm  1个</w:t>
      </w:r>
    </w:p>
    <w:p>
      <w:pPr>
        <w:numPr>
          <w:ilvl w:val="0"/>
          <w:numId w:val="12"/>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液化气体气瓶  2个</w:t>
      </w:r>
    </w:p>
    <w:p>
      <w:pPr>
        <w:numPr>
          <w:ilvl w:val="0"/>
          <w:numId w:val="12"/>
        </w:numPr>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溶解乙炔气瓶  2个</w:t>
      </w:r>
    </w:p>
    <w:p>
      <w:pPr>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4.5</w:t>
      </w:r>
      <w:r>
        <w:rPr>
          <w:rFonts w:hint="eastAsia" w:ascii="宋体" w:hAnsi="宋体" w:eastAsia="宋体" w:cs="宋体"/>
          <w:sz w:val="21"/>
          <w:szCs w:val="21"/>
          <w:highlight w:val="none"/>
        </w:rPr>
        <w:t>操作触摸屏不小于10.2英寸。</w:t>
      </w:r>
    </w:p>
    <w:p>
      <w:pPr>
        <w:spacing w:line="360" w:lineRule="auto"/>
        <w:ind w:firstLine="422" w:firstLineChars="200"/>
        <w:rPr>
          <w:rFonts w:hint="eastAsia" w:ascii="宋体" w:hAnsi="宋体" w:eastAsia="宋体" w:cs="宋体"/>
          <w:color w:val="FF0000"/>
          <w:sz w:val="21"/>
          <w:szCs w:val="21"/>
          <w:highlight w:val="none"/>
        </w:rPr>
      </w:pPr>
      <w:r>
        <w:rPr>
          <w:rFonts w:hint="eastAsia" w:ascii="宋体" w:hAnsi="宋体" w:eastAsia="宋体" w:cs="宋体"/>
          <w:b/>
          <w:bCs/>
          <w:sz w:val="21"/>
          <w:szCs w:val="21"/>
          <w:highlight w:val="none"/>
        </w:rPr>
        <w:t>4.6</w:t>
      </w:r>
      <w:r>
        <w:rPr>
          <w:rFonts w:hint="eastAsia" w:ascii="宋体" w:hAnsi="宋体" w:eastAsia="宋体" w:cs="宋体"/>
          <w:sz w:val="21"/>
          <w:szCs w:val="21"/>
          <w:highlight w:val="none"/>
        </w:rPr>
        <w:t>控制终端</w:t>
      </w:r>
      <w:r>
        <w:rPr>
          <w:rFonts w:hint="eastAsia" w:ascii="宋体" w:hAnsi="宋体" w:eastAsia="宋体" w:cs="宋体"/>
          <w:color w:val="000000"/>
          <w:sz w:val="21"/>
          <w:szCs w:val="21"/>
          <w:highlight w:val="none"/>
        </w:rPr>
        <w:t>：内存</w:t>
      </w:r>
      <w:r>
        <w:rPr>
          <w:rFonts w:hint="eastAsia" w:ascii="宋体" w:hAnsi="宋体" w:eastAsia="宋体" w:cs="宋体"/>
          <w:sz w:val="21"/>
          <w:szCs w:val="21"/>
          <w:highlight w:val="none"/>
        </w:rPr>
        <w:t>不小于</w:t>
      </w:r>
      <w:r>
        <w:rPr>
          <w:rFonts w:hint="eastAsia" w:ascii="宋体" w:hAnsi="宋体" w:eastAsia="宋体" w:cs="宋体"/>
          <w:color w:val="000000"/>
          <w:sz w:val="21"/>
          <w:szCs w:val="21"/>
          <w:highlight w:val="none"/>
        </w:rPr>
        <w:t>4G，硬盘</w:t>
      </w:r>
      <w:r>
        <w:rPr>
          <w:rFonts w:hint="eastAsia" w:ascii="宋体" w:hAnsi="宋体" w:eastAsia="宋体" w:cs="宋体"/>
          <w:sz w:val="21"/>
          <w:szCs w:val="21"/>
          <w:highlight w:val="none"/>
        </w:rPr>
        <w:t>不小于</w:t>
      </w:r>
      <w:r>
        <w:rPr>
          <w:rFonts w:hint="eastAsia" w:ascii="宋体" w:hAnsi="宋体" w:eastAsia="宋体" w:cs="宋体"/>
          <w:color w:val="000000"/>
          <w:sz w:val="21"/>
          <w:szCs w:val="21"/>
          <w:highlight w:val="none"/>
        </w:rPr>
        <w:t>128G，</w:t>
      </w:r>
      <w:r>
        <w:rPr>
          <w:rFonts w:hint="eastAsia" w:ascii="宋体" w:hAnsi="宋体" w:eastAsia="宋体" w:cs="宋体"/>
          <w:sz w:val="21"/>
          <w:szCs w:val="21"/>
          <w:highlight w:val="none"/>
        </w:rPr>
        <w:t>不小于</w:t>
      </w:r>
      <w:r>
        <w:rPr>
          <w:rFonts w:hint="eastAsia" w:ascii="宋体" w:hAnsi="宋体" w:eastAsia="宋体" w:cs="宋体"/>
          <w:color w:val="000000"/>
          <w:sz w:val="21"/>
          <w:szCs w:val="21"/>
          <w:highlight w:val="none"/>
        </w:rPr>
        <w:t>23.8英寸。</w:t>
      </w:r>
    </w:p>
    <w:p>
      <w:pPr>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5.技术服务与承诺：</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（1）保修期内，设备及附件由于质量问题而不能正常工作时，供方承诺在一天内到达用户现场免费修理或更换零部件。因维修不及时，而导致设备无法正常使用时，其保修时间随停机时间的长短而相应延长。</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（2）供方对设备提供终生维修服务，保修期外只收取零部件配件费和维修费用，并享有优惠购买零配件待遇。</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（3）售后服务人员无忧电话回访，主动跟踪动态服务。检查设备的运行情况，并对设备进行维护和保养。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（4）质保期内设备发生故障系设备出现质量问题，无偿更换；</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（5）设备未按照合同规定地点交货、验收之前，如发生不可力因素导致设备毁坏或灭失，由供方承担责任；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（6）供方公司提供一年的质保期；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（7）对设备软件终身免费升级；</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（8）供方免费提供：就位、设备安装、调试工作。</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（9）附带易损易耗物品清单及其价格表。</w:t>
      </w:r>
    </w:p>
    <w:p>
      <w:pPr>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6.培训：</w:t>
      </w:r>
    </w:p>
    <w:p>
      <w:pPr>
        <w:ind w:firstLine="420" w:firstLineChars="200"/>
        <w:jc w:val="left"/>
        <w:outlineLvl w:val="9"/>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sz w:val="21"/>
          <w:szCs w:val="21"/>
          <w:highlight w:val="none"/>
        </w:rPr>
        <w:t>供方负责拟定免费培训；设备安装调试最终验收合格后，由供方专业技术人员为用户安排2～3天的操作培训、维护人员的免费培训。主要培训操作人员对设备基本原理、软件使用、操作、维护等的理解及应用，并达到用户操作人员能独立操作设备、服务考试、故障排除工作和基本的维护工作。</w:t>
      </w:r>
      <w:r>
        <w:rPr>
          <w:rFonts w:hint="eastAsia" w:ascii="宋体" w:hAnsi="宋体" w:eastAsia="宋体" w:cs="宋体"/>
          <w:b/>
          <w:bCs/>
          <w:color w:val="auto"/>
          <w:kern w:val="0"/>
          <w:sz w:val="24"/>
          <w:szCs w:val="24"/>
          <w:highlight w:val="none"/>
          <w:shd w:val="clear" w:color="auto" w:fill="FFFFFF"/>
        </w:rPr>
        <w:br w:type="page"/>
      </w:r>
    </w:p>
    <w:p>
      <w:pPr>
        <w:rPr>
          <w:rFonts w:hint="eastAsia" w:ascii="宋体" w:hAnsi="宋体" w:eastAsia="宋体" w:cs="宋体"/>
          <w:highlight w:val="none"/>
        </w:rPr>
      </w:pPr>
    </w:p>
    <w:p>
      <w:pPr>
        <w:numPr>
          <w:ilvl w:val="0"/>
          <w:numId w:val="0"/>
        </w:numPr>
        <w:jc w:val="center"/>
        <w:outlineLvl w:val="9"/>
        <w:rPr>
          <w:rFonts w:hint="eastAsia" w:ascii="宋体" w:hAnsi="宋体" w:eastAsia="宋体" w:cs="宋体"/>
          <w:b/>
          <w:sz w:val="30"/>
          <w:szCs w:val="30"/>
          <w:highlight w:val="none"/>
        </w:rPr>
      </w:pPr>
    </w:p>
    <w:p>
      <w:pPr>
        <w:numPr>
          <w:ilvl w:val="0"/>
          <w:numId w:val="0"/>
        </w:numPr>
        <w:jc w:val="center"/>
        <w:outlineLvl w:val="9"/>
        <w:rPr>
          <w:rFonts w:hint="eastAsia" w:ascii="宋体" w:hAnsi="宋体" w:eastAsia="宋体" w:cs="宋体"/>
          <w:b/>
          <w:sz w:val="30"/>
          <w:szCs w:val="30"/>
          <w:highlight w:val="none"/>
        </w:rPr>
      </w:pPr>
    </w:p>
    <w:p>
      <w:pPr>
        <w:numPr>
          <w:ilvl w:val="0"/>
          <w:numId w:val="0"/>
        </w:numPr>
        <w:jc w:val="center"/>
        <w:outlineLvl w:val="9"/>
        <w:rPr>
          <w:rFonts w:hint="eastAsia" w:ascii="宋体" w:hAnsi="宋体" w:eastAsia="宋体" w:cs="宋体"/>
          <w:b/>
          <w:sz w:val="30"/>
          <w:szCs w:val="30"/>
          <w:highlight w:val="none"/>
        </w:rPr>
      </w:pPr>
    </w:p>
    <w:p>
      <w:pPr>
        <w:numPr>
          <w:ilvl w:val="0"/>
          <w:numId w:val="0"/>
        </w:numPr>
        <w:jc w:val="center"/>
        <w:outlineLvl w:val="9"/>
        <w:rPr>
          <w:rFonts w:hint="eastAsia" w:ascii="宋体" w:hAnsi="宋体" w:eastAsia="宋体" w:cs="宋体"/>
          <w:b/>
          <w:sz w:val="30"/>
          <w:szCs w:val="30"/>
          <w:highlight w:val="none"/>
        </w:rPr>
      </w:pPr>
    </w:p>
    <w:p>
      <w:pPr>
        <w:numPr>
          <w:ilvl w:val="0"/>
          <w:numId w:val="0"/>
        </w:numPr>
        <w:jc w:val="center"/>
        <w:outlineLvl w:val="9"/>
        <w:rPr>
          <w:rFonts w:hint="eastAsia" w:ascii="宋体" w:hAnsi="宋体" w:eastAsia="宋体" w:cs="宋体"/>
          <w:b/>
          <w:sz w:val="30"/>
          <w:szCs w:val="30"/>
          <w:highlight w:val="none"/>
        </w:rPr>
      </w:pPr>
    </w:p>
    <w:p>
      <w:pPr>
        <w:numPr>
          <w:ilvl w:val="0"/>
          <w:numId w:val="0"/>
        </w:numPr>
        <w:jc w:val="center"/>
        <w:outlineLvl w:val="9"/>
        <w:rPr>
          <w:rFonts w:hint="eastAsia" w:ascii="宋体" w:hAnsi="宋体" w:eastAsia="宋体" w:cs="宋体"/>
          <w:b/>
          <w:sz w:val="30"/>
          <w:szCs w:val="30"/>
          <w:highlight w:val="none"/>
        </w:rPr>
      </w:pPr>
    </w:p>
    <w:p>
      <w:pPr>
        <w:numPr>
          <w:ilvl w:val="0"/>
          <w:numId w:val="0"/>
        </w:numPr>
        <w:jc w:val="center"/>
        <w:outlineLvl w:val="9"/>
        <w:rPr>
          <w:rFonts w:hint="eastAsia" w:ascii="宋体" w:hAnsi="宋体" w:eastAsia="宋体" w:cs="宋体"/>
          <w:b/>
          <w:sz w:val="30"/>
          <w:szCs w:val="30"/>
          <w:highlight w:val="none"/>
        </w:rPr>
      </w:pPr>
    </w:p>
    <w:p>
      <w:pPr>
        <w:numPr>
          <w:ilvl w:val="0"/>
          <w:numId w:val="0"/>
        </w:numPr>
        <w:jc w:val="center"/>
        <w:outlineLvl w:val="9"/>
        <w:rPr>
          <w:rFonts w:hint="eastAsia" w:ascii="宋体" w:hAnsi="宋体" w:eastAsia="宋体" w:cs="宋体"/>
          <w:b/>
          <w:sz w:val="30"/>
          <w:szCs w:val="30"/>
          <w:highlight w:val="none"/>
        </w:rPr>
      </w:pPr>
    </w:p>
    <w:p>
      <w:pPr>
        <w:pStyle w:val="2"/>
        <w:numPr>
          <w:ilvl w:val="0"/>
          <w:numId w:val="4"/>
        </w:numPr>
        <w:ind w:leftChars="0"/>
        <w:jc w:val="center"/>
        <w:rPr>
          <w:rFonts w:hint="eastAsia" w:ascii="宋体" w:hAnsi="宋体" w:eastAsia="宋体" w:cs="宋体"/>
          <w:b/>
          <w:sz w:val="30"/>
          <w:szCs w:val="30"/>
          <w:highlight w:val="none"/>
        </w:rPr>
      </w:pPr>
      <w:bookmarkStart w:id="213" w:name="_Toc22722"/>
      <w:r>
        <w:rPr>
          <w:rFonts w:hint="eastAsia" w:ascii="宋体" w:hAnsi="宋体" w:eastAsia="宋体" w:cs="宋体"/>
          <w:b/>
          <w:sz w:val="30"/>
          <w:szCs w:val="30"/>
          <w:highlight w:val="none"/>
        </w:rPr>
        <w:t>投标文件格式</w:t>
      </w:r>
      <w:bookmarkEnd w:id="211"/>
      <w:bookmarkEnd w:id="213"/>
    </w:p>
    <w:p>
      <w:pPr>
        <w:spacing w:line="400" w:lineRule="exact"/>
        <w:jc w:val="center"/>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pPr>
        <w:spacing w:line="400" w:lineRule="exact"/>
        <w:ind w:right="44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封面  </w:t>
      </w:r>
      <w:r>
        <w:rPr>
          <w:rFonts w:hint="eastAsia" w:ascii="宋体" w:hAnsi="宋体" w:eastAsia="宋体" w:cs="宋体"/>
          <w:sz w:val="22"/>
          <w:highlight w:val="none"/>
        </w:rPr>
        <w:t xml:space="preserve">                                                    </w:t>
      </w:r>
    </w:p>
    <w:p>
      <w:pPr>
        <w:spacing w:before="960" w:beforeLines="400" w:after="960" w:afterLines="400"/>
        <w:jc w:val="center"/>
        <w:rPr>
          <w:rFonts w:hint="eastAsia" w:ascii="宋体" w:hAnsi="宋体" w:eastAsia="宋体" w:cs="宋体"/>
          <w:spacing w:val="40"/>
          <w:sz w:val="44"/>
          <w:szCs w:val="18"/>
          <w:highlight w:val="none"/>
          <w:u w:val="single"/>
          <w:lang w:val="en-US" w:eastAsia="zh-CN"/>
        </w:rPr>
      </w:pPr>
      <w:r>
        <w:rPr>
          <w:rFonts w:hint="eastAsia" w:ascii="宋体" w:hAnsi="宋体" w:eastAsia="宋体" w:cs="宋体"/>
          <w:spacing w:val="40"/>
          <w:sz w:val="44"/>
          <w:szCs w:val="18"/>
          <w:highlight w:val="none"/>
          <w:lang w:eastAsia="zh-CN"/>
        </w:rPr>
        <w:t>河南省锅炉压力容器检验技术科学研究院2023年第三批检验检测设备采购项目</w:t>
      </w:r>
      <w:r>
        <w:rPr>
          <w:rFonts w:hint="eastAsia" w:ascii="宋体" w:hAnsi="宋体" w:eastAsia="宋体" w:cs="宋体"/>
          <w:spacing w:val="40"/>
          <w:sz w:val="44"/>
          <w:szCs w:val="18"/>
          <w:highlight w:val="none"/>
          <w:lang w:val="en-US" w:eastAsia="zh-CN"/>
        </w:rPr>
        <w:t>包</w:t>
      </w:r>
      <w:r>
        <w:rPr>
          <w:rFonts w:hint="eastAsia" w:ascii="宋体" w:hAnsi="宋体" w:eastAsia="宋体" w:cs="宋体"/>
          <w:spacing w:val="40"/>
          <w:sz w:val="44"/>
          <w:szCs w:val="18"/>
          <w:highlight w:val="none"/>
          <w:u w:val="single"/>
          <w:lang w:val="en-US" w:eastAsia="zh-CN"/>
        </w:rPr>
        <w:t xml:space="preserve">   </w:t>
      </w:r>
    </w:p>
    <w:p>
      <w:pPr>
        <w:jc w:val="center"/>
        <w:rPr>
          <w:rFonts w:hint="eastAsia" w:ascii="宋体" w:hAnsi="宋体" w:eastAsia="宋体" w:cs="宋体"/>
          <w:sz w:val="52"/>
          <w:highlight w:val="none"/>
        </w:rPr>
      </w:pPr>
    </w:p>
    <w:p>
      <w:pPr>
        <w:jc w:val="center"/>
        <w:rPr>
          <w:rFonts w:hint="eastAsia" w:ascii="宋体" w:hAnsi="宋体" w:eastAsia="宋体" w:cs="宋体"/>
          <w:sz w:val="52"/>
          <w:highlight w:val="none"/>
        </w:rPr>
      </w:pPr>
    </w:p>
    <w:p>
      <w:pPr>
        <w:jc w:val="center"/>
        <w:rPr>
          <w:rFonts w:hint="eastAsia" w:ascii="宋体" w:hAnsi="宋体" w:eastAsia="宋体" w:cs="宋体"/>
          <w:sz w:val="52"/>
          <w:highlight w:val="none"/>
        </w:rPr>
      </w:pPr>
    </w:p>
    <w:p>
      <w:pPr>
        <w:jc w:val="center"/>
        <w:rPr>
          <w:rFonts w:hint="eastAsia" w:ascii="宋体" w:hAnsi="宋体" w:eastAsia="宋体" w:cs="宋体"/>
          <w:sz w:val="52"/>
          <w:highlight w:val="none"/>
        </w:rPr>
      </w:pPr>
      <w:r>
        <w:rPr>
          <w:rFonts w:hint="eastAsia" w:ascii="宋体" w:hAnsi="宋体" w:eastAsia="宋体" w:cs="宋体"/>
          <w:sz w:val="52"/>
          <w:highlight w:val="none"/>
        </w:rPr>
        <w:t>投标文件</w:t>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sz w:val="32"/>
          <w:szCs w:val="32"/>
          <w:highlight w:val="none"/>
        </w:rPr>
      </w:pPr>
      <w:r>
        <w:rPr>
          <w:rFonts w:hint="eastAsia" w:ascii="宋体" w:hAnsi="宋体" w:eastAsia="宋体" w:cs="宋体"/>
          <w:sz w:val="32"/>
          <w:szCs w:val="32"/>
          <w:highlight w:val="none"/>
        </w:rPr>
        <w:t>投标供应商：</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rPr>
        <w:t>（盖章）</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法定代表人（或其委托代理人）：</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rPr>
        <w:t>（签字或盖章）</w:t>
      </w:r>
    </w:p>
    <w:p>
      <w:pPr>
        <w:rPr>
          <w:rFonts w:hint="eastAsia" w:ascii="宋体" w:hAnsi="宋体" w:eastAsia="宋体" w:cs="宋体"/>
          <w:sz w:val="32"/>
          <w:szCs w:val="32"/>
          <w:highlight w:val="none"/>
          <w:u w:val="single"/>
          <w:lang w:val="en-US" w:eastAsia="zh-CN"/>
        </w:rPr>
      </w:pPr>
      <w:r>
        <w:rPr>
          <w:rFonts w:hint="eastAsia" w:ascii="宋体" w:hAnsi="宋体" w:eastAsia="宋体" w:cs="宋体"/>
          <w:sz w:val="32"/>
          <w:szCs w:val="32"/>
          <w:highlight w:val="none"/>
        </w:rPr>
        <w:t>投标供应商地址：</w:t>
      </w:r>
      <w:r>
        <w:rPr>
          <w:rFonts w:hint="eastAsia" w:ascii="宋体" w:hAnsi="宋体" w:eastAsia="宋体" w:cs="宋体"/>
          <w:sz w:val="32"/>
          <w:szCs w:val="32"/>
          <w:highlight w:val="none"/>
          <w:u w:val="single"/>
          <w:lang w:val="en-US" w:eastAsia="zh-CN"/>
        </w:rPr>
        <w:t xml:space="preserve">                      </w:t>
      </w:r>
    </w:p>
    <w:p>
      <w:pPr>
        <w:rPr>
          <w:rFonts w:hint="eastAsia" w:ascii="宋体" w:hAnsi="宋体" w:eastAsia="宋体" w:cs="宋体"/>
          <w:sz w:val="32"/>
          <w:szCs w:val="32"/>
          <w:highlight w:val="none"/>
          <w:u w:val="single"/>
          <w:lang w:val="en-US" w:eastAsia="zh-CN"/>
        </w:rPr>
      </w:pPr>
      <w:r>
        <w:rPr>
          <w:rFonts w:hint="eastAsia" w:ascii="宋体" w:hAnsi="宋体" w:eastAsia="宋体" w:cs="宋体"/>
          <w:sz w:val="32"/>
          <w:szCs w:val="32"/>
          <w:highlight w:val="none"/>
        </w:rPr>
        <w:t>联系人：</w:t>
      </w:r>
      <w:r>
        <w:rPr>
          <w:rFonts w:hint="eastAsia" w:ascii="宋体" w:hAnsi="宋体" w:eastAsia="宋体" w:cs="宋体"/>
          <w:sz w:val="32"/>
          <w:szCs w:val="32"/>
          <w:highlight w:val="none"/>
          <w:u w:val="single"/>
          <w:lang w:val="en-US" w:eastAsia="zh-CN"/>
        </w:rPr>
        <w:t xml:space="preserve">                              </w:t>
      </w:r>
    </w:p>
    <w:p>
      <w:pPr>
        <w:rPr>
          <w:rFonts w:hint="eastAsia" w:ascii="宋体" w:hAnsi="宋体" w:eastAsia="宋体" w:cs="宋体"/>
          <w:sz w:val="32"/>
          <w:szCs w:val="32"/>
          <w:highlight w:val="none"/>
          <w:u w:val="single"/>
          <w:lang w:val="en-US" w:eastAsia="zh-CN"/>
        </w:rPr>
      </w:pPr>
      <w:r>
        <w:rPr>
          <w:rFonts w:hint="eastAsia" w:ascii="宋体" w:hAnsi="宋体" w:eastAsia="宋体" w:cs="宋体"/>
          <w:sz w:val="32"/>
          <w:szCs w:val="32"/>
          <w:highlight w:val="none"/>
        </w:rPr>
        <w:t>联系电话：</w:t>
      </w:r>
      <w:r>
        <w:rPr>
          <w:rFonts w:hint="eastAsia" w:ascii="宋体" w:hAnsi="宋体" w:eastAsia="宋体" w:cs="宋体"/>
          <w:sz w:val="32"/>
          <w:szCs w:val="32"/>
          <w:highlight w:val="none"/>
          <w:u w:val="single"/>
          <w:lang w:val="en-US" w:eastAsia="zh-CN"/>
        </w:rPr>
        <w:t xml:space="preserve">                            </w:t>
      </w: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highlight w:val="none"/>
        </w:rPr>
      </w:pPr>
    </w:p>
    <w:p>
      <w:pPr>
        <w:spacing w:line="400" w:lineRule="exact"/>
        <w:rPr>
          <w:rFonts w:hint="eastAsia" w:ascii="宋体" w:hAnsi="宋体" w:eastAsia="宋体" w:cs="宋体"/>
          <w:b/>
          <w:sz w:val="30"/>
          <w:szCs w:val="30"/>
          <w:highlight w:val="none"/>
        </w:rPr>
      </w:pPr>
    </w:p>
    <w:p>
      <w:pPr>
        <w:tabs>
          <w:tab w:val="left" w:pos="3280"/>
          <w:tab w:val="left" w:pos="4680"/>
          <w:tab w:val="left" w:pos="6080"/>
        </w:tabs>
        <w:autoSpaceDE w:val="0"/>
        <w:autoSpaceDN w:val="0"/>
        <w:adjustRightInd w:val="0"/>
        <w:spacing w:line="480" w:lineRule="exact"/>
        <w:ind w:right="-20"/>
        <w:jc w:val="center"/>
        <w:rPr>
          <w:rFonts w:hint="eastAsia" w:ascii="宋体" w:hAnsi="宋体" w:eastAsia="宋体" w:cs="宋体"/>
          <w:b/>
          <w:kern w:val="0"/>
          <w:sz w:val="36"/>
          <w:szCs w:val="36"/>
          <w:highlight w:val="none"/>
        </w:rPr>
      </w:pPr>
    </w:p>
    <w:p>
      <w:pPr>
        <w:tabs>
          <w:tab w:val="left" w:pos="3280"/>
          <w:tab w:val="left" w:pos="4680"/>
          <w:tab w:val="left" w:pos="6080"/>
        </w:tabs>
        <w:autoSpaceDE w:val="0"/>
        <w:autoSpaceDN w:val="0"/>
        <w:adjustRightInd w:val="0"/>
        <w:spacing w:line="480" w:lineRule="exact"/>
        <w:ind w:right="-20"/>
        <w:jc w:val="center"/>
        <w:rPr>
          <w:rFonts w:hint="eastAsia" w:ascii="宋体" w:hAnsi="宋体" w:eastAsia="宋体" w:cs="宋体"/>
          <w:b/>
          <w:kern w:val="0"/>
          <w:sz w:val="36"/>
          <w:szCs w:val="36"/>
          <w:highlight w:val="none"/>
        </w:rPr>
      </w:pPr>
    </w:p>
    <w:p>
      <w:pPr>
        <w:tabs>
          <w:tab w:val="left" w:pos="3280"/>
          <w:tab w:val="left" w:pos="4680"/>
          <w:tab w:val="left" w:pos="6080"/>
        </w:tabs>
        <w:autoSpaceDE w:val="0"/>
        <w:autoSpaceDN w:val="0"/>
        <w:adjustRightInd w:val="0"/>
        <w:spacing w:line="480" w:lineRule="exact"/>
        <w:ind w:right="-20"/>
        <w:jc w:val="center"/>
        <w:rPr>
          <w:rFonts w:hint="eastAsia" w:ascii="宋体" w:hAnsi="宋体" w:eastAsia="宋体" w:cs="宋体"/>
          <w:b/>
          <w:kern w:val="0"/>
          <w:sz w:val="36"/>
          <w:szCs w:val="36"/>
          <w:highlight w:val="none"/>
        </w:rPr>
      </w:pPr>
    </w:p>
    <w:p>
      <w:pPr>
        <w:tabs>
          <w:tab w:val="left" w:pos="3280"/>
          <w:tab w:val="left" w:pos="4680"/>
          <w:tab w:val="left" w:pos="6080"/>
        </w:tabs>
        <w:autoSpaceDE w:val="0"/>
        <w:autoSpaceDN w:val="0"/>
        <w:adjustRightInd w:val="0"/>
        <w:spacing w:line="480" w:lineRule="exact"/>
        <w:ind w:right="-20"/>
        <w:jc w:val="center"/>
        <w:rPr>
          <w:rFonts w:hint="eastAsia" w:ascii="宋体" w:hAnsi="宋体" w:eastAsia="宋体" w:cs="宋体"/>
          <w:b/>
          <w:kern w:val="0"/>
          <w:sz w:val="28"/>
          <w:szCs w:val="28"/>
          <w:highlight w:val="none"/>
        </w:rPr>
      </w:pPr>
      <w:r>
        <w:rPr>
          <w:rFonts w:hint="eastAsia" w:ascii="宋体" w:hAnsi="宋体" w:eastAsia="宋体" w:cs="宋体"/>
          <w:b/>
          <w:kern w:val="0"/>
          <w:sz w:val="36"/>
          <w:szCs w:val="36"/>
          <w:highlight w:val="none"/>
        </w:rPr>
        <w:t>目  录</w:t>
      </w:r>
    </w:p>
    <w:p>
      <w:pPr>
        <w:tabs>
          <w:tab w:val="left" w:pos="3280"/>
          <w:tab w:val="left" w:pos="4680"/>
          <w:tab w:val="left" w:pos="6080"/>
        </w:tabs>
        <w:autoSpaceDE w:val="0"/>
        <w:autoSpaceDN w:val="0"/>
        <w:adjustRightInd w:val="0"/>
        <w:spacing w:line="480" w:lineRule="exact"/>
        <w:ind w:right="-20"/>
        <w:jc w:val="center"/>
        <w:rPr>
          <w:rFonts w:hint="eastAsia" w:ascii="宋体" w:hAnsi="宋体" w:eastAsia="宋体" w:cs="宋体"/>
          <w:kern w:val="0"/>
          <w:sz w:val="28"/>
          <w:szCs w:val="28"/>
          <w:highlight w:val="none"/>
        </w:rPr>
      </w:pPr>
    </w:p>
    <w:p>
      <w:pPr>
        <w:spacing w:line="5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一、投标函</w:t>
      </w:r>
      <w:r>
        <w:rPr>
          <w:rFonts w:hint="eastAsia" w:ascii="宋体" w:hAnsi="宋体" w:eastAsia="宋体" w:cs="宋体"/>
          <w:sz w:val="24"/>
          <w:highlight w:val="none"/>
          <w:lang w:val="en-US" w:eastAsia="zh-CN"/>
        </w:rPr>
        <w:t>及投标函附录</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w:t>
      </w:r>
      <w:r>
        <w:rPr>
          <w:rFonts w:hint="eastAsia" w:ascii="宋体" w:hAnsi="宋体" w:eastAsia="宋体" w:cs="宋体"/>
          <w:sz w:val="24"/>
          <w:highlight w:val="none"/>
          <w:lang w:val="en-US" w:eastAsia="zh-CN"/>
        </w:rPr>
        <w:t>分项报价一览表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三</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类似</w:t>
      </w:r>
      <w:r>
        <w:rPr>
          <w:rFonts w:hint="eastAsia" w:ascii="宋体" w:hAnsi="宋体" w:eastAsia="宋体" w:cs="宋体"/>
          <w:sz w:val="24"/>
          <w:highlight w:val="none"/>
        </w:rPr>
        <w:t>业绩表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四</w:t>
      </w:r>
      <w:r>
        <w:rPr>
          <w:rFonts w:hint="eastAsia" w:ascii="宋体" w:hAnsi="宋体" w:eastAsia="宋体" w:cs="宋体"/>
          <w:sz w:val="24"/>
          <w:highlight w:val="none"/>
        </w:rPr>
        <w:t>、技术偏离表</w:t>
      </w:r>
    </w:p>
    <w:p>
      <w:pPr>
        <w:spacing w:line="50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五</w:t>
      </w:r>
      <w:r>
        <w:rPr>
          <w:rFonts w:hint="eastAsia" w:ascii="宋体" w:hAnsi="宋体" w:eastAsia="宋体" w:cs="宋体"/>
          <w:sz w:val="24"/>
          <w:highlight w:val="none"/>
        </w:rPr>
        <w:t>、</w:t>
      </w:r>
      <w:r>
        <w:rPr>
          <w:rFonts w:hint="eastAsia" w:ascii="宋体" w:hAnsi="宋体" w:eastAsia="宋体" w:cs="宋体"/>
          <w:sz w:val="24"/>
          <w:highlight w:val="none"/>
          <w:lang w:eastAsia="zh-CN"/>
        </w:rPr>
        <w:t>商务偏离表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六</w:t>
      </w:r>
      <w:r>
        <w:rPr>
          <w:rFonts w:hint="eastAsia" w:ascii="宋体" w:hAnsi="宋体" w:eastAsia="宋体" w:cs="宋体"/>
          <w:sz w:val="24"/>
          <w:highlight w:val="none"/>
        </w:rPr>
        <w:t>、</w:t>
      </w:r>
      <w:r>
        <w:rPr>
          <w:rFonts w:hint="eastAsia" w:ascii="宋体" w:hAnsi="宋体" w:eastAsia="宋体" w:cs="宋体"/>
          <w:sz w:val="24"/>
          <w:highlight w:val="none"/>
          <w:lang w:eastAsia="zh-CN"/>
        </w:rPr>
        <w:t>相关</w:t>
      </w:r>
      <w:r>
        <w:rPr>
          <w:rFonts w:hint="eastAsia" w:ascii="宋体" w:hAnsi="宋体" w:eastAsia="宋体" w:cs="宋体"/>
          <w:sz w:val="24"/>
          <w:highlight w:val="none"/>
          <w:lang w:val="en-US" w:eastAsia="zh-CN"/>
        </w:rPr>
        <w:t>服务</w:t>
      </w:r>
      <w:r>
        <w:rPr>
          <w:rFonts w:hint="eastAsia" w:ascii="宋体" w:hAnsi="宋体" w:eastAsia="宋体" w:cs="宋体"/>
          <w:sz w:val="24"/>
          <w:highlight w:val="none"/>
        </w:rPr>
        <w:t>方案</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七</w:t>
      </w:r>
      <w:r>
        <w:rPr>
          <w:rFonts w:hint="eastAsia" w:ascii="宋体" w:hAnsi="宋体" w:eastAsia="宋体" w:cs="宋体"/>
          <w:sz w:val="24"/>
          <w:highlight w:val="none"/>
        </w:rPr>
        <w:t>、法定代表身份证明及法定代表人授权委托书</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八</w:t>
      </w:r>
      <w:r>
        <w:rPr>
          <w:rFonts w:hint="eastAsia" w:ascii="宋体" w:hAnsi="宋体" w:eastAsia="宋体" w:cs="宋体"/>
          <w:sz w:val="24"/>
          <w:highlight w:val="none"/>
        </w:rPr>
        <w:t>、资格审查资料</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九</w:t>
      </w:r>
      <w:r>
        <w:rPr>
          <w:rFonts w:hint="eastAsia" w:ascii="宋体" w:hAnsi="宋体" w:eastAsia="宋体" w:cs="宋体"/>
          <w:sz w:val="24"/>
          <w:highlight w:val="none"/>
        </w:rPr>
        <w:t>、</w:t>
      </w:r>
      <w:r>
        <w:rPr>
          <w:rFonts w:hint="eastAsia" w:ascii="宋体" w:hAnsi="宋体" w:eastAsia="宋体" w:cs="宋体"/>
          <w:bCs/>
          <w:sz w:val="24"/>
          <w:highlight w:val="none"/>
        </w:rPr>
        <w:t>反商业贿赂承诺书</w:t>
      </w:r>
    </w:p>
    <w:p>
      <w:pPr>
        <w:spacing w:line="5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十、</w:t>
      </w:r>
      <w:r>
        <w:rPr>
          <w:rFonts w:hint="eastAsia" w:ascii="宋体" w:hAnsi="宋体" w:eastAsia="宋体" w:cs="宋体"/>
          <w:sz w:val="24"/>
          <w:highlight w:val="none"/>
        </w:rPr>
        <w:t>投标设备图片及投标供应商认为需要提交的其它证明资料</w:t>
      </w:r>
    </w:p>
    <w:p>
      <w:pPr>
        <w:spacing w:line="500" w:lineRule="exact"/>
        <w:ind w:firstLine="480" w:firstLineChars="200"/>
        <w:rPr>
          <w:rFonts w:hint="eastAsia" w:ascii="宋体" w:hAnsi="宋体" w:eastAsia="宋体" w:cs="宋体"/>
          <w:sz w:val="24"/>
          <w:szCs w:val="20"/>
          <w:highlight w:val="none"/>
          <w:lang w:eastAsia="zh-CN"/>
        </w:rPr>
      </w:pPr>
      <w:r>
        <w:rPr>
          <w:rFonts w:hint="eastAsia" w:ascii="宋体" w:hAnsi="宋体" w:eastAsia="宋体" w:cs="宋体"/>
          <w:bCs/>
          <w:sz w:val="24"/>
          <w:highlight w:val="none"/>
          <w:lang w:val="en-US" w:eastAsia="zh-CN"/>
        </w:rPr>
        <w:t>附件</w:t>
      </w:r>
    </w:p>
    <w:p>
      <w:pPr>
        <w:spacing w:line="400" w:lineRule="exact"/>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24"/>
          <w:szCs w:val="24"/>
          <w:highlight w:val="none"/>
          <w:u w:val="single"/>
          <w:lang w:eastAsia="zh-CN"/>
        </w:rPr>
      </w:pPr>
      <w:r>
        <w:rPr>
          <w:rFonts w:hint="eastAsia" w:ascii="宋体" w:hAnsi="宋体" w:eastAsia="宋体" w:cs="宋体"/>
          <w:b/>
          <w:sz w:val="24"/>
          <w:szCs w:val="24"/>
          <w:highlight w:val="none"/>
          <w:u w:val="single"/>
        </w:rPr>
        <w:t>提示：</w:t>
      </w:r>
      <w:r>
        <w:rPr>
          <w:rFonts w:hint="eastAsia" w:ascii="宋体" w:hAnsi="宋体" w:eastAsia="宋体" w:cs="宋体"/>
          <w:b/>
          <w:sz w:val="24"/>
          <w:szCs w:val="24"/>
          <w:highlight w:val="none"/>
          <w:u w:val="single"/>
          <w:lang w:eastAsia="zh-CN"/>
        </w:rPr>
        <w:t>投标文件</w:t>
      </w:r>
      <w:r>
        <w:rPr>
          <w:rFonts w:hint="eastAsia" w:ascii="宋体" w:hAnsi="宋体" w:eastAsia="宋体" w:cs="宋体"/>
          <w:b/>
          <w:sz w:val="24"/>
          <w:szCs w:val="24"/>
          <w:highlight w:val="none"/>
          <w:u w:val="single"/>
        </w:rPr>
        <w:t>格式仅供参考，以上目录须标明页码</w:t>
      </w:r>
      <w:r>
        <w:rPr>
          <w:rFonts w:hint="eastAsia" w:ascii="宋体" w:hAnsi="宋体" w:eastAsia="宋体" w:cs="宋体"/>
          <w:b/>
          <w:sz w:val="24"/>
          <w:szCs w:val="24"/>
          <w:highlight w:val="none"/>
          <w:u w:val="single"/>
          <w:lang w:eastAsia="zh-CN"/>
        </w:rPr>
        <w:t>，除未实质性响应外，任何人不得以格式有偏差为由废标。（实质性响应条款是指法律法规所规定的必须满足的条款）</w:t>
      </w:r>
    </w:p>
    <w:p>
      <w:pPr>
        <w:spacing w:line="400" w:lineRule="exact"/>
        <w:jc w:val="center"/>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30"/>
          <w:szCs w:val="30"/>
          <w:highlight w:val="none"/>
        </w:rPr>
      </w:pPr>
    </w:p>
    <w:p>
      <w:pPr>
        <w:spacing w:line="400" w:lineRule="exact"/>
        <w:jc w:val="center"/>
        <w:rPr>
          <w:rFonts w:hint="eastAsia" w:ascii="宋体" w:hAnsi="宋体" w:eastAsia="宋体" w:cs="宋体"/>
          <w:b/>
          <w:sz w:val="30"/>
          <w:szCs w:val="30"/>
          <w:highlight w:val="none"/>
        </w:rPr>
      </w:pPr>
    </w:p>
    <w:p>
      <w:pPr>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pPr>
        <w:rPr>
          <w:rFonts w:hint="eastAsia" w:ascii="宋体" w:hAnsi="宋体" w:eastAsia="宋体" w:cs="宋体"/>
          <w:bCs/>
          <w:sz w:val="30"/>
          <w:szCs w:val="30"/>
          <w:highlight w:val="none"/>
        </w:rPr>
      </w:pPr>
    </w:p>
    <w:p>
      <w:pPr>
        <w:pStyle w:val="3"/>
        <w:rPr>
          <w:rFonts w:hint="eastAsia" w:ascii="宋体" w:hAnsi="宋体" w:eastAsia="宋体" w:cs="宋体"/>
          <w:sz w:val="24"/>
          <w:szCs w:val="24"/>
          <w:highlight w:val="none"/>
        </w:rPr>
      </w:pPr>
      <w:bookmarkStart w:id="214" w:name="_Toc29685"/>
      <w:bookmarkStart w:id="215" w:name="_Toc10763"/>
      <w:bookmarkStart w:id="216" w:name="_Toc17192"/>
      <w:bookmarkStart w:id="217" w:name="_Toc17963"/>
      <w:r>
        <w:rPr>
          <w:rFonts w:hint="eastAsia" w:ascii="宋体" w:hAnsi="宋体" w:eastAsia="宋体" w:cs="宋体"/>
          <w:sz w:val="24"/>
          <w:szCs w:val="24"/>
          <w:highlight w:val="none"/>
        </w:rPr>
        <w:t>一、</w:t>
      </w:r>
      <w:bookmarkStart w:id="218" w:name="_Toc277685508"/>
      <w:r>
        <w:rPr>
          <w:rFonts w:hint="eastAsia" w:ascii="宋体" w:hAnsi="宋体" w:eastAsia="宋体" w:cs="宋体"/>
          <w:sz w:val="24"/>
          <w:szCs w:val="24"/>
          <w:highlight w:val="none"/>
        </w:rPr>
        <w:t>投标函</w:t>
      </w:r>
      <w:bookmarkEnd w:id="214"/>
      <w:bookmarkEnd w:id="215"/>
      <w:bookmarkEnd w:id="216"/>
      <w:bookmarkEnd w:id="217"/>
      <w:bookmarkEnd w:id="218"/>
    </w:p>
    <w:p>
      <w:pPr>
        <w:spacing w:line="480" w:lineRule="exact"/>
        <w:rPr>
          <w:rFonts w:hint="eastAsia" w:ascii="宋体" w:hAnsi="宋体" w:eastAsia="宋体" w:cs="宋体"/>
          <w:b/>
          <w:sz w:val="24"/>
          <w:highlight w:val="none"/>
          <w:u w:val="single"/>
        </w:rPr>
      </w:pPr>
    </w:p>
    <w:p>
      <w:pPr>
        <w:spacing w:line="5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（采购人名称）</w:t>
      </w:r>
    </w:p>
    <w:p>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1、我方已仔细研究了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项目招标文件的全部内容，愿按照招标文件中规定的条款和要求，提供招标货物及相关服务，投标总报价为（大写）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），交货期为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日历天。</w:t>
      </w:r>
    </w:p>
    <w:p>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2、我方承诺在投标有效期内不修改、撤销投标文件。</w:t>
      </w:r>
    </w:p>
    <w:p>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3、如我方中标：</w:t>
      </w:r>
    </w:p>
    <w:p>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（1）我方承诺在收到中标通知书后，在中标通知书规定的期限内与你方签订合同。</w:t>
      </w:r>
    </w:p>
    <w:p>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（2）随同本投标函递交的投标函附录属于合同文件的组成部分。</w:t>
      </w:r>
    </w:p>
    <w:p>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（3）我方承诺按照招标文件规定向你方递交履约担保。</w:t>
      </w:r>
    </w:p>
    <w:p>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（4）我方承诺在合同约定的期限内完成本项目。</w:t>
      </w:r>
    </w:p>
    <w:p>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5、我方在此声明，所递交的投标文件及有关资料内容完整、真实和准确。</w:t>
      </w:r>
    </w:p>
    <w:p>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（其他补充说明）。</w:t>
      </w:r>
    </w:p>
    <w:p>
      <w:pPr>
        <w:spacing w:line="520" w:lineRule="exact"/>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投标供应商</w:t>
      </w:r>
      <w:r>
        <w:rPr>
          <w:rFonts w:hint="eastAsia" w:ascii="宋体" w:hAnsi="宋体" w:eastAsia="宋体" w:cs="宋体"/>
          <w:sz w:val="21"/>
          <w:szCs w:val="21"/>
          <w:highlight w:val="none"/>
          <w:u w:val="none"/>
        </w:rPr>
        <w:t>（盖章）</w:t>
      </w:r>
      <w:r>
        <w:rPr>
          <w:rFonts w:hint="eastAsia" w:ascii="宋体" w:hAnsi="宋体" w:eastAsia="宋体" w:cs="宋体"/>
          <w:sz w:val="21"/>
          <w:szCs w:val="21"/>
          <w:highlight w:val="none"/>
        </w:rPr>
        <w:t>：</w:t>
      </w:r>
    </w:p>
    <w:p>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法定代表人或其委托代理人（签字或盖章）：</w:t>
      </w:r>
    </w:p>
    <w:p>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pPr>
        <w:rPr>
          <w:rFonts w:hint="eastAsia" w:ascii="宋体" w:hAnsi="宋体" w:eastAsia="宋体" w:cs="宋体"/>
          <w:highlight w:val="none"/>
        </w:rPr>
      </w:pPr>
    </w:p>
    <w:p>
      <w:pPr>
        <w:spacing w:line="520" w:lineRule="exact"/>
        <w:ind w:firstLine="480" w:firstLineChars="200"/>
        <w:rPr>
          <w:rFonts w:hint="eastAsia" w:ascii="宋体" w:hAnsi="宋体" w:eastAsia="宋体" w:cs="宋体"/>
          <w:sz w:val="24"/>
          <w:highlight w:val="none"/>
        </w:rPr>
      </w:pPr>
    </w:p>
    <w:p>
      <w:pPr>
        <w:autoSpaceDE w:val="0"/>
        <w:autoSpaceDN w:val="0"/>
        <w:adjustRightIn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32"/>
          <w:szCs w:val="32"/>
          <w:highlight w:val="none"/>
        </w:rPr>
        <w:br w:type="page"/>
      </w:r>
      <w:r>
        <w:rPr>
          <w:rFonts w:hint="eastAsia" w:ascii="宋体" w:hAnsi="宋体" w:eastAsia="宋体" w:cs="宋体"/>
          <w:b/>
          <w:sz w:val="24"/>
          <w:szCs w:val="24"/>
          <w:highlight w:val="none"/>
        </w:rPr>
        <w:t>投标函附录</w:t>
      </w:r>
    </w:p>
    <w:tbl>
      <w:tblPr>
        <w:tblStyle w:val="34"/>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5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75" w:type="dxa"/>
            <w:vAlign w:val="center"/>
          </w:tcPr>
          <w:p>
            <w:pPr>
              <w:adjustRightInd w:val="0"/>
              <w:spacing w:line="0" w:lineRule="atLeast"/>
              <w:jc w:val="center"/>
              <w:textAlignment w:val="baseline"/>
              <w:rPr>
                <w:rFonts w:hint="eastAsia" w:ascii="宋体" w:hAnsi="宋体" w:eastAsia="宋体" w:cs="宋体"/>
                <w:b/>
                <w:kern w:val="0"/>
                <w:szCs w:val="21"/>
                <w:highlight w:val="none"/>
                <w:lang w:val="en-US" w:eastAsia="zh-CN"/>
              </w:rPr>
            </w:pPr>
            <w:r>
              <w:rPr>
                <w:rFonts w:hint="eastAsia" w:ascii="宋体" w:hAnsi="宋体" w:eastAsia="宋体" w:cs="宋体"/>
                <w:b/>
                <w:kern w:val="0"/>
                <w:szCs w:val="21"/>
                <w:highlight w:val="none"/>
              </w:rPr>
              <w:t>供应商</w:t>
            </w:r>
            <w:r>
              <w:rPr>
                <w:rFonts w:hint="eastAsia" w:ascii="宋体" w:hAnsi="宋体" w:eastAsia="宋体" w:cs="宋体"/>
                <w:b/>
                <w:kern w:val="0"/>
                <w:szCs w:val="21"/>
                <w:highlight w:val="none"/>
                <w:lang w:val="en-US" w:eastAsia="zh-CN"/>
              </w:rPr>
              <w:t>名称</w:t>
            </w:r>
          </w:p>
        </w:tc>
        <w:tc>
          <w:tcPr>
            <w:tcW w:w="5724" w:type="dxa"/>
            <w:vAlign w:val="center"/>
          </w:tcPr>
          <w:p>
            <w:pPr>
              <w:adjustRightInd w:val="0"/>
              <w:spacing w:line="0" w:lineRule="atLeast"/>
              <w:textAlignment w:val="baseline"/>
              <w:rPr>
                <w:rFonts w:hint="eastAsia"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75" w:type="dxa"/>
            <w:vAlign w:val="center"/>
          </w:tcPr>
          <w:p>
            <w:pPr>
              <w:adjustRightInd w:val="0"/>
              <w:spacing w:line="0" w:lineRule="atLeast"/>
              <w:jc w:val="center"/>
              <w:textAlignment w:val="baseline"/>
              <w:rPr>
                <w:rFonts w:hint="eastAsia" w:ascii="宋体" w:hAnsi="宋体" w:eastAsia="宋体" w:cs="宋体"/>
                <w:b/>
                <w:kern w:val="0"/>
                <w:szCs w:val="21"/>
                <w:highlight w:val="none"/>
                <w:lang w:eastAsia="zh-CN"/>
              </w:rPr>
            </w:pPr>
            <w:r>
              <w:rPr>
                <w:rFonts w:hint="eastAsia" w:ascii="宋体" w:hAnsi="宋体" w:eastAsia="宋体" w:cs="宋体"/>
                <w:b/>
                <w:kern w:val="0"/>
                <w:szCs w:val="21"/>
                <w:highlight w:val="none"/>
              </w:rPr>
              <w:t>投标</w:t>
            </w:r>
            <w:r>
              <w:rPr>
                <w:rFonts w:hint="eastAsia" w:ascii="宋体" w:hAnsi="宋体" w:eastAsia="宋体" w:cs="宋体"/>
                <w:b/>
                <w:kern w:val="0"/>
                <w:szCs w:val="21"/>
                <w:highlight w:val="none"/>
                <w:lang w:eastAsia="zh-CN"/>
              </w:rPr>
              <w:t>包号</w:t>
            </w:r>
          </w:p>
        </w:tc>
        <w:tc>
          <w:tcPr>
            <w:tcW w:w="5724" w:type="dxa"/>
            <w:vAlign w:val="center"/>
          </w:tcPr>
          <w:p>
            <w:pPr>
              <w:adjustRightInd w:val="0"/>
              <w:spacing w:line="0" w:lineRule="atLeast"/>
              <w:textAlignment w:val="baseline"/>
              <w:rPr>
                <w:rFonts w:hint="eastAsia"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75" w:type="dxa"/>
            <w:vAlign w:val="center"/>
          </w:tcPr>
          <w:p>
            <w:pPr>
              <w:adjustRightInd w:val="0"/>
              <w:spacing w:line="0" w:lineRule="atLeast"/>
              <w:jc w:val="center"/>
              <w:textAlignment w:val="baseline"/>
              <w:rPr>
                <w:rFonts w:hint="eastAsia" w:ascii="宋体" w:hAnsi="宋体" w:eastAsia="宋体" w:cs="宋体"/>
                <w:b/>
                <w:kern w:val="0"/>
                <w:szCs w:val="21"/>
                <w:highlight w:val="none"/>
                <w:lang w:eastAsia="zh-CN"/>
              </w:rPr>
            </w:pPr>
            <w:r>
              <w:rPr>
                <w:rFonts w:hint="eastAsia" w:ascii="宋体" w:hAnsi="宋体" w:eastAsia="宋体" w:cs="宋体"/>
                <w:b/>
                <w:kern w:val="0"/>
                <w:szCs w:val="21"/>
                <w:highlight w:val="none"/>
              </w:rPr>
              <w:t>投标</w:t>
            </w:r>
            <w:r>
              <w:rPr>
                <w:rFonts w:hint="eastAsia" w:ascii="宋体" w:hAnsi="宋体" w:eastAsia="宋体" w:cs="宋体"/>
                <w:b/>
                <w:kern w:val="0"/>
                <w:szCs w:val="21"/>
                <w:highlight w:val="none"/>
                <w:lang w:val="en-US" w:eastAsia="zh-CN"/>
              </w:rPr>
              <w:t>内容</w:t>
            </w:r>
          </w:p>
        </w:tc>
        <w:tc>
          <w:tcPr>
            <w:tcW w:w="5724" w:type="dxa"/>
            <w:vAlign w:val="center"/>
          </w:tcPr>
          <w:p>
            <w:pPr>
              <w:adjustRightInd w:val="0"/>
              <w:spacing w:line="0" w:lineRule="atLeast"/>
              <w:textAlignment w:val="baseline"/>
              <w:rPr>
                <w:rFonts w:hint="eastAsia"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3075" w:type="dxa"/>
            <w:vAlign w:val="center"/>
          </w:tcPr>
          <w:p>
            <w:pPr>
              <w:adjustRightInd w:val="0"/>
              <w:spacing w:line="0" w:lineRule="atLeast"/>
              <w:jc w:val="center"/>
              <w:textAlignment w:val="baseline"/>
              <w:rPr>
                <w:rFonts w:hint="eastAsia" w:ascii="宋体" w:hAnsi="宋体" w:eastAsia="宋体" w:cs="宋体"/>
                <w:b/>
                <w:kern w:val="0"/>
                <w:szCs w:val="21"/>
                <w:highlight w:val="none"/>
              </w:rPr>
            </w:pPr>
            <w:r>
              <w:rPr>
                <w:rFonts w:hint="eastAsia" w:ascii="宋体" w:hAnsi="宋体" w:eastAsia="宋体" w:cs="宋体"/>
                <w:b/>
                <w:kern w:val="0"/>
                <w:szCs w:val="21"/>
                <w:highlight w:val="none"/>
              </w:rPr>
              <w:t>投标总报价</w:t>
            </w:r>
          </w:p>
          <w:p>
            <w:pPr>
              <w:adjustRightInd w:val="0"/>
              <w:spacing w:line="0" w:lineRule="atLeast"/>
              <w:jc w:val="center"/>
              <w:textAlignment w:val="baseline"/>
              <w:rPr>
                <w:rFonts w:hint="eastAsia" w:ascii="宋体" w:hAnsi="宋体" w:eastAsia="宋体" w:cs="宋体"/>
                <w:b/>
                <w:kern w:val="0"/>
                <w:szCs w:val="21"/>
                <w:highlight w:val="none"/>
              </w:rPr>
            </w:pPr>
            <w:r>
              <w:rPr>
                <w:rFonts w:hint="eastAsia" w:ascii="宋体" w:hAnsi="宋体" w:eastAsia="宋体" w:cs="宋体"/>
                <w:b/>
                <w:kern w:val="0"/>
                <w:szCs w:val="21"/>
                <w:highlight w:val="none"/>
              </w:rPr>
              <w:t>（元）</w:t>
            </w:r>
          </w:p>
        </w:tc>
        <w:tc>
          <w:tcPr>
            <w:tcW w:w="5724" w:type="dxa"/>
            <w:vAlign w:val="center"/>
          </w:tcPr>
          <w:p>
            <w:pPr>
              <w:adjustRightInd w:val="0"/>
              <w:spacing w:line="0" w:lineRule="atLeast"/>
              <w:textAlignment w:val="baseline"/>
              <w:rPr>
                <w:rFonts w:hint="eastAsia" w:ascii="宋体" w:hAnsi="宋体" w:eastAsia="宋体" w:cs="宋体"/>
                <w:kern w:val="0"/>
                <w:szCs w:val="21"/>
                <w:highlight w:val="none"/>
                <w:u w:val="single"/>
              </w:rPr>
            </w:pPr>
            <w:r>
              <w:rPr>
                <w:rFonts w:hint="eastAsia" w:ascii="宋体" w:hAnsi="宋体" w:eastAsia="宋体" w:cs="宋体"/>
                <w:kern w:val="0"/>
                <w:szCs w:val="21"/>
                <w:highlight w:val="none"/>
              </w:rPr>
              <w:t>人民币（大写）：</w:t>
            </w:r>
            <w:r>
              <w:rPr>
                <w:rFonts w:hint="eastAsia" w:ascii="宋体" w:hAnsi="宋体" w:eastAsia="宋体" w:cs="宋体"/>
                <w:kern w:val="0"/>
                <w:szCs w:val="21"/>
                <w:highlight w:val="none"/>
                <w:u w:val="single"/>
              </w:rPr>
              <w:t xml:space="preserve">                  </w:t>
            </w:r>
          </w:p>
          <w:p>
            <w:pPr>
              <w:adjustRightInd w:val="0"/>
              <w:spacing w:line="0" w:lineRule="atLeast"/>
              <w:textAlignment w:val="baseline"/>
              <w:rPr>
                <w:rFonts w:hint="eastAsia" w:ascii="宋体" w:hAnsi="宋体" w:eastAsia="宋体" w:cs="宋体"/>
                <w:kern w:val="0"/>
                <w:szCs w:val="21"/>
                <w:highlight w:val="none"/>
              </w:rPr>
            </w:pPr>
          </w:p>
          <w:p>
            <w:pPr>
              <w:adjustRightInd w:val="0"/>
              <w:spacing w:line="0" w:lineRule="atLeast"/>
              <w:textAlignment w:val="baseline"/>
              <w:rPr>
                <w:rFonts w:hint="eastAsia" w:ascii="宋体" w:hAnsi="宋体" w:eastAsia="宋体" w:cs="宋体"/>
                <w:kern w:val="0"/>
                <w:szCs w:val="21"/>
                <w:highlight w:val="none"/>
              </w:rPr>
            </w:pPr>
            <w:r>
              <w:rPr>
                <w:rFonts w:hint="eastAsia" w:ascii="宋体" w:hAnsi="宋体" w:eastAsia="宋体" w:cs="宋体"/>
                <w:kern w:val="0"/>
                <w:szCs w:val="21"/>
                <w:highlight w:val="none"/>
              </w:rPr>
              <w:t>人民币（小写）：</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75" w:type="dxa"/>
            <w:vAlign w:val="center"/>
          </w:tcPr>
          <w:p>
            <w:pPr>
              <w:adjustRightInd w:val="0"/>
              <w:spacing w:line="0" w:lineRule="atLeast"/>
              <w:jc w:val="center"/>
              <w:textAlignment w:val="baseline"/>
              <w:rPr>
                <w:rFonts w:hint="eastAsia" w:ascii="宋体" w:hAnsi="宋体" w:eastAsia="宋体" w:cs="宋体"/>
                <w:b/>
                <w:kern w:val="0"/>
                <w:szCs w:val="21"/>
                <w:highlight w:val="none"/>
                <w:lang w:val="en-US" w:eastAsia="zh-CN"/>
              </w:rPr>
            </w:pPr>
            <w:r>
              <w:rPr>
                <w:rFonts w:hint="eastAsia" w:ascii="宋体" w:hAnsi="宋体" w:eastAsia="宋体" w:cs="宋体"/>
                <w:b/>
                <w:kern w:val="0"/>
                <w:szCs w:val="21"/>
                <w:highlight w:val="none"/>
                <w:lang w:val="en-US" w:eastAsia="zh-CN"/>
              </w:rPr>
              <w:t>质量标准</w:t>
            </w:r>
          </w:p>
        </w:tc>
        <w:tc>
          <w:tcPr>
            <w:tcW w:w="5724" w:type="dxa"/>
            <w:vAlign w:val="center"/>
          </w:tcPr>
          <w:p>
            <w:pPr>
              <w:spacing w:line="0" w:lineRule="atLeast"/>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75" w:type="dxa"/>
            <w:vAlign w:val="center"/>
          </w:tcPr>
          <w:p>
            <w:pPr>
              <w:adjustRightInd w:val="0"/>
              <w:spacing w:line="0" w:lineRule="atLeast"/>
              <w:jc w:val="center"/>
              <w:textAlignment w:val="baseline"/>
              <w:rPr>
                <w:rFonts w:hint="eastAsia" w:ascii="宋体" w:hAnsi="宋体" w:eastAsia="宋体" w:cs="宋体"/>
                <w:b/>
                <w:kern w:val="0"/>
                <w:szCs w:val="21"/>
                <w:highlight w:val="none"/>
                <w:lang w:eastAsia="zh-CN"/>
              </w:rPr>
            </w:pPr>
            <w:r>
              <w:rPr>
                <w:rFonts w:hint="eastAsia" w:ascii="宋体" w:hAnsi="宋体" w:eastAsia="宋体" w:cs="宋体"/>
                <w:b/>
                <w:kern w:val="0"/>
                <w:szCs w:val="21"/>
                <w:highlight w:val="none"/>
                <w:lang w:val="en-US" w:eastAsia="zh-CN"/>
              </w:rPr>
              <w:t>交货期</w:t>
            </w:r>
          </w:p>
        </w:tc>
        <w:tc>
          <w:tcPr>
            <w:tcW w:w="5724" w:type="dxa"/>
            <w:vAlign w:val="center"/>
          </w:tcPr>
          <w:p>
            <w:pPr>
              <w:spacing w:line="0" w:lineRule="atLeas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75" w:type="dxa"/>
            <w:vAlign w:val="center"/>
          </w:tcPr>
          <w:p>
            <w:pPr>
              <w:adjustRightInd w:val="0"/>
              <w:spacing w:line="0" w:lineRule="atLeast"/>
              <w:jc w:val="center"/>
              <w:textAlignment w:val="baseline"/>
              <w:rPr>
                <w:rFonts w:hint="eastAsia" w:ascii="宋体" w:hAnsi="宋体" w:eastAsia="宋体" w:cs="宋体"/>
                <w:b/>
                <w:kern w:val="0"/>
                <w:szCs w:val="21"/>
                <w:highlight w:val="none"/>
                <w:lang w:val="en-US" w:eastAsia="zh-CN"/>
              </w:rPr>
            </w:pPr>
            <w:r>
              <w:rPr>
                <w:rFonts w:hint="eastAsia" w:ascii="宋体" w:hAnsi="宋体" w:eastAsia="宋体" w:cs="宋体"/>
                <w:b/>
                <w:kern w:val="0"/>
                <w:szCs w:val="21"/>
                <w:highlight w:val="none"/>
                <w:lang w:val="en-US" w:eastAsia="zh-CN"/>
              </w:rPr>
              <w:t>交货地点</w:t>
            </w:r>
          </w:p>
        </w:tc>
        <w:tc>
          <w:tcPr>
            <w:tcW w:w="5724" w:type="dxa"/>
            <w:vAlign w:val="center"/>
          </w:tcPr>
          <w:p>
            <w:pPr>
              <w:spacing w:line="0" w:lineRule="atLeas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75" w:type="dxa"/>
            <w:vAlign w:val="center"/>
          </w:tcPr>
          <w:p>
            <w:pPr>
              <w:adjustRightInd w:val="0"/>
              <w:spacing w:line="0" w:lineRule="atLeast"/>
              <w:jc w:val="center"/>
              <w:textAlignment w:val="baseline"/>
              <w:rPr>
                <w:rFonts w:hint="eastAsia" w:ascii="宋体" w:hAnsi="宋体" w:eastAsia="宋体" w:cs="宋体"/>
                <w:b/>
                <w:kern w:val="0"/>
                <w:szCs w:val="21"/>
                <w:highlight w:val="none"/>
                <w:lang w:val="en-US" w:eastAsia="zh-CN"/>
              </w:rPr>
            </w:pPr>
            <w:r>
              <w:rPr>
                <w:rFonts w:hint="eastAsia" w:ascii="宋体" w:hAnsi="宋体" w:eastAsia="宋体" w:cs="宋体"/>
                <w:b/>
                <w:kern w:val="0"/>
                <w:szCs w:val="21"/>
                <w:highlight w:val="none"/>
                <w:lang w:val="en-US" w:eastAsia="zh-CN"/>
              </w:rPr>
              <w:t>质保期</w:t>
            </w:r>
          </w:p>
        </w:tc>
        <w:tc>
          <w:tcPr>
            <w:tcW w:w="5724" w:type="dxa"/>
            <w:vAlign w:val="center"/>
          </w:tcPr>
          <w:p>
            <w:pPr>
              <w:spacing w:line="0" w:lineRule="atLeas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75" w:type="dxa"/>
            <w:vAlign w:val="center"/>
          </w:tcPr>
          <w:p>
            <w:pPr>
              <w:adjustRightInd w:val="0"/>
              <w:spacing w:line="0" w:lineRule="atLeast"/>
              <w:jc w:val="center"/>
              <w:textAlignment w:val="baseline"/>
              <w:rPr>
                <w:rFonts w:hint="eastAsia" w:ascii="宋体" w:hAnsi="宋体" w:eastAsia="宋体" w:cs="宋体"/>
                <w:b/>
                <w:kern w:val="0"/>
                <w:szCs w:val="21"/>
                <w:highlight w:val="none"/>
              </w:rPr>
            </w:pPr>
            <w:r>
              <w:rPr>
                <w:rFonts w:hint="eastAsia" w:ascii="宋体" w:hAnsi="宋体" w:eastAsia="宋体" w:cs="宋体"/>
                <w:b/>
                <w:kern w:val="0"/>
                <w:szCs w:val="21"/>
                <w:highlight w:val="none"/>
              </w:rPr>
              <w:t>投标有效期</w:t>
            </w:r>
          </w:p>
        </w:tc>
        <w:tc>
          <w:tcPr>
            <w:tcW w:w="5724" w:type="dxa"/>
            <w:vAlign w:val="center"/>
          </w:tcPr>
          <w:p>
            <w:pPr>
              <w:spacing w:line="0" w:lineRule="atLeas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75" w:type="dxa"/>
            <w:vAlign w:val="center"/>
          </w:tcPr>
          <w:p>
            <w:pPr>
              <w:adjustRightInd w:val="0"/>
              <w:spacing w:line="0" w:lineRule="atLeast"/>
              <w:jc w:val="center"/>
              <w:textAlignment w:val="baseline"/>
              <w:rPr>
                <w:rFonts w:hint="eastAsia" w:ascii="宋体" w:hAnsi="宋体" w:eastAsia="宋体" w:cs="宋体"/>
                <w:b/>
                <w:kern w:val="0"/>
                <w:szCs w:val="21"/>
                <w:highlight w:val="none"/>
              </w:rPr>
            </w:pPr>
            <w:r>
              <w:rPr>
                <w:rFonts w:hint="eastAsia" w:ascii="宋体" w:hAnsi="宋体" w:eastAsia="宋体" w:cs="宋体"/>
                <w:b/>
                <w:kern w:val="0"/>
                <w:szCs w:val="21"/>
                <w:highlight w:val="none"/>
              </w:rPr>
              <w:t>付款方式</w:t>
            </w:r>
          </w:p>
        </w:tc>
        <w:tc>
          <w:tcPr>
            <w:tcW w:w="5724" w:type="dxa"/>
            <w:vAlign w:val="center"/>
          </w:tcPr>
          <w:p>
            <w:pPr>
              <w:spacing w:line="0" w:lineRule="atLeas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3075" w:type="dxa"/>
            <w:vAlign w:val="center"/>
          </w:tcPr>
          <w:p>
            <w:pPr>
              <w:adjustRightInd w:val="0"/>
              <w:spacing w:line="0" w:lineRule="atLeast"/>
              <w:jc w:val="center"/>
              <w:textAlignment w:val="baseline"/>
              <w:rPr>
                <w:rFonts w:hint="eastAsia" w:ascii="宋体" w:hAnsi="宋体" w:eastAsia="宋体" w:cs="宋体"/>
                <w:b/>
                <w:kern w:val="0"/>
                <w:szCs w:val="21"/>
                <w:highlight w:val="none"/>
              </w:rPr>
            </w:pPr>
            <w:r>
              <w:rPr>
                <w:rFonts w:hint="eastAsia" w:ascii="宋体" w:hAnsi="宋体" w:eastAsia="宋体" w:cs="宋体"/>
                <w:b/>
                <w:kern w:val="0"/>
                <w:szCs w:val="21"/>
                <w:highlight w:val="none"/>
              </w:rPr>
              <w:t>其他</w:t>
            </w:r>
          </w:p>
        </w:tc>
        <w:tc>
          <w:tcPr>
            <w:tcW w:w="5724" w:type="dxa"/>
            <w:vAlign w:val="center"/>
          </w:tcPr>
          <w:p>
            <w:pPr>
              <w:adjustRightInd w:val="0"/>
              <w:spacing w:line="0" w:lineRule="atLeast"/>
              <w:jc w:val="center"/>
              <w:textAlignment w:val="baseline"/>
              <w:rPr>
                <w:rFonts w:hint="eastAsia" w:ascii="宋体" w:hAnsi="宋体" w:eastAsia="宋体" w:cs="宋体"/>
                <w:kern w:val="0"/>
                <w:szCs w:val="21"/>
                <w:highlight w:val="none"/>
              </w:rPr>
            </w:pPr>
          </w:p>
        </w:tc>
      </w:tr>
    </w:tbl>
    <w:p>
      <w:pPr>
        <w:spacing w:line="620" w:lineRule="exact"/>
        <w:rPr>
          <w:rFonts w:hint="eastAsia" w:ascii="宋体" w:hAnsi="宋体" w:eastAsia="宋体" w:cs="宋体"/>
          <w:sz w:val="24"/>
          <w:szCs w:val="20"/>
          <w:highlight w:val="none"/>
        </w:rPr>
      </w:pPr>
    </w:p>
    <w:p>
      <w:pPr>
        <w:spacing w:line="62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投标供应商：</w:t>
      </w:r>
      <w:r>
        <w:rPr>
          <w:rFonts w:hint="eastAsia" w:ascii="宋体" w:hAnsi="宋体" w:eastAsia="宋体" w:cs="宋体"/>
          <w:sz w:val="21"/>
          <w:szCs w:val="21"/>
          <w:highlight w:val="none"/>
          <w:u w:val="single"/>
        </w:rPr>
        <w:t xml:space="preserve">（盖章）          </w:t>
      </w:r>
    </w:p>
    <w:p>
      <w:pPr>
        <w:spacing w:line="62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法定代表人或其委托代理人：</w:t>
      </w:r>
      <w:r>
        <w:rPr>
          <w:rFonts w:hint="eastAsia" w:ascii="宋体" w:hAnsi="宋体" w:eastAsia="宋体" w:cs="宋体"/>
          <w:sz w:val="21"/>
          <w:szCs w:val="21"/>
          <w:highlight w:val="none"/>
          <w:u w:val="single"/>
        </w:rPr>
        <w:t xml:space="preserve">（签字或盖章）           </w:t>
      </w:r>
    </w:p>
    <w:p>
      <w:pPr>
        <w:spacing w:line="6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pPr>
        <w:spacing w:line="620" w:lineRule="exact"/>
        <w:rPr>
          <w:rFonts w:hint="eastAsia" w:ascii="宋体" w:hAnsi="宋体" w:eastAsia="宋体" w:cs="宋体"/>
          <w:b/>
          <w:sz w:val="21"/>
          <w:szCs w:val="21"/>
          <w:highlight w:val="none"/>
        </w:rPr>
        <w:sectPr>
          <w:pgSz w:w="11920" w:h="16840"/>
          <w:pgMar w:top="1418" w:right="1418" w:bottom="1418" w:left="1418" w:header="794" w:footer="851" w:gutter="284"/>
          <w:pgBorders>
            <w:top w:val="none" w:sz="0" w:space="0"/>
            <w:left w:val="none" w:sz="0" w:space="0"/>
            <w:bottom w:val="none" w:sz="0" w:space="0"/>
            <w:right w:val="none" w:sz="0" w:space="0"/>
          </w:pgBorders>
          <w:pgNumType w:fmt="decimal"/>
          <w:cols w:space="720" w:num="1"/>
        </w:sectPr>
      </w:pPr>
      <w:bookmarkStart w:id="219" w:name="_Toc30355"/>
    </w:p>
    <w:bookmarkEnd w:id="219"/>
    <w:p>
      <w:pPr>
        <w:pStyle w:val="3"/>
        <w:numPr>
          <w:ilvl w:val="0"/>
          <w:numId w:val="13"/>
        </w:numPr>
        <w:rPr>
          <w:rFonts w:hint="eastAsia" w:ascii="宋体" w:hAnsi="宋体" w:eastAsia="宋体" w:cs="宋体"/>
          <w:sz w:val="24"/>
          <w:szCs w:val="24"/>
          <w:highlight w:val="none"/>
          <w:lang w:val="en-US" w:eastAsia="zh-CN"/>
        </w:rPr>
      </w:pPr>
      <w:bookmarkStart w:id="220" w:name="_Toc27452"/>
      <w:bookmarkStart w:id="221" w:name="_Toc10771"/>
      <w:bookmarkStart w:id="222" w:name="_Toc16938"/>
      <w:bookmarkStart w:id="223" w:name="_Toc79579478"/>
      <w:bookmarkStart w:id="224" w:name="_Toc7338"/>
      <w:bookmarkStart w:id="225" w:name="_Toc24299"/>
      <w:bookmarkStart w:id="226" w:name="_Toc4328"/>
      <w:bookmarkStart w:id="227" w:name="_Toc31158"/>
      <w:bookmarkStart w:id="228" w:name="_Toc13480"/>
      <w:r>
        <w:rPr>
          <w:rFonts w:hint="eastAsia" w:ascii="宋体" w:hAnsi="宋体" w:eastAsia="宋体" w:cs="宋体"/>
          <w:sz w:val="24"/>
          <w:szCs w:val="24"/>
          <w:highlight w:val="none"/>
          <w:lang w:val="en-US" w:eastAsia="zh-CN"/>
        </w:rPr>
        <w:t>分项报价一览表</w:t>
      </w:r>
    </w:p>
    <w:p>
      <w:pPr>
        <w:numPr>
          <w:ilvl w:val="0"/>
          <w:numId w:val="0"/>
        </w:numPr>
        <w:jc w:val="right"/>
        <w:rPr>
          <w:rFonts w:hint="eastAsia" w:ascii="宋体" w:hAnsi="宋体" w:eastAsia="宋体" w:cs="宋体"/>
          <w:highlight w:val="none"/>
        </w:rPr>
      </w:pPr>
      <w:r>
        <w:rPr>
          <w:rFonts w:hint="eastAsia" w:ascii="宋体" w:hAnsi="宋体" w:eastAsia="宋体" w:cs="宋体"/>
          <w:highlight w:val="none"/>
        </w:rPr>
        <w:t>单位：人民币/元</w:t>
      </w:r>
    </w:p>
    <w:bookmarkEnd w:id="220"/>
    <w:bookmarkEnd w:id="221"/>
    <w:bookmarkEnd w:id="222"/>
    <w:bookmarkEnd w:id="223"/>
    <w:bookmarkEnd w:id="224"/>
    <w:bookmarkEnd w:id="225"/>
    <w:bookmarkEnd w:id="226"/>
    <w:bookmarkEnd w:id="227"/>
    <w:bookmarkEnd w:id="228"/>
    <w:tbl>
      <w:tblPr>
        <w:tblStyle w:val="34"/>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1158"/>
        <w:gridCol w:w="1110"/>
        <w:gridCol w:w="1007"/>
        <w:gridCol w:w="783"/>
        <w:gridCol w:w="1267"/>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852"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1701"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名称</w:t>
            </w:r>
          </w:p>
        </w:tc>
        <w:tc>
          <w:tcPr>
            <w:tcW w:w="1158"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品牌</w:t>
            </w:r>
          </w:p>
        </w:tc>
        <w:tc>
          <w:tcPr>
            <w:tcW w:w="1110"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规格型号</w:t>
            </w:r>
          </w:p>
        </w:tc>
        <w:tc>
          <w:tcPr>
            <w:tcW w:w="1007"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单位</w:t>
            </w:r>
          </w:p>
        </w:tc>
        <w:tc>
          <w:tcPr>
            <w:tcW w:w="783"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数量</w:t>
            </w:r>
          </w:p>
        </w:tc>
        <w:tc>
          <w:tcPr>
            <w:tcW w:w="1267"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单价（元）</w:t>
            </w:r>
          </w:p>
        </w:tc>
        <w:tc>
          <w:tcPr>
            <w:tcW w:w="1762"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52"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701" w:type="dxa"/>
            <w:vAlign w:val="center"/>
          </w:tcPr>
          <w:p>
            <w:pPr>
              <w:widowControl/>
              <w:spacing w:line="360" w:lineRule="auto"/>
              <w:jc w:val="center"/>
              <w:rPr>
                <w:rFonts w:hint="eastAsia" w:ascii="宋体" w:hAnsi="宋体" w:eastAsia="宋体" w:cs="宋体"/>
                <w:kern w:val="0"/>
                <w:sz w:val="21"/>
                <w:szCs w:val="21"/>
                <w:highlight w:val="none"/>
              </w:rPr>
            </w:pPr>
          </w:p>
        </w:tc>
        <w:tc>
          <w:tcPr>
            <w:tcW w:w="1158" w:type="dxa"/>
            <w:vAlign w:val="center"/>
          </w:tcPr>
          <w:p>
            <w:pPr>
              <w:widowControl/>
              <w:spacing w:line="360" w:lineRule="auto"/>
              <w:jc w:val="center"/>
              <w:rPr>
                <w:rFonts w:hint="eastAsia" w:ascii="宋体" w:hAnsi="宋体" w:eastAsia="宋体" w:cs="宋体"/>
                <w:kern w:val="0"/>
                <w:sz w:val="21"/>
                <w:szCs w:val="21"/>
                <w:highlight w:val="none"/>
              </w:rPr>
            </w:pPr>
          </w:p>
        </w:tc>
        <w:tc>
          <w:tcPr>
            <w:tcW w:w="1110" w:type="dxa"/>
            <w:vAlign w:val="center"/>
          </w:tcPr>
          <w:p>
            <w:pPr>
              <w:widowControl/>
              <w:spacing w:line="360" w:lineRule="auto"/>
              <w:jc w:val="center"/>
              <w:rPr>
                <w:rFonts w:hint="eastAsia" w:ascii="宋体" w:hAnsi="宋体" w:eastAsia="宋体" w:cs="宋体"/>
                <w:kern w:val="0"/>
                <w:sz w:val="21"/>
                <w:szCs w:val="21"/>
                <w:highlight w:val="none"/>
              </w:rPr>
            </w:pPr>
          </w:p>
        </w:tc>
        <w:tc>
          <w:tcPr>
            <w:tcW w:w="1007" w:type="dxa"/>
            <w:vAlign w:val="center"/>
          </w:tcPr>
          <w:p>
            <w:pPr>
              <w:widowControl/>
              <w:spacing w:line="360" w:lineRule="auto"/>
              <w:jc w:val="center"/>
              <w:rPr>
                <w:rFonts w:hint="eastAsia" w:ascii="宋体" w:hAnsi="宋体" w:eastAsia="宋体" w:cs="宋体"/>
                <w:kern w:val="0"/>
                <w:sz w:val="21"/>
                <w:szCs w:val="21"/>
                <w:highlight w:val="none"/>
              </w:rPr>
            </w:pPr>
          </w:p>
        </w:tc>
        <w:tc>
          <w:tcPr>
            <w:tcW w:w="783" w:type="dxa"/>
            <w:vAlign w:val="center"/>
          </w:tcPr>
          <w:p>
            <w:pPr>
              <w:widowControl/>
              <w:spacing w:line="360" w:lineRule="auto"/>
              <w:jc w:val="center"/>
              <w:rPr>
                <w:rFonts w:hint="eastAsia" w:ascii="宋体" w:hAnsi="宋体" w:eastAsia="宋体" w:cs="宋体"/>
                <w:kern w:val="0"/>
                <w:sz w:val="21"/>
                <w:szCs w:val="21"/>
                <w:highlight w:val="none"/>
              </w:rPr>
            </w:pPr>
          </w:p>
        </w:tc>
        <w:tc>
          <w:tcPr>
            <w:tcW w:w="1267" w:type="dxa"/>
            <w:vAlign w:val="center"/>
          </w:tcPr>
          <w:p>
            <w:pPr>
              <w:widowControl/>
              <w:spacing w:line="360" w:lineRule="auto"/>
              <w:jc w:val="center"/>
              <w:rPr>
                <w:rFonts w:hint="eastAsia" w:ascii="宋体" w:hAnsi="宋体" w:eastAsia="宋体" w:cs="宋体"/>
                <w:kern w:val="0"/>
                <w:sz w:val="21"/>
                <w:szCs w:val="21"/>
                <w:highlight w:val="none"/>
              </w:rPr>
            </w:pPr>
          </w:p>
        </w:tc>
        <w:tc>
          <w:tcPr>
            <w:tcW w:w="1762" w:type="dxa"/>
            <w:vAlign w:val="center"/>
          </w:tcPr>
          <w:p>
            <w:pPr>
              <w:widowControl/>
              <w:spacing w:line="360" w:lineRule="auto"/>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52"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701" w:type="dxa"/>
            <w:vAlign w:val="center"/>
          </w:tcPr>
          <w:p>
            <w:pPr>
              <w:widowControl/>
              <w:spacing w:line="360" w:lineRule="auto"/>
              <w:jc w:val="center"/>
              <w:rPr>
                <w:rFonts w:hint="eastAsia" w:ascii="宋体" w:hAnsi="宋体" w:eastAsia="宋体" w:cs="宋体"/>
                <w:kern w:val="0"/>
                <w:sz w:val="21"/>
                <w:szCs w:val="21"/>
                <w:highlight w:val="none"/>
              </w:rPr>
            </w:pPr>
          </w:p>
        </w:tc>
        <w:tc>
          <w:tcPr>
            <w:tcW w:w="1158" w:type="dxa"/>
            <w:vAlign w:val="center"/>
          </w:tcPr>
          <w:p>
            <w:pPr>
              <w:widowControl/>
              <w:spacing w:line="360" w:lineRule="auto"/>
              <w:jc w:val="center"/>
              <w:rPr>
                <w:rFonts w:hint="eastAsia" w:ascii="宋体" w:hAnsi="宋体" w:eastAsia="宋体" w:cs="宋体"/>
                <w:kern w:val="0"/>
                <w:sz w:val="21"/>
                <w:szCs w:val="21"/>
                <w:highlight w:val="none"/>
              </w:rPr>
            </w:pPr>
          </w:p>
        </w:tc>
        <w:tc>
          <w:tcPr>
            <w:tcW w:w="1110" w:type="dxa"/>
            <w:vAlign w:val="center"/>
          </w:tcPr>
          <w:p>
            <w:pPr>
              <w:widowControl/>
              <w:spacing w:line="360" w:lineRule="auto"/>
              <w:jc w:val="center"/>
              <w:rPr>
                <w:rFonts w:hint="eastAsia" w:ascii="宋体" w:hAnsi="宋体" w:eastAsia="宋体" w:cs="宋体"/>
                <w:kern w:val="0"/>
                <w:sz w:val="21"/>
                <w:szCs w:val="21"/>
                <w:highlight w:val="none"/>
              </w:rPr>
            </w:pPr>
          </w:p>
        </w:tc>
        <w:tc>
          <w:tcPr>
            <w:tcW w:w="1007" w:type="dxa"/>
            <w:vAlign w:val="center"/>
          </w:tcPr>
          <w:p>
            <w:pPr>
              <w:widowControl/>
              <w:spacing w:line="360" w:lineRule="auto"/>
              <w:jc w:val="center"/>
              <w:rPr>
                <w:rFonts w:hint="eastAsia" w:ascii="宋体" w:hAnsi="宋体" w:eastAsia="宋体" w:cs="宋体"/>
                <w:kern w:val="0"/>
                <w:sz w:val="21"/>
                <w:szCs w:val="21"/>
                <w:highlight w:val="none"/>
              </w:rPr>
            </w:pPr>
          </w:p>
        </w:tc>
        <w:tc>
          <w:tcPr>
            <w:tcW w:w="783" w:type="dxa"/>
            <w:vAlign w:val="center"/>
          </w:tcPr>
          <w:p>
            <w:pPr>
              <w:widowControl/>
              <w:spacing w:line="360" w:lineRule="auto"/>
              <w:jc w:val="center"/>
              <w:rPr>
                <w:rFonts w:hint="eastAsia" w:ascii="宋体" w:hAnsi="宋体" w:eastAsia="宋体" w:cs="宋体"/>
                <w:kern w:val="0"/>
                <w:sz w:val="21"/>
                <w:szCs w:val="21"/>
                <w:highlight w:val="none"/>
              </w:rPr>
            </w:pPr>
          </w:p>
        </w:tc>
        <w:tc>
          <w:tcPr>
            <w:tcW w:w="1267" w:type="dxa"/>
            <w:vAlign w:val="center"/>
          </w:tcPr>
          <w:p>
            <w:pPr>
              <w:widowControl/>
              <w:spacing w:line="360" w:lineRule="auto"/>
              <w:jc w:val="center"/>
              <w:rPr>
                <w:rFonts w:hint="eastAsia" w:ascii="宋体" w:hAnsi="宋体" w:eastAsia="宋体" w:cs="宋体"/>
                <w:kern w:val="0"/>
                <w:sz w:val="21"/>
                <w:szCs w:val="21"/>
                <w:highlight w:val="none"/>
              </w:rPr>
            </w:pPr>
          </w:p>
        </w:tc>
        <w:tc>
          <w:tcPr>
            <w:tcW w:w="1762" w:type="dxa"/>
            <w:vAlign w:val="center"/>
          </w:tcPr>
          <w:p>
            <w:pPr>
              <w:widowControl/>
              <w:spacing w:line="360" w:lineRule="auto"/>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52"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701" w:type="dxa"/>
            <w:vAlign w:val="center"/>
          </w:tcPr>
          <w:p>
            <w:pPr>
              <w:widowControl/>
              <w:spacing w:line="360" w:lineRule="auto"/>
              <w:jc w:val="center"/>
              <w:rPr>
                <w:rFonts w:hint="eastAsia" w:ascii="宋体" w:hAnsi="宋体" w:eastAsia="宋体" w:cs="宋体"/>
                <w:kern w:val="0"/>
                <w:sz w:val="21"/>
                <w:szCs w:val="21"/>
                <w:highlight w:val="none"/>
              </w:rPr>
            </w:pPr>
          </w:p>
        </w:tc>
        <w:tc>
          <w:tcPr>
            <w:tcW w:w="1158" w:type="dxa"/>
            <w:vAlign w:val="center"/>
          </w:tcPr>
          <w:p>
            <w:pPr>
              <w:widowControl/>
              <w:spacing w:line="360" w:lineRule="auto"/>
              <w:jc w:val="center"/>
              <w:rPr>
                <w:rFonts w:hint="eastAsia" w:ascii="宋体" w:hAnsi="宋体" w:eastAsia="宋体" w:cs="宋体"/>
                <w:kern w:val="0"/>
                <w:sz w:val="21"/>
                <w:szCs w:val="21"/>
                <w:highlight w:val="none"/>
              </w:rPr>
            </w:pPr>
          </w:p>
        </w:tc>
        <w:tc>
          <w:tcPr>
            <w:tcW w:w="1110" w:type="dxa"/>
            <w:vAlign w:val="center"/>
          </w:tcPr>
          <w:p>
            <w:pPr>
              <w:widowControl/>
              <w:spacing w:line="360" w:lineRule="auto"/>
              <w:jc w:val="center"/>
              <w:rPr>
                <w:rFonts w:hint="eastAsia" w:ascii="宋体" w:hAnsi="宋体" w:eastAsia="宋体" w:cs="宋体"/>
                <w:kern w:val="0"/>
                <w:sz w:val="21"/>
                <w:szCs w:val="21"/>
                <w:highlight w:val="none"/>
              </w:rPr>
            </w:pPr>
          </w:p>
        </w:tc>
        <w:tc>
          <w:tcPr>
            <w:tcW w:w="1007" w:type="dxa"/>
            <w:vAlign w:val="center"/>
          </w:tcPr>
          <w:p>
            <w:pPr>
              <w:widowControl/>
              <w:spacing w:line="360" w:lineRule="auto"/>
              <w:jc w:val="center"/>
              <w:rPr>
                <w:rFonts w:hint="eastAsia" w:ascii="宋体" w:hAnsi="宋体" w:eastAsia="宋体" w:cs="宋体"/>
                <w:kern w:val="0"/>
                <w:sz w:val="21"/>
                <w:szCs w:val="21"/>
                <w:highlight w:val="none"/>
              </w:rPr>
            </w:pPr>
          </w:p>
        </w:tc>
        <w:tc>
          <w:tcPr>
            <w:tcW w:w="783" w:type="dxa"/>
            <w:vAlign w:val="center"/>
          </w:tcPr>
          <w:p>
            <w:pPr>
              <w:widowControl/>
              <w:spacing w:line="360" w:lineRule="auto"/>
              <w:jc w:val="center"/>
              <w:rPr>
                <w:rFonts w:hint="eastAsia" w:ascii="宋体" w:hAnsi="宋体" w:eastAsia="宋体" w:cs="宋体"/>
                <w:kern w:val="0"/>
                <w:sz w:val="21"/>
                <w:szCs w:val="21"/>
                <w:highlight w:val="none"/>
              </w:rPr>
            </w:pPr>
          </w:p>
        </w:tc>
        <w:tc>
          <w:tcPr>
            <w:tcW w:w="1267" w:type="dxa"/>
            <w:vAlign w:val="center"/>
          </w:tcPr>
          <w:p>
            <w:pPr>
              <w:widowControl/>
              <w:spacing w:line="360" w:lineRule="auto"/>
              <w:jc w:val="center"/>
              <w:rPr>
                <w:rFonts w:hint="eastAsia" w:ascii="宋体" w:hAnsi="宋体" w:eastAsia="宋体" w:cs="宋体"/>
                <w:kern w:val="0"/>
                <w:sz w:val="21"/>
                <w:szCs w:val="21"/>
                <w:highlight w:val="none"/>
              </w:rPr>
            </w:pPr>
          </w:p>
        </w:tc>
        <w:tc>
          <w:tcPr>
            <w:tcW w:w="1762" w:type="dxa"/>
            <w:vAlign w:val="center"/>
          </w:tcPr>
          <w:p>
            <w:pPr>
              <w:widowControl/>
              <w:spacing w:line="360" w:lineRule="auto"/>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52"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1701" w:type="dxa"/>
            <w:vAlign w:val="center"/>
          </w:tcPr>
          <w:p>
            <w:pPr>
              <w:widowControl/>
              <w:spacing w:line="360" w:lineRule="auto"/>
              <w:jc w:val="center"/>
              <w:rPr>
                <w:rFonts w:hint="eastAsia" w:ascii="宋体" w:hAnsi="宋体" w:eastAsia="宋体" w:cs="宋体"/>
                <w:kern w:val="0"/>
                <w:sz w:val="21"/>
                <w:szCs w:val="21"/>
                <w:highlight w:val="none"/>
              </w:rPr>
            </w:pPr>
          </w:p>
        </w:tc>
        <w:tc>
          <w:tcPr>
            <w:tcW w:w="1158" w:type="dxa"/>
            <w:vAlign w:val="center"/>
          </w:tcPr>
          <w:p>
            <w:pPr>
              <w:widowControl/>
              <w:spacing w:line="360" w:lineRule="auto"/>
              <w:jc w:val="center"/>
              <w:rPr>
                <w:rFonts w:hint="eastAsia" w:ascii="宋体" w:hAnsi="宋体" w:eastAsia="宋体" w:cs="宋体"/>
                <w:kern w:val="0"/>
                <w:sz w:val="21"/>
                <w:szCs w:val="21"/>
                <w:highlight w:val="none"/>
              </w:rPr>
            </w:pPr>
          </w:p>
        </w:tc>
        <w:tc>
          <w:tcPr>
            <w:tcW w:w="1110" w:type="dxa"/>
            <w:vAlign w:val="center"/>
          </w:tcPr>
          <w:p>
            <w:pPr>
              <w:widowControl/>
              <w:spacing w:line="360" w:lineRule="auto"/>
              <w:jc w:val="center"/>
              <w:rPr>
                <w:rFonts w:hint="eastAsia" w:ascii="宋体" w:hAnsi="宋体" w:eastAsia="宋体" w:cs="宋体"/>
                <w:kern w:val="0"/>
                <w:sz w:val="21"/>
                <w:szCs w:val="21"/>
                <w:highlight w:val="none"/>
              </w:rPr>
            </w:pPr>
          </w:p>
        </w:tc>
        <w:tc>
          <w:tcPr>
            <w:tcW w:w="1007" w:type="dxa"/>
            <w:vAlign w:val="center"/>
          </w:tcPr>
          <w:p>
            <w:pPr>
              <w:widowControl/>
              <w:spacing w:line="360" w:lineRule="auto"/>
              <w:jc w:val="center"/>
              <w:rPr>
                <w:rFonts w:hint="eastAsia" w:ascii="宋体" w:hAnsi="宋体" w:eastAsia="宋体" w:cs="宋体"/>
                <w:kern w:val="0"/>
                <w:sz w:val="21"/>
                <w:szCs w:val="21"/>
                <w:highlight w:val="none"/>
              </w:rPr>
            </w:pPr>
          </w:p>
        </w:tc>
        <w:tc>
          <w:tcPr>
            <w:tcW w:w="783" w:type="dxa"/>
            <w:vAlign w:val="center"/>
          </w:tcPr>
          <w:p>
            <w:pPr>
              <w:widowControl/>
              <w:spacing w:line="360" w:lineRule="auto"/>
              <w:jc w:val="center"/>
              <w:rPr>
                <w:rFonts w:hint="eastAsia" w:ascii="宋体" w:hAnsi="宋体" w:eastAsia="宋体" w:cs="宋体"/>
                <w:kern w:val="0"/>
                <w:sz w:val="21"/>
                <w:szCs w:val="21"/>
                <w:highlight w:val="none"/>
              </w:rPr>
            </w:pPr>
          </w:p>
        </w:tc>
        <w:tc>
          <w:tcPr>
            <w:tcW w:w="1267" w:type="dxa"/>
            <w:vAlign w:val="center"/>
          </w:tcPr>
          <w:p>
            <w:pPr>
              <w:widowControl/>
              <w:spacing w:line="360" w:lineRule="auto"/>
              <w:jc w:val="center"/>
              <w:rPr>
                <w:rFonts w:hint="eastAsia" w:ascii="宋体" w:hAnsi="宋体" w:eastAsia="宋体" w:cs="宋体"/>
                <w:kern w:val="0"/>
                <w:sz w:val="21"/>
                <w:szCs w:val="21"/>
                <w:highlight w:val="none"/>
              </w:rPr>
            </w:pPr>
          </w:p>
        </w:tc>
        <w:tc>
          <w:tcPr>
            <w:tcW w:w="1762" w:type="dxa"/>
            <w:vAlign w:val="center"/>
          </w:tcPr>
          <w:p>
            <w:pPr>
              <w:widowControl/>
              <w:spacing w:line="360" w:lineRule="auto"/>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52"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1701" w:type="dxa"/>
            <w:vAlign w:val="center"/>
          </w:tcPr>
          <w:p>
            <w:pPr>
              <w:widowControl/>
              <w:spacing w:line="360" w:lineRule="auto"/>
              <w:jc w:val="center"/>
              <w:rPr>
                <w:rFonts w:hint="eastAsia" w:ascii="宋体" w:hAnsi="宋体" w:eastAsia="宋体" w:cs="宋体"/>
                <w:kern w:val="0"/>
                <w:sz w:val="21"/>
                <w:szCs w:val="21"/>
                <w:highlight w:val="none"/>
              </w:rPr>
            </w:pPr>
          </w:p>
        </w:tc>
        <w:tc>
          <w:tcPr>
            <w:tcW w:w="1158" w:type="dxa"/>
            <w:vAlign w:val="center"/>
          </w:tcPr>
          <w:p>
            <w:pPr>
              <w:widowControl/>
              <w:spacing w:line="360" w:lineRule="auto"/>
              <w:jc w:val="center"/>
              <w:rPr>
                <w:rFonts w:hint="eastAsia" w:ascii="宋体" w:hAnsi="宋体" w:eastAsia="宋体" w:cs="宋体"/>
                <w:kern w:val="0"/>
                <w:sz w:val="21"/>
                <w:szCs w:val="21"/>
                <w:highlight w:val="none"/>
              </w:rPr>
            </w:pPr>
          </w:p>
        </w:tc>
        <w:tc>
          <w:tcPr>
            <w:tcW w:w="1110" w:type="dxa"/>
            <w:vAlign w:val="center"/>
          </w:tcPr>
          <w:p>
            <w:pPr>
              <w:widowControl/>
              <w:spacing w:line="360" w:lineRule="auto"/>
              <w:jc w:val="center"/>
              <w:rPr>
                <w:rFonts w:hint="eastAsia" w:ascii="宋体" w:hAnsi="宋体" w:eastAsia="宋体" w:cs="宋体"/>
                <w:kern w:val="0"/>
                <w:sz w:val="21"/>
                <w:szCs w:val="21"/>
                <w:highlight w:val="none"/>
              </w:rPr>
            </w:pPr>
          </w:p>
        </w:tc>
        <w:tc>
          <w:tcPr>
            <w:tcW w:w="1007" w:type="dxa"/>
            <w:vAlign w:val="center"/>
          </w:tcPr>
          <w:p>
            <w:pPr>
              <w:widowControl/>
              <w:spacing w:line="360" w:lineRule="auto"/>
              <w:jc w:val="center"/>
              <w:rPr>
                <w:rFonts w:hint="eastAsia" w:ascii="宋体" w:hAnsi="宋体" w:eastAsia="宋体" w:cs="宋体"/>
                <w:kern w:val="0"/>
                <w:sz w:val="21"/>
                <w:szCs w:val="21"/>
                <w:highlight w:val="none"/>
              </w:rPr>
            </w:pPr>
          </w:p>
        </w:tc>
        <w:tc>
          <w:tcPr>
            <w:tcW w:w="783" w:type="dxa"/>
            <w:vAlign w:val="center"/>
          </w:tcPr>
          <w:p>
            <w:pPr>
              <w:widowControl/>
              <w:spacing w:line="360" w:lineRule="auto"/>
              <w:jc w:val="center"/>
              <w:rPr>
                <w:rFonts w:hint="eastAsia" w:ascii="宋体" w:hAnsi="宋体" w:eastAsia="宋体" w:cs="宋体"/>
                <w:kern w:val="0"/>
                <w:sz w:val="21"/>
                <w:szCs w:val="21"/>
                <w:highlight w:val="none"/>
              </w:rPr>
            </w:pPr>
          </w:p>
        </w:tc>
        <w:tc>
          <w:tcPr>
            <w:tcW w:w="1267" w:type="dxa"/>
            <w:vAlign w:val="center"/>
          </w:tcPr>
          <w:p>
            <w:pPr>
              <w:widowControl/>
              <w:spacing w:line="360" w:lineRule="auto"/>
              <w:jc w:val="center"/>
              <w:rPr>
                <w:rFonts w:hint="eastAsia" w:ascii="宋体" w:hAnsi="宋体" w:eastAsia="宋体" w:cs="宋体"/>
                <w:kern w:val="0"/>
                <w:sz w:val="21"/>
                <w:szCs w:val="21"/>
                <w:highlight w:val="none"/>
              </w:rPr>
            </w:pPr>
          </w:p>
        </w:tc>
        <w:tc>
          <w:tcPr>
            <w:tcW w:w="1762" w:type="dxa"/>
            <w:vAlign w:val="center"/>
          </w:tcPr>
          <w:p>
            <w:pPr>
              <w:widowControl/>
              <w:spacing w:line="360" w:lineRule="auto"/>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2" w:type="dxa"/>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合计</w:t>
            </w:r>
          </w:p>
        </w:tc>
        <w:tc>
          <w:tcPr>
            <w:tcW w:w="8788" w:type="dxa"/>
            <w:gridSpan w:val="7"/>
            <w:vAlign w:val="center"/>
          </w:tcPr>
          <w:p>
            <w:pPr>
              <w:widowControl/>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人民币（大写）：                               </w:t>
            </w:r>
          </w:p>
        </w:tc>
      </w:tr>
    </w:tbl>
    <w:p>
      <w:pPr>
        <w:spacing w:line="62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可根据实际自行扩展表格。</w:t>
      </w:r>
    </w:p>
    <w:p>
      <w:pPr>
        <w:spacing w:line="62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投标供应商：</w:t>
      </w:r>
      <w:r>
        <w:rPr>
          <w:rFonts w:hint="eastAsia" w:ascii="宋体" w:hAnsi="宋体" w:eastAsia="宋体" w:cs="宋体"/>
          <w:sz w:val="21"/>
          <w:szCs w:val="21"/>
          <w:highlight w:val="none"/>
          <w:u w:val="single"/>
        </w:rPr>
        <w:t xml:space="preserve">（盖章）              </w:t>
      </w:r>
    </w:p>
    <w:p>
      <w:pPr>
        <w:spacing w:line="62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法定代表人或其委托代理人：</w:t>
      </w:r>
      <w:r>
        <w:rPr>
          <w:rFonts w:hint="eastAsia" w:ascii="宋体" w:hAnsi="宋体" w:eastAsia="宋体" w:cs="宋体"/>
          <w:sz w:val="21"/>
          <w:szCs w:val="21"/>
          <w:highlight w:val="none"/>
          <w:u w:val="single"/>
        </w:rPr>
        <w:t xml:space="preserve">（签字或盖章）            </w:t>
      </w:r>
    </w:p>
    <w:p>
      <w:pPr>
        <w:spacing w:line="620" w:lineRule="exact"/>
        <w:rPr>
          <w:rFonts w:hint="eastAsia" w:ascii="宋体" w:hAnsi="宋体" w:eastAsia="宋体" w:cs="宋体"/>
          <w:sz w:val="21"/>
          <w:szCs w:val="21"/>
          <w:highlight w:val="none"/>
          <w:u w:val="single"/>
        </w:rPr>
        <w:sectPr>
          <w:pgSz w:w="11920" w:h="16840"/>
          <w:pgMar w:top="1418" w:right="1418" w:bottom="1418" w:left="1418" w:header="794" w:footer="851" w:gutter="284"/>
          <w:pgBorders>
            <w:top w:val="none" w:sz="0" w:space="0"/>
            <w:left w:val="none" w:sz="0" w:space="0"/>
            <w:bottom w:val="none" w:sz="0" w:space="0"/>
            <w:right w:val="none" w:sz="0" w:space="0"/>
          </w:pgBorders>
          <w:pgNumType w:fmt="decimal"/>
          <w:cols w:space="720" w:num="1"/>
          <w:docGrid w:linePitch="286" w:charSpace="0"/>
        </w:sect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ab/>
      </w:r>
      <w:bookmarkStart w:id="229" w:name="_Toc14271"/>
    </w:p>
    <w:bookmarkEnd w:id="229"/>
    <w:p>
      <w:pPr>
        <w:pStyle w:val="3"/>
        <w:rPr>
          <w:rFonts w:hint="eastAsia" w:ascii="宋体" w:hAnsi="宋体" w:eastAsia="宋体" w:cs="宋体"/>
          <w:sz w:val="24"/>
          <w:szCs w:val="24"/>
          <w:highlight w:val="none"/>
        </w:rPr>
      </w:pPr>
      <w:bookmarkStart w:id="230" w:name="_Toc6685"/>
      <w:bookmarkStart w:id="231" w:name="_Toc8951"/>
      <w:bookmarkStart w:id="232" w:name="_Toc25851"/>
      <w:bookmarkStart w:id="233" w:name="_Toc3172"/>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w:t>
      </w:r>
      <w:bookmarkEnd w:id="230"/>
      <w:bookmarkEnd w:id="231"/>
      <w:bookmarkEnd w:id="232"/>
      <w:r>
        <w:rPr>
          <w:rFonts w:hint="eastAsia" w:ascii="宋体" w:hAnsi="宋体" w:eastAsia="宋体" w:cs="宋体"/>
          <w:sz w:val="24"/>
          <w:szCs w:val="24"/>
          <w:highlight w:val="none"/>
          <w:lang w:val="en-US" w:eastAsia="zh-CN"/>
        </w:rPr>
        <w:t>类似</w:t>
      </w:r>
      <w:r>
        <w:rPr>
          <w:rFonts w:hint="eastAsia" w:ascii="宋体" w:hAnsi="宋体" w:eastAsia="宋体" w:cs="宋体"/>
          <w:sz w:val="24"/>
          <w:szCs w:val="24"/>
          <w:highlight w:val="none"/>
        </w:rPr>
        <w:t>业绩表</w:t>
      </w:r>
      <w:bookmarkEnd w:id="233"/>
    </w:p>
    <w:tbl>
      <w:tblPr>
        <w:tblStyle w:val="34"/>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634"/>
        <w:gridCol w:w="2478"/>
        <w:gridCol w:w="1497"/>
        <w:gridCol w:w="1907"/>
        <w:gridCol w:w="1469"/>
        <w:gridCol w:w="1634"/>
        <w:gridCol w:w="1362"/>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21" w:type="dxa"/>
          </w:tcPr>
          <w:p>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634" w:type="dxa"/>
          </w:tcPr>
          <w:p>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合同日期</w:t>
            </w:r>
          </w:p>
        </w:tc>
        <w:tc>
          <w:tcPr>
            <w:tcW w:w="2478" w:type="dxa"/>
          </w:tcPr>
          <w:p>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项目名称</w:t>
            </w:r>
          </w:p>
        </w:tc>
        <w:tc>
          <w:tcPr>
            <w:tcW w:w="1497" w:type="dxa"/>
          </w:tcPr>
          <w:p>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合同金额</w:t>
            </w:r>
          </w:p>
        </w:tc>
        <w:tc>
          <w:tcPr>
            <w:tcW w:w="1907" w:type="dxa"/>
          </w:tcPr>
          <w:p>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设备品牌</w:t>
            </w:r>
          </w:p>
        </w:tc>
        <w:tc>
          <w:tcPr>
            <w:tcW w:w="1469" w:type="dxa"/>
          </w:tcPr>
          <w:p>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设备产地</w:t>
            </w:r>
          </w:p>
        </w:tc>
        <w:tc>
          <w:tcPr>
            <w:tcW w:w="1634" w:type="dxa"/>
          </w:tcPr>
          <w:p>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规格型号</w:t>
            </w:r>
          </w:p>
        </w:tc>
        <w:tc>
          <w:tcPr>
            <w:tcW w:w="1362" w:type="dxa"/>
          </w:tcPr>
          <w:p>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客户名称</w:t>
            </w:r>
          </w:p>
        </w:tc>
        <w:tc>
          <w:tcPr>
            <w:tcW w:w="1694" w:type="dxa"/>
          </w:tcPr>
          <w:p>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客户联系电话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21" w:type="dxa"/>
          </w:tcPr>
          <w:p>
            <w:pPr>
              <w:widowControl/>
              <w:rPr>
                <w:rFonts w:hint="eastAsia" w:ascii="宋体" w:hAnsi="宋体" w:eastAsia="宋体" w:cs="宋体"/>
                <w:szCs w:val="21"/>
                <w:highlight w:val="none"/>
              </w:rPr>
            </w:pPr>
          </w:p>
        </w:tc>
        <w:tc>
          <w:tcPr>
            <w:tcW w:w="1634" w:type="dxa"/>
          </w:tcPr>
          <w:p>
            <w:pPr>
              <w:widowControl/>
              <w:rPr>
                <w:rFonts w:hint="eastAsia" w:ascii="宋体" w:hAnsi="宋体" w:eastAsia="宋体" w:cs="宋体"/>
                <w:szCs w:val="21"/>
                <w:highlight w:val="none"/>
              </w:rPr>
            </w:pPr>
          </w:p>
        </w:tc>
        <w:tc>
          <w:tcPr>
            <w:tcW w:w="2478" w:type="dxa"/>
          </w:tcPr>
          <w:p>
            <w:pPr>
              <w:widowControl/>
              <w:rPr>
                <w:rFonts w:hint="eastAsia" w:ascii="宋体" w:hAnsi="宋体" w:eastAsia="宋体" w:cs="宋体"/>
                <w:szCs w:val="21"/>
                <w:highlight w:val="none"/>
              </w:rPr>
            </w:pPr>
          </w:p>
        </w:tc>
        <w:tc>
          <w:tcPr>
            <w:tcW w:w="1497" w:type="dxa"/>
          </w:tcPr>
          <w:p>
            <w:pPr>
              <w:widowControl/>
              <w:rPr>
                <w:rFonts w:hint="eastAsia" w:ascii="宋体" w:hAnsi="宋体" w:eastAsia="宋体" w:cs="宋体"/>
                <w:szCs w:val="21"/>
                <w:highlight w:val="none"/>
              </w:rPr>
            </w:pPr>
          </w:p>
        </w:tc>
        <w:tc>
          <w:tcPr>
            <w:tcW w:w="1907" w:type="dxa"/>
          </w:tcPr>
          <w:p>
            <w:pPr>
              <w:widowControl/>
              <w:rPr>
                <w:rFonts w:hint="eastAsia" w:ascii="宋体" w:hAnsi="宋体" w:eastAsia="宋体" w:cs="宋体"/>
                <w:szCs w:val="21"/>
                <w:highlight w:val="none"/>
              </w:rPr>
            </w:pPr>
          </w:p>
        </w:tc>
        <w:tc>
          <w:tcPr>
            <w:tcW w:w="1469" w:type="dxa"/>
          </w:tcPr>
          <w:p>
            <w:pPr>
              <w:widowControl/>
              <w:rPr>
                <w:rFonts w:hint="eastAsia" w:ascii="宋体" w:hAnsi="宋体" w:eastAsia="宋体" w:cs="宋体"/>
                <w:szCs w:val="21"/>
                <w:highlight w:val="none"/>
              </w:rPr>
            </w:pPr>
          </w:p>
        </w:tc>
        <w:tc>
          <w:tcPr>
            <w:tcW w:w="1634" w:type="dxa"/>
          </w:tcPr>
          <w:p>
            <w:pPr>
              <w:widowControl/>
              <w:rPr>
                <w:rFonts w:hint="eastAsia" w:ascii="宋体" w:hAnsi="宋体" w:eastAsia="宋体" w:cs="宋体"/>
                <w:szCs w:val="21"/>
                <w:highlight w:val="none"/>
              </w:rPr>
            </w:pPr>
          </w:p>
        </w:tc>
        <w:tc>
          <w:tcPr>
            <w:tcW w:w="1362" w:type="dxa"/>
          </w:tcPr>
          <w:p>
            <w:pPr>
              <w:widowControl/>
              <w:rPr>
                <w:rFonts w:hint="eastAsia" w:ascii="宋体" w:hAnsi="宋体" w:eastAsia="宋体" w:cs="宋体"/>
                <w:szCs w:val="21"/>
                <w:highlight w:val="none"/>
              </w:rPr>
            </w:pPr>
          </w:p>
        </w:tc>
        <w:tc>
          <w:tcPr>
            <w:tcW w:w="1694" w:type="dxa"/>
          </w:tcPr>
          <w:p>
            <w:pPr>
              <w:widowControl/>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21" w:type="dxa"/>
          </w:tcPr>
          <w:p>
            <w:pPr>
              <w:widowControl/>
              <w:rPr>
                <w:rFonts w:hint="eastAsia" w:ascii="宋体" w:hAnsi="宋体" w:eastAsia="宋体" w:cs="宋体"/>
                <w:szCs w:val="21"/>
                <w:highlight w:val="none"/>
              </w:rPr>
            </w:pPr>
          </w:p>
        </w:tc>
        <w:tc>
          <w:tcPr>
            <w:tcW w:w="1634" w:type="dxa"/>
          </w:tcPr>
          <w:p>
            <w:pPr>
              <w:widowControl/>
              <w:rPr>
                <w:rFonts w:hint="eastAsia" w:ascii="宋体" w:hAnsi="宋体" w:eastAsia="宋体" w:cs="宋体"/>
                <w:szCs w:val="21"/>
                <w:highlight w:val="none"/>
              </w:rPr>
            </w:pPr>
          </w:p>
        </w:tc>
        <w:tc>
          <w:tcPr>
            <w:tcW w:w="2478" w:type="dxa"/>
          </w:tcPr>
          <w:p>
            <w:pPr>
              <w:widowControl/>
              <w:rPr>
                <w:rFonts w:hint="eastAsia" w:ascii="宋体" w:hAnsi="宋体" w:eastAsia="宋体" w:cs="宋体"/>
                <w:szCs w:val="21"/>
                <w:highlight w:val="none"/>
              </w:rPr>
            </w:pPr>
          </w:p>
        </w:tc>
        <w:tc>
          <w:tcPr>
            <w:tcW w:w="1497" w:type="dxa"/>
          </w:tcPr>
          <w:p>
            <w:pPr>
              <w:widowControl/>
              <w:rPr>
                <w:rFonts w:hint="eastAsia" w:ascii="宋体" w:hAnsi="宋体" w:eastAsia="宋体" w:cs="宋体"/>
                <w:szCs w:val="21"/>
                <w:highlight w:val="none"/>
              </w:rPr>
            </w:pPr>
          </w:p>
        </w:tc>
        <w:tc>
          <w:tcPr>
            <w:tcW w:w="1907" w:type="dxa"/>
          </w:tcPr>
          <w:p>
            <w:pPr>
              <w:widowControl/>
              <w:rPr>
                <w:rFonts w:hint="eastAsia" w:ascii="宋体" w:hAnsi="宋体" w:eastAsia="宋体" w:cs="宋体"/>
                <w:szCs w:val="21"/>
                <w:highlight w:val="none"/>
              </w:rPr>
            </w:pPr>
          </w:p>
        </w:tc>
        <w:tc>
          <w:tcPr>
            <w:tcW w:w="1469" w:type="dxa"/>
          </w:tcPr>
          <w:p>
            <w:pPr>
              <w:widowControl/>
              <w:rPr>
                <w:rFonts w:hint="eastAsia" w:ascii="宋体" w:hAnsi="宋体" w:eastAsia="宋体" w:cs="宋体"/>
                <w:szCs w:val="21"/>
                <w:highlight w:val="none"/>
              </w:rPr>
            </w:pPr>
          </w:p>
        </w:tc>
        <w:tc>
          <w:tcPr>
            <w:tcW w:w="1634" w:type="dxa"/>
          </w:tcPr>
          <w:p>
            <w:pPr>
              <w:widowControl/>
              <w:rPr>
                <w:rFonts w:hint="eastAsia" w:ascii="宋体" w:hAnsi="宋体" w:eastAsia="宋体" w:cs="宋体"/>
                <w:szCs w:val="21"/>
                <w:highlight w:val="none"/>
              </w:rPr>
            </w:pPr>
          </w:p>
        </w:tc>
        <w:tc>
          <w:tcPr>
            <w:tcW w:w="1362" w:type="dxa"/>
          </w:tcPr>
          <w:p>
            <w:pPr>
              <w:widowControl/>
              <w:rPr>
                <w:rFonts w:hint="eastAsia" w:ascii="宋体" w:hAnsi="宋体" w:eastAsia="宋体" w:cs="宋体"/>
                <w:szCs w:val="21"/>
                <w:highlight w:val="none"/>
              </w:rPr>
            </w:pPr>
          </w:p>
        </w:tc>
        <w:tc>
          <w:tcPr>
            <w:tcW w:w="1694" w:type="dxa"/>
          </w:tcPr>
          <w:p>
            <w:pPr>
              <w:widowControl/>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21" w:type="dxa"/>
          </w:tcPr>
          <w:p>
            <w:pPr>
              <w:widowControl/>
              <w:rPr>
                <w:rFonts w:hint="eastAsia" w:ascii="宋体" w:hAnsi="宋体" w:eastAsia="宋体" w:cs="宋体"/>
                <w:szCs w:val="21"/>
                <w:highlight w:val="none"/>
              </w:rPr>
            </w:pPr>
          </w:p>
        </w:tc>
        <w:tc>
          <w:tcPr>
            <w:tcW w:w="1634" w:type="dxa"/>
          </w:tcPr>
          <w:p>
            <w:pPr>
              <w:widowControl/>
              <w:rPr>
                <w:rFonts w:hint="eastAsia" w:ascii="宋体" w:hAnsi="宋体" w:eastAsia="宋体" w:cs="宋体"/>
                <w:szCs w:val="21"/>
                <w:highlight w:val="none"/>
              </w:rPr>
            </w:pPr>
          </w:p>
        </w:tc>
        <w:tc>
          <w:tcPr>
            <w:tcW w:w="2478" w:type="dxa"/>
          </w:tcPr>
          <w:p>
            <w:pPr>
              <w:widowControl/>
              <w:rPr>
                <w:rFonts w:hint="eastAsia" w:ascii="宋体" w:hAnsi="宋体" w:eastAsia="宋体" w:cs="宋体"/>
                <w:szCs w:val="21"/>
                <w:highlight w:val="none"/>
              </w:rPr>
            </w:pPr>
          </w:p>
        </w:tc>
        <w:tc>
          <w:tcPr>
            <w:tcW w:w="1497" w:type="dxa"/>
          </w:tcPr>
          <w:p>
            <w:pPr>
              <w:widowControl/>
              <w:rPr>
                <w:rFonts w:hint="eastAsia" w:ascii="宋体" w:hAnsi="宋体" w:eastAsia="宋体" w:cs="宋体"/>
                <w:szCs w:val="21"/>
                <w:highlight w:val="none"/>
              </w:rPr>
            </w:pPr>
          </w:p>
        </w:tc>
        <w:tc>
          <w:tcPr>
            <w:tcW w:w="1907" w:type="dxa"/>
          </w:tcPr>
          <w:p>
            <w:pPr>
              <w:widowControl/>
              <w:rPr>
                <w:rFonts w:hint="eastAsia" w:ascii="宋体" w:hAnsi="宋体" w:eastAsia="宋体" w:cs="宋体"/>
                <w:szCs w:val="21"/>
                <w:highlight w:val="none"/>
              </w:rPr>
            </w:pPr>
          </w:p>
        </w:tc>
        <w:tc>
          <w:tcPr>
            <w:tcW w:w="1469" w:type="dxa"/>
          </w:tcPr>
          <w:p>
            <w:pPr>
              <w:widowControl/>
              <w:rPr>
                <w:rFonts w:hint="eastAsia" w:ascii="宋体" w:hAnsi="宋体" w:eastAsia="宋体" w:cs="宋体"/>
                <w:szCs w:val="21"/>
                <w:highlight w:val="none"/>
              </w:rPr>
            </w:pPr>
          </w:p>
        </w:tc>
        <w:tc>
          <w:tcPr>
            <w:tcW w:w="1634" w:type="dxa"/>
          </w:tcPr>
          <w:p>
            <w:pPr>
              <w:widowControl/>
              <w:rPr>
                <w:rFonts w:hint="eastAsia" w:ascii="宋体" w:hAnsi="宋体" w:eastAsia="宋体" w:cs="宋体"/>
                <w:szCs w:val="21"/>
                <w:highlight w:val="none"/>
              </w:rPr>
            </w:pPr>
          </w:p>
        </w:tc>
        <w:tc>
          <w:tcPr>
            <w:tcW w:w="1362" w:type="dxa"/>
          </w:tcPr>
          <w:p>
            <w:pPr>
              <w:widowControl/>
              <w:rPr>
                <w:rFonts w:hint="eastAsia" w:ascii="宋体" w:hAnsi="宋体" w:eastAsia="宋体" w:cs="宋体"/>
                <w:szCs w:val="21"/>
                <w:highlight w:val="none"/>
              </w:rPr>
            </w:pPr>
          </w:p>
        </w:tc>
        <w:tc>
          <w:tcPr>
            <w:tcW w:w="1694" w:type="dxa"/>
          </w:tcPr>
          <w:p>
            <w:pPr>
              <w:widowControl/>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21" w:type="dxa"/>
          </w:tcPr>
          <w:p>
            <w:pPr>
              <w:widowControl/>
              <w:rPr>
                <w:rFonts w:hint="eastAsia" w:ascii="宋体" w:hAnsi="宋体" w:eastAsia="宋体" w:cs="宋体"/>
                <w:szCs w:val="21"/>
                <w:highlight w:val="none"/>
              </w:rPr>
            </w:pPr>
          </w:p>
        </w:tc>
        <w:tc>
          <w:tcPr>
            <w:tcW w:w="1634" w:type="dxa"/>
          </w:tcPr>
          <w:p>
            <w:pPr>
              <w:widowControl/>
              <w:rPr>
                <w:rFonts w:hint="eastAsia" w:ascii="宋体" w:hAnsi="宋体" w:eastAsia="宋体" w:cs="宋体"/>
                <w:szCs w:val="21"/>
                <w:highlight w:val="none"/>
              </w:rPr>
            </w:pPr>
          </w:p>
        </w:tc>
        <w:tc>
          <w:tcPr>
            <w:tcW w:w="2478" w:type="dxa"/>
          </w:tcPr>
          <w:p>
            <w:pPr>
              <w:widowControl/>
              <w:rPr>
                <w:rFonts w:hint="eastAsia" w:ascii="宋体" w:hAnsi="宋体" w:eastAsia="宋体" w:cs="宋体"/>
                <w:szCs w:val="21"/>
                <w:highlight w:val="none"/>
              </w:rPr>
            </w:pPr>
          </w:p>
        </w:tc>
        <w:tc>
          <w:tcPr>
            <w:tcW w:w="1497" w:type="dxa"/>
          </w:tcPr>
          <w:p>
            <w:pPr>
              <w:widowControl/>
              <w:rPr>
                <w:rFonts w:hint="eastAsia" w:ascii="宋体" w:hAnsi="宋体" w:eastAsia="宋体" w:cs="宋体"/>
                <w:szCs w:val="21"/>
                <w:highlight w:val="none"/>
              </w:rPr>
            </w:pPr>
          </w:p>
        </w:tc>
        <w:tc>
          <w:tcPr>
            <w:tcW w:w="1907" w:type="dxa"/>
          </w:tcPr>
          <w:p>
            <w:pPr>
              <w:widowControl/>
              <w:rPr>
                <w:rFonts w:hint="eastAsia" w:ascii="宋体" w:hAnsi="宋体" w:eastAsia="宋体" w:cs="宋体"/>
                <w:szCs w:val="21"/>
                <w:highlight w:val="none"/>
              </w:rPr>
            </w:pPr>
          </w:p>
        </w:tc>
        <w:tc>
          <w:tcPr>
            <w:tcW w:w="1469" w:type="dxa"/>
          </w:tcPr>
          <w:p>
            <w:pPr>
              <w:widowControl/>
              <w:rPr>
                <w:rFonts w:hint="eastAsia" w:ascii="宋体" w:hAnsi="宋体" w:eastAsia="宋体" w:cs="宋体"/>
                <w:szCs w:val="21"/>
                <w:highlight w:val="none"/>
              </w:rPr>
            </w:pPr>
          </w:p>
        </w:tc>
        <w:tc>
          <w:tcPr>
            <w:tcW w:w="1634" w:type="dxa"/>
          </w:tcPr>
          <w:p>
            <w:pPr>
              <w:widowControl/>
              <w:rPr>
                <w:rFonts w:hint="eastAsia" w:ascii="宋体" w:hAnsi="宋体" w:eastAsia="宋体" w:cs="宋体"/>
                <w:szCs w:val="21"/>
                <w:highlight w:val="none"/>
              </w:rPr>
            </w:pPr>
          </w:p>
        </w:tc>
        <w:tc>
          <w:tcPr>
            <w:tcW w:w="1362" w:type="dxa"/>
          </w:tcPr>
          <w:p>
            <w:pPr>
              <w:widowControl/>
              <w:rPr>
                <w:rFonts w:hint="eastAsia" w:ascii="宋体" w:hAnsi="宋体" w:eastAsia="宋体" w:cs="宋体"/>
                <w:szCs w:val="21"/>
                <w:highlight w:val="none"/>
              </w:rPr>
            </w:pPr>
          </w:p>
        </w:tc>
        <w:tc>
          <w:tcPr>
            <w:tcW w:w="1694" w:type="dxa"/>
          </w:tcPr>
          <w:p>
            <w:pPr>
              <w:widowControl/>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21" w:type="dxa"/>
          </w:tcPr>
          <w:p>
            <w:pPr>
              <w:widowControl/>
              <w:rPr>
                <w:rFonts w:hint="eastAsia" w:ascii="宋体" w:hAnsi="宋体" w:eastAsia="宋体" w:cs="宋体"/>
                <w:szCs w:val="21"/>
                <w:highlight w:val="none"/>
              </w:rPr>
            </w:pPr>
          </w:p>
        </w:tc>
        <w:tc>
          <w:tcPr>
            <w:tcW w:w="1634" w:type="dxa"/>
          </w:tcPr>
          <w:p>
            <w:pPr>
              <w:widowControl/>
              <w:rPr>
                <w:rFonts w:hint="eastAsia" w:ascii="宋体" w:hAnsi="宋体" w:eastAsia="宋体" w:cs="宋体"/>
                <w:szCs w:val="21"/>
                <w:highlight w:val="none"/>
              </w:rPr>
            </w:pPr>
          </w:p>
        </w:tc>
        <w:tc>
          <w:tcPr>
            <w:tcW w:w="2478" w:type="dxa"/>
          </w:tcPr>
          <w:p>
            <w:pPr>
              <w:widowControl/>
              <w:rPr>
                <w:rFonts w:hint="eastAsia" w:ascii="宋体" w:hAnsi="宋体" w:eastAsia="宋体" w:cs="宋体"/>
                <w:szCs w:val="21"/>
                <w:highlight w:val="none"/>
              </w:rPr>
            </w:pPr>
          </w:p>
        </w:tc>
        <w:tc>
          <w:tcPr>
            <w:tcW w:w="1497" w:type="dxa"/>
          </w:tcPr>
          <w:p>
            <w:pPr>
              <w:widowControl/>
              <w:rPr>
                <w:rFonts w:hint="eastAsia" w:ascii="宋体" w:hAnsi="宋体" w:eastAsia="宋体" w:cs="宋体"/>
                <w:szCs w:val="21"/>
                <w:highlight w:val="none"/>
              </w:rPr>
            </w:pPr>
          </w:p>
        </w:tc>
        <w:tc>
          <w:tcPr>
            <w:tcW w:w="1907" w:type="dxa"/>
          </w:tcPr>
          <w:p>
            <w:pPr>
              <w:widowControl/>
              <w:rPr>
                <w:rFonts w:hint="eastAsia" w:ascii="宋体" w:hAnsi="宋体" w:eastAsia="宋体" w:cs="宋体"/>
                <w:szCs w:val="21"/>
                <w:highlight w:val="none"/>
              </w:rPr>
            </w:pPr>
          </w:p>
        </w:tc>
        <w:tc>
          <w:tcPr>
            <w:tcW w:w="1469" w:type="dxa"/>
          </w:tcPr>
          <w:p>
            <w:pPr>
              <w:widowControl/>
              <w:rPr>
                <w:rFonts w:hint="eastAsia" w:ascii="宋体" w:hAnsi="宋体" w:eastAsia="宋体" w:cs="宋体"/>
                <w:szCs w:val="21"/>
                <w:highlight w:val="none"/>
              </w:rPr>
            </w:pPr>
          </w:p>
        </w:tc>
        <w:tc>
          <w:tcPr>
            <w:tcW w:w="1634" w:type="dxa"/>
          </w:tcPr>
          <w:p>
            <w:pPr>
              <w:widowControl/>
              <w:rPr>
                <w:rFonts w:hint="eastAsia" w:ascii="宋体" w:hAnsi="宋体" w:eastAsia="宋体" w:cs="宋体"/>
                <w:szCs w:val="21"/>
                <w:highlight w:val="none"/>
              </w:rPr>
            </w:pPr>
          </w:p>
        </w:tc>
        <w:tc>
          <w:tcPr>
            <w:tcW w:w="1362" w:type="dxa"/>
          </w:tcPr>
          <w:p>
            <w:pPr>
              <w:widowControl/>
              <w:rPr>
                <w:rFonts w:hint="eastAsia" w:ascii="宋体" w:hAnsi="宋体" w:eastAsia="宋体" w:cs="宋体"/>
                <w:szCs w:val="21"/>
                <w:highlight w:val="none"/>
              </w:rPr>
            </w:pPr>
          </w:p>
        </w:tc>
        <w:tc>
          <w:tcPr>
            <w:tcW w:w="1694" w:type="dxa"/>
          </w:tcPr>
          <w:p>
            <w:pPr>
              <w:widowControl/>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21" w:type="dxa"/>
          </w:tcPr>
          <w:p>
            <w:pPr>
              <w:widowControl/>
              <w:rPr>
                <w:rFonts w:hint="eastAsia" w:ascii="宋体" w:hAnsi="宋体" w:eastAsia="宋体" w:cs="宋体"/>
                <w:szCs w:val="21"/>
                <w:highlight w:val="none"/>
              </w:rPr>
            </w:pPr>
          </w:p>
        </w:tc>
        <w:tc>
          <w:tcPr>
            <w:tcW w:w="1634" w:type="dxa"/>
          </w:tcPr>
          <w:p>
            <w:pPr>
              <w:widowControl/>
              <w:rPr>
                <w:rFonts w:hint="eastAsia" w:ascii="宋体" w:hAnsi="宋体" w:eastAsia="宋体" w:cs="宋体"/>
                <w:szCs w:val="21"/>
                <w:highlight w:val="none"/>
              </w:rPr>
            </w:pPr>
          </w:p>
        </w:tc>
        <w:tc>
          <w:tcPr>
            <w:tcW w:w="2478" w:type="dxa"/>
          </w:tcPr>
          <w:p>
            <w:pPr>
              <w:widowControl/>
              <w:rPr>
                <w:rFonts w:hint="eastAsia" w:ascii="宋体" w:hAnsi="宋体" w:eastAsia="宋体" w:cs="宋体"/>
                <w:szCs w:val="21"/>
                <w:highlight w:val="none"/>
              </w:rPr>
            </w:pPr>
          </w:p>
        </w:tc>
        <w:tc>
          <w:tcPr>
            <w:tcW w:w="1497" w:type="dxa"/>
          </w:tcPr>
          <w:p>
            <w:pPr>
              <w:widowControl/>
              <w:rPr>
                <w:rFonts w:hint="eastAsia" w:ascii="宋体" w:hAnsi="宋体" w:eastAsia="宋体" w:cs="宋体"/>
                <w:szCs w:val="21"/>
                <w:highlight w:val="none"/>
              </w:rPr>
            </w:pPr>
          </w:p>
        </w:tc>
        <w:tc>
          <w:tcPr>
            <w:tcW w:w="1907" w:type="dxa"/>
          </w:tcPr>
          <w:p>
            <w:pPr>
              <w:widowControl/>
              <w:rPr>
                <w:rFonts w:hint="eastAsia" w:ascii="宋体" w:hAnsi="宋体" w:eastAsia="宋体" w:cs="宋体"/>
                <w:szCs w:val="21"/>
                <w:highlight w:val="none"/>
              </w:rPr>
            </w:pPr>
          </w:p>
        </w:tc>
        <w:tc>
          <w:tcPr>
            <w:tcW w:w="1469" w:type="dxa"/>
          </w:tcPr>
          <w:p>
            <w:pPr>
              <w:widowControl/>
              <w:rPr>
                <w:rFonts w:hint="eastAsia" w:ascii="宋体" w:hAnsi="宋体" w:eastAsia="宋体" w:cs="宋体"/>
                <w:szCs w:val="21"/>
                <w:highlight w:val="none"/>
              </w:rPr>
            </w:pPr>
          </w:p>
        </w:tc>
        <w:tc>
          <w:tcPr>
            <w:tcW w:w="1634" w:type="dxa"/>
          </w:tcPr>
          <w:p>
            <w:pPr>
              <w:widowControl/>
              <w:rPr>
                <w:rFonts w:hint="eastAsia" w:ascii="宋体" w:hAnsi="宋体" w:eastAsia="宋体" w:cs="宋体"/>
                <w:szCs w:val="21"/>
                <w:highlight w:val="none"/>
              </w:rPr>
            </w:pPr>
          </w:p>
        </w:tc>
        <w:tc>
          <w:tcPr>
            <w:tcW w:w="1362" w:type="dxa"/>
          </w:tcPr>
          <w:p>
            <w:pPr>
              <w:widowControl/>
              <w:rPr>
                <w:rFonts w:hint="eastAsia" w:ascii="宋体" w:hAnsi="宋体" w:eastAsia="宋体" w:cs="宋体"/>
                <w:szCs w:val="21"/>
                <w:highlight w:val="none"/>
              </w:rPr>
            </w:pPr>
          </w:p>
        </w:tc>
        <w:tc>
          <w:tcPr>
            <w:tcW w:w="1694" w:type="dxa"/>
          </w:tcPr>
          <w:p>
            <w:pPr>
              <w:widowControl/>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21" w:type="dxa"/>
          </w:tcPr>
          <w:p>
            <w:pPr>
              <w:widowControl/>
              <w:rPr>
                <w:rFonts w:hint="eastAsia" w:ascii="宋体" w:hAnsi="宋体" w:eastAsia="宋体" w:cs="宋体"/>
                <w:szCs w:val="21"/>
                <w:highlight w:val="none"/>
              </w:rPr>
            </w:pPr>
          </w:p>
        </w:tc>
        <w:tc>
          <w:tcPr>
            <w:tcW w:w="1634" w:type="dxa"/>
          </w:tcPr>
          <w:p>
            <w:pPr>
              <w:widowControl/>
              <w:rPr>
                <w:rFonts w:hint="eastAsia" w:ascii="宋体" w:hAnsi="宋体" w:eastAsia="宋体" w:cs="宋体"/>
                <w:szCs w:val="21"/>
                <w:highlight w:val="none"/>
              </w:rPr>
            </w:pPr>
          </w:p>
        </w:tc>
        <w:tc>
          <w:tcPr>
            <w:tcW w:w="2478" w:type="dxa"/>
          </w:tcPr>
          <w:p>
            <w:pPr>
              <w:widowControl/>
              <w:rPr>
                <w:rFonts w:hint="eastAsia" w:ascii="宋体" w:hAnsi="宋体" w:eastAsia="宋体" w:cs="宋体"/>
                <w:szCs w:val="21"/>
                <w:highlight w:val="none"/>
              </w:rPr>
            </w:pPr>
          </w:p>
        </w:tc>
        <w:tc>
          <w:tcPr>
            <w:tcW w:w="1497" w:type="dxa"/>
          </w:tcPr>
          <w:p>
            <w:pPr>
              <w:widowControl/>
              <w:rPr>
                <w:rFonts w:hint="eastAsia" w:ascii="宋体" w:hAnsi="宋体" w:eastAsia="宋体" w:cs="宋体"/>
                <w:szCs w:val="21"/>
                <w:highlight w:val="none"/>
              </w:rPr>
            </w:pPr>
          </w:p>
        </w:tc>
        <w:tc>
          <w:tcPr>
            <w:tcW w:w="1907" w:type="dxa"/>
          </w:tcPr>
          <w:p>
            <w:pPr>
              <w:widowControl/>
              <w:rPr>
                <w:rFonts w:hint="eastAsia" w:ascii="宋体" w:hAnsi="宋体" w:eastAsia="宋体" w:cs="宋体"/>
                <w:szCs w:val="21"/>
                <w:highlight w:val="none"/>
              </w:rPr>
            </w:pPr>
          </w:p>
        </w:tc>
        <w:tc>
          <w:tcPr>
            <w:tcW w:w="1469" w:type="dxa"/>
          </w:tcPr>
          <w:p>
            <w:pPr>
              <w:widowControl/>
              <w:rPr>
                <w:rFonts w:hint="eastAsia" w:ascii="宋体" w:hAnsi="宋体" w:eastAsia="宋体" w:cs="宋体"/>
                <w:szCs w:val="21"/>
                <w:highlight w:val="none"/>
              </w:rPr>
            </w:pPr>
          </w:p>
        </w:tc>
        <w:tc>
          <w:tcPr>
            <w:tcW w:w="1634" w:type="dxa"/>
          </w:tcPr>
          <w:p>
            <w:pPr>
              <w:widowControl/>
              <w:rPr>
                <w:rFonts w:hint="eastAsia" w:ascii="宋体" w:hAnsi="宋体" w:eastAsia="宋体" w:cs="宋体"/>
                <w:szCs w:val="21"/>
                <w:highlight w:val="none"/>
              </w:rPr>
            </w:pPr>
          </w:p>
        </w:tc>
        <w:tc>
          <w:tcPr>
            <w:tcW w:w="1362" w:type="dxa"/>
          </w:tcPr>
          <w:p>
            <w:pPr>
              <w:widowControl/>
              <w:rPr>
                <w:rFonts w:hint="eastAsia" w:ascii="宋体" w:hAnsi="宋体" w:eastAsia="宋体" w:cs="宋体"/>
                <w:szCs w:val="21"/>
                <w:highlight w:val="none"/>
              </w:rPr>
            </w:pPr>
          </w:p>
        </w:tc>
        <w:tc>
          <w:tcPr>
            <w:tcW w:w="1694" w:type="dxa"/>
          </w:tcPr>
          <w:p>
            <w:pPr>
              <w:widowControl/>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1" w:type="dxa"/>
          </w:tcPr>
          <w:p>
            <w:pPr>
              <w:widowControl/>
              <w:rPr>
                <w:rFonts w:hint="eastAsia" w:ascii="宋体" w:hAnsi="宋体" w:eastAsia="宋体" w:cs="宋体"/>
                <w:szCs w:val="21"/>
                <w:highlight w:val="none"/>
              </w:rPr>
            </w:pPr>
          </w:p>
        </w:tc>
        <w:tc>
          <w:tcPr>
            <w:tcW w:w="1634" w:type="dxa"/>
          </w:tcPr>
          <w:p>
            <w:pPr>
              <w:widowControl/>
              <w:rPr>
                <w:rFonts w:hint="eastAsia" w:ascii="宋体" w:hAnsi="宋体" w:eastAsia="宋体" w:cs="宋体"/>
                <w:szCs w:val="21"/>
                <w:highlight w:val="none"/>
              </w:rPr>
            </w:pPr>
          </w:p>
        </w:tc>
        <w:tc>
          <w:tcPr>
            <w:tcW w:w="2478" w:type="dxa"/>
          </w:tcPr>
          <w:p>
            <w:pPr>
              <w:widowControl/>
              <w:rPr>
                <w:rFonts w:hint="eastAsia" w:ascii="宋体" w:hAnsi="宋体" w:eastAsia="宋体" w:cs="宋体"/>
                <w:szCs w:val="21"/>
                <w:highlight w:val="none"/>
              </w:rPr>
            </w:pPr>
          </w:p>
        </w:tc>
        <w:tc>
          <w:tcPr>
            <w:tcW w:w="1497" w:type="dxa"/>
          </w:tcPr>
          <w:p>
            <w:pPr>
              <w:widowControl/>
              <w:rPr>
                <w:rFonts w:hint="eastAsia" w:ascii="宋体" w:hAnsi="宋体" w:eastAsia="宋体" w:cs="宋体"/>
                <w:szCs w:val="21"/>
                <w:highlight w:val="none"/>
              </w:rPr>
            </w:pPr>
          </w:p>
        </w:tc>
        <w:tc>
          <w:tcPr>
            <w:tcW w:w="1907" w:type="dxa"/>
          </w:tcPr>
          <w:p>
            <w:pPr>
              <w:widowControl/>
              <w:rPr>
                <w:rFonts w:hint="eastAsia" w:ascii="宋体" w:hAnsi="宋体" w:eastAsia="宋体" w:cs="宋体"/>
                <w:szCs w:val="21"/>
                <w:highlight w:val="none"/>
              </w:rPr>
            </w:pPr>
          </w:p>
        </w:tc>
        <w:tc>
          <w:tcPr>
            <w:tcW w:w="1469" w:type="dxa"/>
          </w:tcPr>
          <w:p>
            <w:pPr>
              <w:widowControl/>
              <w:rPr>
                <w:rFonts w:hint="eastAsia" w:ascii="宋体" w:hAnsi="宋体" w:eastAsia="宋体" w:cs="宋体"/>
                <w:szCs w:val="21"/>
                <w:highlight w:val="none"/>
              </w:rPr>
            </w:pPr>
          </w:p>
        </w:tc>
        <w:tc>
          <w:tcPr>
            <w:tcW w:w="1634" w:type="dxa"/>
          </w:tcPr>
          <w:p>
            <w:pPr>
              <w:widowControl/>
              <w:rPr>
                <w:rFonts w:hint="eastAsia" w:ascii="宋体" w:hAnsi="宋体" w:eastAsia="宋体" w:cs="宋体"/>
                <w:szCs w:val="21"/>
                <w:highlight w:val="none"/>
              </w:rPr>
            </w:pPr>
          </w:p>
        </w:tc>
        <w:tc>
          <w:tcPr>
            <w:tcW w:w="1362" w:type="dxa"/>
          </w:tcPr>
          <w:p>
            <w:pPr>
              <w:widowControl/>
              <w:rPr>
                <w:rFonts w:hint="eastAsia" w:ascii="宋体" w:hAnsi="宋体" w:eastAsia="宋体" w:cs="宋体"/>
                <w:szCs w:val="21"/>
                <w:highlight w:val="none"/>
              </w:rPr>
            </w:pPr>
          </w:p>
        </w:tc>
        <w:tc>
          <w:tcPr>
            <w:tcW w:w="1694" w:type="dxa"/>
          </w:tcPr>
          <w:p>
            <w:pPr>
              <w:widowControl/>
              <w:rPr>
                <w:rFonts w:hint="eastAsia" w:ascii="宋体" w:hAnsi="宋体" w:eastAsia="宋体" w:cs="宋体"/>
                <w:szCs w:val="21"/>
                <w:highlight w:val="none"/>
              </w:rPr>
            </w:pPr>
          </w:p>
        </w:tc>
      </w:tr>
    </w:tbl>
    <w:p>
      <w:pPr>
        <w:spacing w:line="380" w:lineRule="exact"/>
        <w:rPr>
          <w:rFonts w:hint="eastAsia" w:ascii="宋体" w:hAnsi="宋体" w:eastAsia="宋体" w:cs="宋体"/>
          <w:b/>
          <w:szCs w:val="21"/>
          <w:highlight w:val="none"/>
        </w:rPr>
      </w:pPr>
      <w:r>
        <w:rPr>
          <w:rFonts w:hint="eastAsia" w:ascii="宋体" w:hAnsi="宋体" w:eastAsia="宋体" w:cs="宋体"/>
          <w:b/>
          <w:szCs w:val="21"/>
          <w:highlight w:val="none"/>
        </w:rPr>
        <w:t>注：投标供应商应在本表后附相关证明材料。此表格若不够用，可根据实际自行扩展表格。</w:t>
      </w:r>
    </w:p>
    <w:p>
      <w:pPr>
        <w:spacing w:line="62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投标供应商：</w:t>
      </w:r>
      <w:r>
        <w:rPr>
          <w:rFonts w:hint="eastAsia" w:ascii="宋体" w:hAnsi="宋体" w:eastAsia="宋体" w:cs="宋体"/>
          <w:sz w:val="21"/>
          <w:szCs w:val="21"/>
          <w:highlight w:val="none"/>
          <w:u w:val="single"/>
        </w:rPr>
        <w:t>（</w:t>
      </w:r>
      <w:r>
        <w:rPr>
          <w:rFonts w:hint="eastAsia" w:ascii="宋体" w:hAnsi="宋体" w:eastAsia="宋体" w:cs="宋体"/>
          <w:kern w:val="0"/>
          <w:sz w:val="21"/>
          <w:szCs w:val="21"/>
          <w:highlight w:val="none"/>
          <w:u w:val="single"/>
        </w:rPr>
        <w:t>盖章</w:t>
      </w:r>
      <w:r>
        <w:rPr>
          <w:rFonts w:hint="eastAsia" w:ascii="宋体" w:hAnsi="宋体" w:eastAsia="宋体" w:cs="宋体"/>
          <w:sz w:val="21"/>
          <w:szCs w:val="21"/>
          <w:highlight w:val="none"/>
          <w:u w:val="single"/>
        </w:rPr>
        <w:t xml:space="preserve">）          </w:t>
      </w:r>
    </w:p>
    <w:p>
      <w:pPr>
        <w:spacing w:line="62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法定代表人或其委托代理人：</w:t>
      </w:r>
      <w:r>
        <w:rPr>
          <w:rFonts w:hint="eastAsia" w:ascii="宋体" w:hAnsi="宋体" w:eastAsia="宋体" w:cs="宋体"/>
          <w:sz w:val="21"/>
          <w:szCs w:val="21"/>
          <w:highlight w:val="none"/>
          <w:u w:val="single"/>
        </w:rPr>
        <w:t xml:space="preserve">（签字或盖章）            </w:t>
      </w:r>
    </w:p>
    <w:p>
      <w:pPr>
        <w:spacing w:line="620" w:lineRule="exact"/>
        <w:rPr>
          <w:rFonts w:hint="eastAsia" w:ascii="宋体" w:hAnsi="宋体" w:eastAsia="宋体" w:cs="宋体"/>
          <w:sz w:val="21"/>
          <w:szCs w:val="21"/>
          <w:highlight w:val="none"/>
        </w:rPr>
        <w:sectPr>
          <w:pgSz w:w="16840" w:h="11920" w:orient="landscape"/>
          <w:pgMar w:top="1418" w:right="1418" w:bottom="1418" w:left="1418" w:header="794" w:footer="850" w:gutter="283"/>
          <w:pgBorders>
            <w:top w:val="none" w:sz="0" w:space="0"/>
            <w:left w:val="none" w:sz="0" w:space="0"/>
            <w:bottom w:val="none" w:sz="0" w:space="0"/>
            <w:right w:val="none" w:sz="0" w:space="0"/>
          </w:pgBorders>
          <w:pgNumType w:fmt="decimal"/>
          <w:cols w:space="720" w:num="1"/>
          <w:docGrid w:linePitch="286" w:charSpace="0"/>
        </w:sect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日</w:t>
      </w:r>
    </w:p>
    <w:p>
      <w:pPr>
        <w:pStyle w:val="3"/>
        <w:rPr>
          <w:rFonts w:hint="eastAsia" w:ascii="宋体" w:hAnsi="宋体" w:eastAsia="宋体" w:cs="宋体"/>
          <w:highlight w:val="none"/>
        </w:rPr>
      </w:pPr>
      <w:bookmarkStart w:id="234" w:name="_Toc3443"/>
      <w:bookmarkStart w:id="235" w:name="_Toc294"/>
      <w:bookmarkStart w:id="236" w:name="_Toc32050"/>
      <w:bookmarkStart w:id="237" w:name="_Toc28699"/>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、技术偏离表</w:t>
      </w:r>
      <w:bookmarkEnd w:id="234"/>
      <w:bookmarkEnd w:id="235"/>
      <w:bookmarkEnd w:id="236"/>
      <w:bookmarkEnd w:id="237"/>
    </w:p>
    <w:tbl>
      <w:tblPr>
        <w:tblStyle w:val="34"/>
        <w:tblpPr w:leftFromText="180" w:rightFromText="180" w:vertAnchor="text" w:horzAnchor="page" w:tblpX="1861" w:tblpY="422"/>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597"/>
        <w:gridCol w:w="1691"/>
        <w:gridCol w:w="1773"/>
        <w:gridCol w:w="1391"/>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841" w:type="dxa"/>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597" w:type="dxa"/>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设备或产品名称或条款号</w:t>
            </w:r>
          </w:p>
        </w:tc>
        <w:tc>
          <w:tcPr>
            <w:tcW w:w="1691" w:type="dxa"/>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招标文件要求</w:t>
            </w:r>
          </w:p>
        </w:tc>
        <w:tc>
          <w:tcPr>
            <w:tcW w:w="1773" w:type="dxa"/>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投标文件响应</w:t>
            </w:r>
          </w:p>
        </w:tc>
        <w:tc>
          <w:tcPr>
            <w:tcW w:w="1391" w:type="dxa"/>
            <w:vAlign w:val="center"/>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偏离情况（</w:t>
            </w:r>
            <w:r>
              <w:rPr>
                <w:rFonts w:hint="eastAsia" w:ascii="宋体" w:hAnsi="宋体" w:eastAsia="宋体" w:cs="宋体"/>
                <w:szCs w:val="21"/>
                <w:highlight w:val="none"/>
                <w:lang w:eastAsia="zh-CN"/>
              </w:rPr>
              <w:t>无偏离</w:t>
            </w:r>
            <w:r>
              <w:rPr>
                <w:rFonts w:hint="eastAsia" w:ascii="宋体" w:hAnsi="宋体" w:eastAsia="宋体" w:cs="宋体"/>
                <w:szCs w:val="21"/>
                <w:highlight w:val="none"/>
              </w:rPr>
              <w:t>、正偏离、负偏离）</w:t>
            </w:r>
          </w:p>
        </w:tc>
        <w:tc>
          <w:tcPr>
            <w:tcW w:w="1545" w:type="dxa"/>
            <w:vAlign w:val="center"/>
          </w:tcPr>
          <w:p>
            <w:pPr>
              <w:spacing w:line="400" w:lineRule="exact"/>
              <w:jc w:val="center"/>
              <w:rPr>
                <w:rFonts w:hint="eastAsia" w:ascii="宋体" w:hAnsi="宋体" w:eastAsia="宋体" w:cs="宋体"/>
                <w:szCs w:val="21"/>
                <w:highlight w:val="none"/>
              </w:rPr>
            </w:pPr>
            <w:r>
              <w:rPr>
                <w:rFonts w:hint="eastAsia" w:ascii="宋体" w:hAnsi="宋体"/>
                <w:b/>
                <w:bCs/>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41" w:type="dxa"/>
            <w:vAlign w:val="center"/>
          </w:tcPr>
          <w:p>
            <w:pPr>
              <w:spacing w:line="400" w:lineRule="exact"/>
              <w:jc w:val="center"/>
              <w:rPr>
                <w:rFonts w:hint="eastAsia" w:ascii="宋体" w:hAnsi="宋体" w:eastAsia="宋体" w:cs="宋体"/>
                <w:b/>
                <w:szCs w:val="21"/>
                <w:highlight w:val="none"/>
              </w:rPr>
            </w:pPr>
          </w:p>
        </w:tc>
        <w:tc>
          <w:tcPr>
            <w:tcW w:w="1597" w:type="dxa"/>
            <w:vAlign w:val="center"/>
          </w:tcPr>
          <w:p>
            <w:pPr>
              <w:spacing w:line="400" w:lineRule="exact"/>
              <w:jc w:val="center"/>
              <w:rPr>
                <w:rFonts w:hint="eastAsia" w:ascii="宋体" w:hAnsi="宋体" w:eastAsia="宋体" w:cs="宋体"/>
                <w:b/>
                <w:szCs w:val="21"/>
                <w:highlight w:val="none"/>
              </w:rPr>
            </w:pPr>
          </w:p>
        </w:tc>
        <w:tc>
          <w:tcPr>
            <w:tcW w:w="1691" w:type="dxa"/>
            <w:vAlign w:val="center"/>
          </w:tcPr>
          <w:p>
            <w:pPr>
              <w:spacing w:line="400" w:lineRule="exact"/>
              <w:jc w:val="center"/>
              <w:rPr>
                <w:rFonts w:hint="eastAsia" w:ascii="宋体" w:hAnsi="宋体" w:eastAsia="宋体" w:cs="宋体"/>
                <w:b/>
                <w:szCs w:val="21"/>
                <w:highlight w:val="none"/>
              </w:rPr>
            </w:pPr>
          </w:p>
        </w:tc>
        <w:tc>
          <w:tcPr>
            <w:tcW w:w="1773" w:type="dxa"/>
            <w:vAlign w:val="center"/>
          </w:tcPr>
          <w:p>
            <w:pPr>
              <w:spacing w:line="400" w:lineRule="exact"/>
              <w:jc w:val="center"/>
              <w:rPr>
                <w:rFonts w:hint="eastAsia" w:ascii="宋体" w:hAnsi="宋体" w:eastAsia="宋体" w:cs="宋体"/>
                <w:b/>
                <w:szCs w:val="21"/>
                <w:highlight w:val="none"/>
              </w:rPr>
            </w:pPr>
          </w:p>
        </w:tc>
        <w:tc>
          <w:tcPr>
            <w:tcW w:w="1391" w:type="dxa"/>
            <w:vAlign w:val="center"/>
          </w:tcPr>
          <w:p>
            <w:pPr>
              <w:spacing w:line="400" w:lineRule="exact"/>
              <w:jc w:val="center"/>
              <w:rPr>
                <w:rFonts w:hint="eastAsia" w:ascii="宋体" w:hAnsi="宋体" w:eastAsia="宋体" w:cs="宋体"/>
                <w:b/>
                <w:szCs w:val="21"/>
                <w:highlight w:val="none"/>
              </w:rPr>
            </w:pPr>
          </w:p>
        </w:tc>
        <w:tc>
          <w:tcPr>
            <w:tcW w:w="1545" w:type="dxa"/>
          </w:tcPr>
          <w:p>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1" w:type="dxa"/>
            <w:vAlign w:val="center"/>
          </w:tcPr>
          <w:p>
            <w:pPr>
              <w:widowControl/>
              <w:rPr>
                <w:rFonts w:hint="eastAsia" w:ascii="宋体" w:hAnsi="宋体" w:eastAsia="宋体" w:cs="宋体"/>
                <w:szCs w:val="21"/>
                <w:highlight w:val="none"/>
              </w:rPr>
            </w:pPr>
          </w:p>
        </w:tc>
        <w:tc>
          <w:tcPr>
            <w:tcW w:w="1597" w:type="dxa"/>
            <w:vAlign w:val="center"/>
          </w:tcPr>
          <w:p>
            <w:pPr>
              <w:widowControl/>
              <w:rPr>
                <w:rFonts w:hint="eastAsia" w:ascii="宋体" w:hAnsi="宋体" w:eastAsia="宋体" w:cs="宋体"/>
                <w:szCs w:val="21"/>
                <w:highlight w:val="none"/>
              </w:rPr>
            </w:pPr>
          </w:p>
        </w:tc>
        <w:tc>
          <w:tcPr>
            <w:tcW w:w="1691" w:type="dxa"/>
            <w:vAlign w:val="center"/>
          </w:tcPr>
          <w:p>
            <w:pPr>
              <w:widowControl/>
              <w:rPr>
                <w:rFonts w:hint="eastAsia" w:ascii="宋体" w:hAnsi="宋体" w:eastAsia="宋体" w:cs="宋体"/>
                <w:szCs w:val="21"/>
                <w:highlight w:val="none"/>
              </w:rPr>
            </w:pPr>
          </w:p>
        </w:tc>
        <w:tc>
          <w:tcPr>
            <w:tcW w:w="1773" w:type="dxa"/>
            <w:vAlign w:val="center"/>
          </w:tcPr>
          <w:p>
            <w:pPr>
              <w:widowControl/>
              <w:rPr>
                <w:rFonts w:hint="eastAsia" w:ascii="宋体" w:hAnsi="宋体" w:eastAsia="宋体" w:cs="宋体"/>
                <w:szCs w:val="21"/>
                <w:highlight w:val="none"/>
              </w:rPr>
            </w:pPr>
          </w:p>
        </w:tc>
        <w:tc>
          <w:tcPr>
            <w:tcW w:w="1391" w:type="dxa"/>
            <w:vAlign w:val="center"/>
          </w:tcPr>
          <w:p>
            <w:pPr>
              <w:widowControl/>
              <w:rPr>
                <w:rFonts w:hint="eastAsia" w:ascii="宋体" w:hAnsi="宋体" w:eastAsia="宋体" w:cs="宋体"/>
                <w:szCs w:val="21"/>
                <w:highlight w:val="none"/>
              </w:rPr>
            </w:pPr>
          </w:p>
        </w:tc>
        <w:tc>
          <w:tcPr>
            <w:tcW w:w="1545" w:type="dxa"/>
          </w:tcPr>
          <w:p>
            <w:pPr>
              <w:spacing w:line="40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41" w:type="dxa"/>
            <w:vAlign w:val="center"/>
          </w:tcPr>
          <w:p>
            <w:pPr>
              <w:widowControl/>
              <w:rPr>
                <w:rFonts w:hint="eastAsia" w:ascii="宋体" w:hAnsi="宋体" w:eastAsia="宋体" w:cs="宋体"/>
                <w:szCs w:val="21"/>
                <w:highlight w:val="none"/>
              </w:rPr>
            </w:pPr>
          </w:p>
        </w:tc>
        <w:tc>
          <w:tcPr>
            <w:tcW w:w="1597" w:type="dxa"/>
            <w:vAlign w:val="center"/>
          </w:tcPr>
          <w:p>
            <w:pPr>
              <w:widowControl/>
              <w:rPr>
                <w:rFonts w:hint="eastAsia" w:ascii="宋体" w:hAnsi="宋体" w:eastAsia="宋体" w:cs="宋体"/>
                <w:szCs w:val="21"/>
                <w:highlight w:val="none"/>
              </w:rPr>
            </w:pPr>
          </w:p>
        </w:tc>
        <w:tc>
          <w:tcPr>
            <w:tcW w:w="1691" w:type="dxa"/>
            <w:vAlign w:val="center"/>
          </w:tcPr>
          <w:p>
            <w:pPr>
              <w:widowControl/>
              <w:rPr>
                <w:rFonts w:hint="eastAsia" w:ascii="宋体" w:hAnsi="宋体" w:eastAsia="宋体" w:cs="宋体"/>
                <w:szCs w:val="21"/>
                <w:highlight w:val="none"/>
              </w:rPr>
            </w:pPr>
          </w:p>
        </w:tc>
        <w:tc>
          <w:tcPr>
            <w:tcW w:w="1773" w:type="dxa"/>
            <w:vAlign w:val="center"/>
          </w:tcPr>
          <w:p>
            <w:pPr>
              <w:widowControl/>
              <w:rPr>
                <w:rFonts w:hint="eastAsia" w:ascii="宋体" w:hAnsi="宋体" w:eastAsia="宋体" w:cs="宋体"/>
                <w:szCs w:val="21"/>
                <w:highlight w:val="none"/>
              </w:rPr>
            </w:pPr>
          </w:p>
        </w:tc>
        <w:tc>
          <w:tcPr>
            <w:tcW w:w="1391" w:type="dxa"/>
            <w:vAlign w:val="center"/>
          </w:tcPr>
          <w:p>
            <w:pPr>
              <w:widowControl/>
              <w:rPr>
                <w:rFonts w:hint="eastAsia" w:ascii="宋体" w:hAnsi="宋体" w:eastAsia="宋体" w:cs="宋体"/>
                <w:szCs w:val="21"/>
                <w:highlight w:val="none"/>
              </w:rPr>
            </w:pPr>
          </w:p>
        </w:tc>
        <w:tc>
          <w:tcPr>
            <w:tcW w:w="1545" w:type="dxa"/>
          </w:tcPr>
          <w:p>
            <w:pPr>
              <w:widowControl/>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41" w:type="dxa"/>
            <w:vAlign w:val="center"/>
          </w:tcPr>
          <w:p>
            <w:pPr>
              <w:widowControl/>
              <w:rPr>
                <w:rFonts w:hint="eastAsia" w:ascii="宋体" w:hAnsi="宋体" w:eastAsia="宋体" w:cs="宋体"/>
                <w:szCs w:val="21"/>
                <w:highlight w:val="none"/>
              </w:rPr>
            </w:pPr>
          </w:p>
        </w:tc>
        <w:tc>
          <w:tcPr>
            <w:tcW w:w="1597" w:type="dxa"/>
            <w:vAlign w:val="center"/>
          </w:tcPr>
          <w:p>
            <w:pPr>
              <w:widowControl/>
              <w:rPr>
                <w:rFonts w:hint="eastAsia" w:ascii="宋体" w:hAnsi="宋体" w:eastAsia="宋体" w:cs="宋体"/>
                <w:szCs w:val="21"/>
                <w:highlight w:val="none"/>
              </w:rPr>
            </w:pPr>
          </w:p>
        </w:tc>
        <w:tc>
          <w:tcPr>
            <w:tcW w:w="1691" w:type="dxa"/>
            <w:vAlign w:val="center"/>
          </w:tcPr>
          <w:p>
            <w:pPr>
              <w:widowControl/>
              <w:rPr>
                <w:rFonts w:hint="eastAsia" w:ascii="宋体" w:hAnsi="宋体" w:eastAsia="宋体" w:cs="宋体"/>
                <w:szCs w:val="21"/>
                <w:highlight w:val="none"/>
              </w:rPr>
            </w:pPr>
          </w:p>
        </w:tc>
        <w:tc>
          <w:tcPr>
            <w:tcW w:w="1773" w:type="dxa"/>
            <w:vAlign w:val="center"/>
          </w:tcPr>
          <w:p>
            <w:pPr>
              <w:widowControl/>
              <w:rPr>
                <w:rFonts w:hint="eastAsia" w:ascii="宋体" w:hAnsi="宋体" w:eastAsia="宋体" w:cs="宋体"/>
                <w:szCs w:val="21"/>
                <w:highlight w:val="none"/>
              </w:rPr>
            </w:pPr>
          </w:p>
        </w:tc>
        <w:tc>
          <w:tcPr>
            <w:tcW w:w="1391" w:type="dxa"/>
            <w:vAlign w:val="center"/>
          </w:tcPr>
          <w:p>
            <w:pPr>
              <w:widowControl/>
              <w:rPr>
                <w:rFonts w:hint="eastAsia" w:ascii="宋体" w:hAnsi="宋体" w:eastAsia="宋体" w:cs="宋体"/>
                <w:szCs w:val="21"/>
                <w:highlight w:val="none"/>
              </w:rPr>
            </w:pPr>
          </w:p>
        </w:tc>
        <w:tc>
          <w:tcPr>
            <w:tcW w:w="1545" w:type="dxa"/>
          </w:tcPr>
          <w:p>
            <w:pPr>
              <w:widowControl/>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41" w:type="dxa"/>
            <w:vAlign w:val="center"/>
          </w:tcPr>
          <w:p>
            <w:pPr>
              <w:widowControl/>
              <w:rPr>
                <w:rFonts w:hint="eastAsia" w:ascii="宋体" w:hAnsi="宋体" w:eastAsia="宋体" w:cs="宋体"/>
                <w:szCs w:val="21"/>
                <w:highlight w:val="none"/>
              </w:rPr>
            </w:pPr>
          </w:p>
        </w:tc>
        <w:tc>
          <w:tcPr>
            <w:tcW w:w="1597" w:type="dxa"/>
            <w:vAlign w:val="center"/>
          </w:tcPr>
          <w:p>
            <w:pPr>
              <w:widowControl/>
              <w:rPr>
                <w:rFonts w:hint="eastAsia" w:ascii="宋体" w:hAnsi="宋体" w:eastAsia="宋体" w:cs="宋体"/>
                <w:szCs w:val="21"/>
                <w:highlight w:val="none"/>
              </w:rPr>
            </w:pPr>
          </w:p>
        </w:tc>
        <w:tc>
          <w:tcPr>
            <w:tcW w:w="1691" w:type="dxa"/>
            <w:vAlign w:val="center"/>
          </w:tcPr>
          <w:p>
            <w:pPr>
              <w:widowControl/>
              <w:rPr>
                <w:rFonts w:hint="eastAsia" w:ascii="宋体" w:hAnsi="宋体" w:eastAsia="宋体" w:cs="宋体"/>
                <w:szCs w:val="21"/>
                <w:highlight w:val="none"/>
              </w:rPr>
            </w:pPr>
          </w:p>
        </w:tc>
        <w:tc>
          <w:tcPr>
            <w:tcW w:w="1773" w:type="dxa"/>
            <w:vAlign w:val="center"/>
          </w:tcPr>
          <w:p>
            <w:pPr>
              <w:widowControl/>
              <w:rPr>
                <w:rFonts w:hint="eastAsia" w:ascii="宋体" w:hAnsi="宋体" w:eastAsia="宋体" w:cs="宋体"/>
                <w:szCs w:val="21"/>
                <w:highlight w:val="none"/>
              </w:rPr>
            </w:pPr>
          </w:p>
        </w:tc>
        <w:tc>
          <w:tcPr>
            <w:tcW w:w="1391" w:type="dxa"/>
            <w:vAlign w:val="center"/>
          </w:tcPr>
          <w:p>
            <w:pPr>
              <w:widowControl/>
              <w:rPr>
                <w:rFonts w:hint="eastAsia" w:ascii="宋体" w:hAnsi="宋体" w:eastAsia="宋体" w:cs="宋体"/>
                <w:szCs w:val="21"/>
                <w:highlight w:val="none"/>
              </w:rPr>
            </w:pPr>
          </w:p>
        </w:tc>
        <w:tc>
          <w:tcPr>
            <w:tcW w:w="1545" w:type="dxa"/>
          </w:tcPr>
          <w:p>
            <w:pPr>
              <w:widowControl/>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41" w:type="dxa"/>
            <w:vAlign w:val="center"/>
          </w:tcPr>
          <w:p>
            <w:pPr>
              <w:widowControl/>
              <w:rPr>
                <w:rFonts w:hint="eastAsia" w:ascii="宋体" w:hAnsi="宋体" w:eastAsia="宋体" w:cs="宋体"/>
                <w:szCs w:val="21"/>
                <w:highlight w:val="none"/>
              </w:rPr>
            </w:pPr>
          </w:p>
        </w:tc>
        <w:tc>
          <w:tcPr>
            <w:tcW w:w="1597" w:type="dxa"/>
            <w:vAlign w:val="center"/>
          </w:tcPr>
          <w:p>
            <w:pPr>
              <w:widowControl/>
              <w:rPr>
                <w:rFonts w:hint="eastAsia" w:ascii="宋体" w:hAnsi="宋体" w:eastAsia="宋体" w:cs="宋体"/>
                <w:szCs w:val="21"/>
                <w:highlight w:val="none"/>
              </w:rPr>
            </w:pPr>
          </w:p>
        </w:tc>
        <w:tc>
          <w:tcPr>
            <w:tcW w:w="1691" w:type="dxa"/>
            <w:vAlign w:val="center"/>
          </w:tcPr>
          <w:p>
            <w:pPr>
              <w:widowControl/>
              <w:rPr>
                <w:rFonts w:hint="eastAsia" w:ascii="宋体" w:hAnsi="宋体" w:eastAsia="宋体" w:cs="宋体"/>
                <w:szCs w:val="21"/>
                <w:highlight w:val="none"/>
              </w:rPr>
            </w:pPr>
          </w:p>
        </w:tc>
        <w:tc>
          <w:tcPr>
            <w:tcW w:w="1773" w:type="dxa"/>
            <w:vAlign w:val="center"/>
          </w:tcPr>
          <w:p>
            <w:pPr>
              <w:widowControl/>
              <w:rPr>
                <w:rFonts w:hint="eastAsia" w:ascii="宋体" w:hAnsi="宋体" w:eastAsia="宋体" w:cs="宋体"/>
                <w:szCs w:val="21"/>
                <w:highlight w:val="none"/>
              </w:rPr>
            </w:pPr>
          </w:p>
        </w:tc>
        <w:tc>
          <w:tcPr>
            <w:tcW w:w="1391" w:type="dxa"/>
            <w:vAlign w:val="center"/>
          </w:tcPr>
          <w:p>
            <w:pPr>
              <w:widowControl/>
              <w:rPr>
                <w:rFonts w:hint="eastAsia" w:ascii="宋体" w:hAnsi="宋体" w:eastAsia="宋体" w:cs="宋体"/>
                <w:szCs w:val="21"/>
                <w:highlight w:val="none"/>
              </w:rPr>
            </w:pPr>
          </w:p>
        </w:tc>
        <w:tc>
          <w:tcPr>
            <w:tcW w:w="1545" w:type="dxa"/>
          </w:tcPr>
          <w:p>
            <w:pPr>
              <w:widowControl/>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41" w:type="dxa"/>
            <w:vAlign w:val="center"/>
          </w:tcPr>
          <w:p>
            <w:pPr>
              <w:widowControl/>
              <w:rPr>
                <w:rFonts w:hint="eastAsia" w:ascii="宋体" w:hAnsi="宋体" w:eastAsia="宋体" w:cs="宋体"/>
                <w:szCs w:val="21"/>
                <w:highlight w:val="none"/>
              </w:rPr>
            </w:pPr>
          </w:p>
        </w:tc>
        <w:tc>
          <w:tcPr>
            <w:tcW w:w="1597" w:type="dxa"/>
            <w:vAlign w:val="center"/>
          </w:tcPr>
          <w:p>
            <w:pPr>
              <w:widowControl/>
              <w:rPr>
                <w:rFonts w:hint="eastAsia" w:ascii="宋体" w:hAnsi="宋体" w:eastAsia="宋体" w:cs="宋体"/>
                <w:szCs w:val="21"/>
                <w:highlight w:val="none"/>
              </w:rPr>
            </w:pPr>
          </w:p>
        </w:tc>
        <w:tc>
          <w:tcPr>
            <w:tcW w:w="1691" w:type="dxa"/>
            <w:vAlign w:val="center"/>
          </w:tcPr>
          <w:p>
            <w:pPr>
              <w:widowControl/>
              <w:rPr>
                <w:rFonts w:hint="eastAsia" w:ascii="宋体" w:hAnsi="宋体" w:eastAsia="宋体" w:cs="宋体"/>
                <w:szCs w:val="21"/>
                <w:highlight w:val="none"/>
              </w:rPr>
            </w:pPr>
          </w:p>
        </w:tc>
        <w:tc>
          <w:tcPr>
            <w:tcW w:w="1773" w:type="dxa"/>
            <w:vAlign w:val="center"/>
          </w:tcPr>
          <w:p>
            <w:pPr>
              <w:widowControl/>
              <w:rPr>
                <w:rFonts w:hint="eastAsia" w:ascii="宋体" w:hAnsi="宋体" w:eastAsia="宋体" w:cs="宋体"/>
                <w:szCs w:val="21"/>
                <w:highlight w:val="none"/>
              </w:rPr>
            </w:pPr>
          </w:p>
        </w:tc>
        <w:tc>
          <w:tcPr>
            <w:tcW w:w="1391" w:type="dxa"/>
            <w:vAlign w:val="center"/>
          </w:tcPr>
          <w:p>
            <w:pPr>
              <w:widowControl/>
              <w:rPr>
                <w:rFonts w:hint="eastAsia" w:ascii="宋体" w:hAnsi="宋体" w:eastAsia="宋体" w:cs="宋体"/>
                <w:szCs w:val="21"/>
                <w:highlight w:val="none"/>
              </w:rPr>
            </w:pPr>
          </w:p>
        </w:tc>
        <w:tc>
          <w:tcPr>
            <w:tcW w:w="1545" w:type="dxa"/>
          </w:tcPr>
          <w:p>
            <w:pPr>
              <w:widowControl/>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41" w:type="dxa"/>
            <w:vAlign w:val="center"/>
          </w:tcPr>
          <w:p>
            <w:pPr>
              <w:widowControl/>
              <w:rPr>
                <w:rFonts w:hint="eastAsia" w:ascii="宋体" w:hAnsi="宋体" w:eastAsia="宋体" w:cs="宋体"/>
                <w:szCs w:val="21"/>
                <w:highlight w:val="none"/>
              </w:rPr>
            </w:pPr>
          </w:p>
        </w:tc>
        <w:tc>
          <w:tcPr>
            <w:tcW w:w="1597" w:type="dxa"/>
            <w:vAlign w:val="center"/>
          </w:tcPr>
          <w:p>
            <w:pPr>
              <w:widowControl/>
              <w:rPr>
                <w:rFonts w:hint="eastAsia" w:ascii="宋体" w:hAnsi="宋体" w:eastAsia="宋体" w:cs="宋体"/>
                <w:szCs w:val="21"/>
                <w:highlight w:val="none"/>
              </w:rPr>
            </w:pPr>
          </w:p>
        </w:tc>
        <w:tc>
          <w:tcPr>
            <w:tcW w:w="1691" w:type="dxa"/>
            <w:vAlign w:val="center"/>
          </w:tcPr>
          <w:p>
            <w:pPr>
              <w:widowControl/>
              <w:rPr>
                <w:rFonts w:hint="eastAsia" w:ascii="宋体" w:hAnsi="宋体" w:eastAsia="宋体" w:cs="宋体"/>
                <w:szCs w:val="21"/>
                <w:highlight w:val="none"/>
              </w:rPr>
            </w:pPr>
          </w:p>
        </w:tc>
        <w:tc>
          <w:tcPr>
            <w:tcW w:w="1773" w:type="dxa"/>
            <w:vAlign w:val="center"/>
          </w:tcPr>
          <w:p>
            <w:pPr>
              <w:widowControl/>
              <w:rPr>
                <w:rFonts w:hint="eastAsia" w:ascii="宋体" w:hAnsi="宋体" w:eastAsia="宋体" w:cs="宋体"/>
                <w:szCs w:val="21"/>
                <w:highlight w:val="none"/>
              </w:rPr>
            </w:pPr>
          </w:p>
        </w:tc>
        <w:tc>
          <w:tcPr>
            <w:tcW w:w="1391" w:type="dxa"/>
            <w:vAlign w:val="center"/>
          </w:tcPr>
          <w:p>
            <w:pPr>
              <w:widowControl/>
              <w:rPr>
                <w:rFonts w:hint="eastAsia" w:ascii="宋体" w:hAnsi="宋体" w:eastAsia="宋体" w:cs="宋体"/>
                <w:szCs w:val="21"/>
                <w:highlight w:val="none"/>
              </w:rPr>
            </w:pPr>
          </w:p>
        </w:tc>
        <w:tc>
          <w:tcPr>
            <w:tcW w:w="1545" w:type="dxa"/>
          </w:tcPr>
          <w:p>
            <w:pPr>
              <w:widowControl/>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41" w:type="dxa"/>
            <w:vAlign w:val="center"/>
          </w:tcPr>
          <w:p>
            <w:pPr>
              <w:widowControl/>
              <w:rPr>
                <w:rFonts w:hint="eastAsia" w:ascii="宋体" w:hAnsi="宋体" w:eastAsia="宋体" w:cs="宋体"/>
                <w:szCs w:val="21"/>
                <w:highlight w:val="none"/>
              </w:rPr>
            </w:pPr>
          </w:p>
        </w:tc>
        <w:tc>
          <w:tcPr>
            <w:tcW w:w="1597" w:type="dxa"/>
            <w:vAlign w:val="center"/>
          </w:tcPr>
          <w:p>
            <w:pPr>
              <w:widowControl/>
              <w:rPr>
                <w:rFonts w:hint="eastAsia" w:ascii="宋体" w:hAnsi="宋体" w:eastAsia="宋体" w:cs="宋体"/>
                <w:szCs w:val="21"/>
                <w:highlight w:val="none"/>
              </w:rPr>
            </w:pPr>
          </w:p>
        </w:tc>
        <w:tc>
          <w:tcPr>
            <w:tcW w:w="1691" w:type="dxa"/>
            <w:vAlign w:val="center"/>
          </w:tcPr>
          <w:p>
            <w:pPr>
              <w:widowControl/>
              <w:rPr>
                <w:rFonts w:hint="eastAsia" w:ascii="宋体" w:hAnsi="宋体" w:eastAsia="宋体" w:cs="宋体"/>
                <w:szCs w:val="21"/>
                <w:highlight w:val="none"/>
              </w:rPr>
            </w:pPr>
          </w:p>
        </w:tc>
        <w:tc>
          <w:tcPr>
            <w:tcW w:w="1773" w:type="dxa"/>
            <w:vAlign w:val="center"/>
          </w:tcPr>
          <w:p>
            <w:pPr>
              <w:widowControl/>
              <w:rPr>
                <w:rFonts w:hint="eastAsia" w:ascii="宋体" w:hAnsi="宋体" w:eastAsia="宋体" w:cs="宋体"/>
                <w:szCs w:val="21"/>
                <w:highlight w:val="none"/>
              </w:rPr>
            </w:pPr>
          </w:p>
        </w:tc>
        <w:tc>
          <w:tcPr>
            <w:tcW w:w="1391" w:type="dxa"/>
            <w:vAlign w:val="center"/>
          </w:tcPr>
          <w:p>
            <w:pPr>
              <w:widowControl/>
              <w:rPr>
                <w:rFonts w:hint="eastAsia" w:ascii="宋体" w:hAnsi="宋体" w:eastAsia="宋体" w:cs="宋体"/>
                <w:szCs w:val="21"/>
                <w:highlight w:val="none"/>
              </w:rPr>
            </w:pPr>
          </w:p>
        </w:tc>
        <w:tc>
          <w:tcPr>
            <w:tcW w:w="1545" w:type="dxa"/>
          </w:tcPr>
          <w:p>
            <w:pPr>
              <w:widowControl/>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1" w:type="dxa"/>
            <w:vAlign w:val="center"/>
          </w:tcPr>
          <w:p>
            <w:pPr>
              <w:widowControl/>
              <w:rPr>
                <w:rFonts w:hint="eastAsia" w:ascii="宋体" w:hAnsi="宋体" w:eastAsia="宋体" w:cs="宋体"/>
                <w:szCs w:val="21"/>
                <w:highlight w:val="none"/>
              </w:rPr>
            </w:pPr>
          </w:p>
        </w:tc>
        <w:tc>
          <w:tcPr>
            <w:tcW w:w="1597" w:type="dxa"/>
            <w:vAlign w:val="center"/>
          </w:tcPr>
          <w:p>
            <w:pPr>
              <w:widowControl/>
              <w:rPr>
                <w:rFonts w:hint="eastAsia" w:ascii="宋体" w:hAnsi="宋体" w:eastAsia="宋体" w:cs="宋体"/>
                <w:szCs w:val="21"/>
                <w:highlight w:val="none"/>
              </w:rPr>
            </w:pPr>
          </w:p>
        </w:tc>
        <w:tc>
          <w:tcPr>
            <w:tcW w:w="1691" w:type="dxa"/>
            <w:vAlign w:val="center"/>
          </w:tcPr>
          <w:p>
            <w:pPr>
              <w:widowControl/>
              <w:rPr>
                <w:rFonts w:hint="eastAsia" w:ascii="宋体" w:hAnsi="宋体" w:eastAsia="宋体" w:cs="宋体"/>
                <w:szCs w:val="21"/>
                <w:highlight w:val="none"/>
              </w:rPr>
            </w:pPr>
          </w:p>
        </w:tc>
        <w:tc>
          <w:tcPr>
            <w:tcW w:w="1773" w:type="dxa"/>
            <w:vAlign w:val="center"/>
          </w:tcPr>
          <w:p>
            <w:pPr>
              <w:widowControl/>
              <w:rPr>
                <w:rFonts w:hint="eastAsia" w:ascii="宋体" w:hAnsi="宋体" w:eastAsia="宋体" w:cs="宋体"/>
                <w:szCs w:val="21"/>
                <w:highlight w:val="none"/>
              </w:rPr>
            </w:pPr>
          </w:p>
        </w:tc>
        <w:tc>
          <w:tcPr>
            <w:tcW w:w="1391" w:type="dxa"/>
            <w:vAlign w:val="center"/>
          </w:tcPr>
          <w:p>
            <w:pPr>
              <w:widowControl/>
              <w:rPr>
                <w:rFonts w:hint="eastAsia" w:ascii="宋体" w:hAnsi="宋体" w:eastAsia="宋体" w:cs="宋体"/>
                <w:szCs w:val="21"/>
                <w:highlight w:val="none"/>
              </w:rPr>
            </w:pPr>
          </w:p>
        </w:tc>
        <w:tc>
          <w:tcPr>
            <w:tcW w:w="1545" w:type="dxa"/>
          </w:tcPr>
          <w:p>
            <w:pPr>
              <w:widowControl/>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41" w:type="dxa"/>
            <w:vAlign w:val="center"/>
          </w:tcPr>
          <w:p>
            <w:pPr>
              <w:widowControl/>
              <w:rPr>
                <w:rFonts w:hint="eastAsia" w:ascii="宋体" w:hAnsi="宋体" w:eastAsia="宋体" w:cs="宋体"/>
                <w:szCs w:val="21"/>
                <w:highlight w:val="none"/>
              </w:rPr>
            </w:pPr>
          </w:p>
        </w:tc>
        <w:tc>
          <w:tcPr>
            <w:tcW w:w="1597" w:type="dxa"/>
            <w:vAlign w:val="center"/>
          </w:tcPr>
          <w:p>
            <w:pPr>
              <w:widowControl/>
              <w:rPr>
                <w:rFonts w:hint="eastAsia" w:ascii="宋体" w:hAnsi="宋体" w:eastAsia="宋体" w:cs="宋体"/>
                <w:szCs w:val="21"/>
                <w:highlight w:val="none"/>
              </w:rPr>
            </w:pPr>
          </w:p>
        </w:tc>
        <w:tc>
          <w:tcPr>
            <w:tcW w:w="1691" w:type="dxa"/>
            <w:vAlign w:val="center"/>
          </w:tcPr>
          <w:p>
            <w:pPr>
              <w:widowControl/>
              <w:rPr>
                <w:rFonts w:hint="eastAsia" w:ascii="宋体" w:hAnsi="宋体" w:eastAsia="宋体" w:cs="宋体"/>
                <w:szCs w:val="21"/>
                <w:highlight w:val="none"/>
              </w:rPr>
            </w:pPr>
          </w:p>
        </w:tc>
        <w:tc>
          <w:tcPr>
            <w:tcW w:w="1773" w:type="dxa"/>
            <w:vAlign w:val="center"/>
          </w:tcPr>
          <w:p>
            <w:pPr>
              <w:widowControl/>
              <w:rPr>
                <w:rFonts w:hint="eastAsia" w:ascii="宋体" w:hAnsi="宋体" w:eastAsia="宋体" w:cs="宋体"/>
                <w:szCs w:val="21"/>
                <w:highlight w:val="none"/>
              </w:rPr>
            </w:pPr>
          </w:p>
        </w:tc>
        <w:tc>
          <w:tcPr>
            <w:tcW w:w="1391" w:type="dxa"/>
            <w:vAlign w:val="center"/>
          </w:tcPr>
          <w:p>
            <w:pPr>
              <w:widowControl/>
              <w:rPr>
                <w:rFonts w:hint="eastAsia" w:ascii="宋体" w:hAnsi="宋体" w:eastAsia="宋体" w:cs="宋体"/>
                <w:szCs w:val="21"/>
                <w:highlight w:val="none"/>
              </w:rPr>
            </w:pPr>
          </w:p>
        </w:tc>
        <w:tc>
          <w:tcPr>
            <w:tcW w:w="1545" w:type="dxa"/>
          </w:tcPr>
          <w:p>
            <w:pPr>
              <w:widowControl/>
              <w:rPr>
                <w:rFonts w:hint="eastAsia" w:ascii="宋体" w:hAnsi="宋体" w:eastAsia="宋体" w:cs="宋体"/>
                <w:szCs w:val="21"/>
                <w:highlight w:val="none"/>
              </w:rPr>
            </w:pPr>
          </w:p>
        </w:tc>
      </w:tr>
    </w:tbl>
    <w:p>
      <w:pPr>
        <w:spacing w:line="400" w:lineRule="exact"/>
        <w:jc w:val="center"/>
        <w:rPr>
          <w:rFonts w:hint="eastAsia" w:ascii="宋体" w:hAnsi="宋体" w:eastAsia="宋体" w:cs="宋体"/>
          <w:szCs w:val="21"/>
          <w:highlight w:val="none"/>
        </w:rPr>
      </w:pPr>
    </w:p>
    <w:p>
      <w:pPr>
        <w:spacing w:line="400" w:lineRule="exact"/>
        <w:jc w:val="center"/>
        <w:rPr>
          <w:rFonts w:hint="eastAsia" w:ascii="宋体" w:hAnsi="宋体" w:eastAsia="宋体" w:cs="宋体"/>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szCs w:val="21"/>
          <w:highlight w:val="none"/>
        </w:rPr>
        <w:t>注：</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应对照招标文件第</w:t>
      </w:r>
      <w:r>
        <w:rPr>
          <w:rFonts w:hint="eastAsia" w:ascii="宋体" w:hAnsi="宋体" w:eastAsia="宋体" w:cs="宋体"/>
          <w:szCs w:val="21"/>
          <w:highlight w:val="none"/>
          <w:lang w:val="en-US" w:eastAsia="zh-CN"/>
        </w:rPr>
        <w:t>七</w:t>
      </w:r>
      <w:r>
        <w:rPr>
          <w:rFonts w:hint="eastAsia" w:ascii="宋体" w:hAnsi="宋体" w:eastAsia="宋体" w:cs="宋体"/>
          <w:szCs w:val="21"/>
          <w:highlight w:val="none"/>
        </w:rPr>
        <w:t>章“货物需求及技术要求”的要求，</w:t>
      </w:r>
      <w:r>
        <w:rPr>
          <w:rFonts w:hint="eastAsia" w:ascii="宋体" w:hAnsi="宋体" w:eastAsia="宋体" w:cs="宋体"/>
          <w:bCs/>
          <w:color w:val="auto"/>
          <w:szCs w:val="21"/>
          <w:highlight w:val="none"/>
        </w:rPr>
        <w:t>反映所提供产品和服务对招标文件的货物规格要求的全部正/负/无偏离（优于招标文件要求的为正偏离、低于招标文件要求得为负偏离，与采购要求相符的为无偏离）情况，</w:t>
      </w:r>
      <w:r>
        <w:rPr>
          <w:rFonts w:hint="eastAsia" w:ascii="宋体" w:hAnsi="宋体" w:eastAsia="宋体" w:cs="宋体"/>
          <w:szCs w:val="21"/>
          <w:highlight w:val="none"/>
          <w:lang w:eastAsia="zh-CN"/>
        </w:rPr>
        <w:t>供应商</w:t>
      </w:r>
      <w:r>
        <w:rPr>
          <w:rFonts w:hint="eastAsia" w:ascii="宋体" w:hAnsi="宋体" w:eastAsia="宋体" w:cs="宋体"/>
          <w:bCs/>
          <w:color w:val="auto"/>
          <w:szCs w:val="21"/>
          <w:highlight w:val="none"/>
        </w:rPr>
        <w:t>必须提供所投货物或者服务的具体参数值，并在文件中提供详细资料，否则不得分。</w:t>
      </w:r>
    </w:p>
    <w:p>
      <w:pPr>
        <w:spacing w:line="400" w:lineRule="exact"/>
        <w:jc w:val="left"/>
        <w:rPr>
          <w:rFonts w:hint="eastAsia" w:ascii="宋体" w:hAnsi="宋体" w:eastAsia="宋体" w:cs="宋体"/>
          <w:sz w:val="24"/>
          <w:szCs w:val="20"/>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此表格若不够用，可根据实际自行扩展表格。</w:t>
      </w:r>
    </w:p>
    <w:p>
      <w:pPr>
        <w:spacing w:line="62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投标供应商：</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val="zh-CN"/>
        </w:rPr>
        <w:t>盖章</w:t>
      </w:r>
      <w:r>
        <w:rPr>
          <w:rFonts w:hint="eastAsia" w:ascii="宋体" w:hAnsi="宋体" w:eastAsia="宋体" w:cs="宋体"/>
          <w:sz w:val="21"/>
          <w:szCs w:val="21"/>
          <w:highlight w:val="none"/>
          <w:u w:val="single"/>
        </w:rPr>
        <w:t xml:space="preserve">）          </w:t>
      </w:r>
    </w:p>
    <w:p>
      <w:pPr>
        <w:spacing w:line="62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法定代表人或其委托代理人：</w:t>
      </w:r>
      <w:r>
        <w:rPr>
          <w:rFonts w:hint="eastAsia" w:ascii="宋体" w:hAnsi="宋体" w:eastAsia="宋体" w:cs="宋体"/>
          <w:sz w:val="21"/>
          <w:szCs w:val="21"/>
          <w:highlight w:val="none"/>
          <w:u w:val="single"/>
        </w:rPr>
        <w:t xml:space="preserve">（签字或盖章）            </w:t>
      </w:r>
    </w:p>
    <w:p>
      <w:pPr>
        <w:spacing w:line="6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pPr>
        <w:widowControl/>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pStyle w:val="3"/>
        <w:rPr>
          <w:rFonts w:hint="eastAsia" w:ascii="宋体" w:hAnsi="宋体" w:eastAsia="宋体" w:cs="宋体"/>
          <w:sz w:val="24"/>
          <w:szCs w:val="24"/>
          <w:highlight w:val="none"/>
          <w:lang w:eastAsia="zh-CN"/>
        </w:rPr>
      </w:pPr>
      <w:bookmarkStart w:id="238" w:name="_Toc13345"/>
      <w:bookmarkStart w:id="239" w:name="_Toc25443"/>
      <w:bookmarkStart w:id="240" w:name="_Toc5991"/>
      <w:bookmarkStart w:id="241" w:name="_Toc17901"/>
      <w:bookmarkStart w:id="242" w:name="_Toc21971"/>
      <w:bookmarkStart w:id="243" w:name="_Toc9248"/>
      <w:bookmarkStart w:id="244" w:name="_Toc23015"/>
      <w:bookmarkStart w:id="245" w:name="_Hlk84944643"/>
      <w:r>
        <w:rPr>
          <w:rFonts w:hint="eastAsia" w:ascii="宋体" w:hAnsi="宋体" w:eastAsia="宋体" w:cs="宋体"/>
          <w:sz w:val="24"/>
          <w:szCs w:val="24"/>
          <w:highlight w:val="none"/>
          <w:lang w:eastAsia="zh-CN"/>
        </w:rPr>
        <w:t>五、商务偏离表</w:t>
      </w:r>
    </w:p>
    <w:p>
      <w:pPr>
        <w:spacing w:line="200" w:lineRule="exact"/>
        <w:rPr>
          <w:rFonts w:hint="eastAsia" w:ascii="宋体" w:hAnsi="宋体" w:eastAsia="宋体" w:cs="宋体"/>
          <w:color w:val="auto"/>
          <w:highlight w:val="none"/>
        </w:rPr>
      </w:pPr>
    </w:p>
    <w:p>
      <w:pPr>
        <w:spacing w:line="218" w:lineRule="exact"/>
        <w:rPr>
          <w:rFonts w:hint="eastAsia" w:ascii="宋体" w:hAnsi="宋体" w:eastAsia="宋体" w:cs="宋体"/>
          <w:color w:val="auto"/>
          <w:highlight w:val="none"/>
        </w:rPr>
      </w:pPr>
    </w:p>
    <w:tbl>
      <w:tblPr>
        <w:tblStyle w:val="34"/>
        <w:tblW w:w="0" w:type="auto"/>
        <w:tblInd w:w="-10" w:type="dxa"/>
        <w:tblLayout w:type="fixed"/>
        <w:tblCellMar>
          <w:top w:w="0" w:type="dxa"/>
          <w:left w:w="0" w:type="dxa"/>
          <w:bottom w:w="0" w:type="dxa"/>
          <w:right w:w="0" w:type="dxa"/>
        </w:tblCellMar>
      </w:tblPr>
      <w:tblGrid>
        <w:gridCol w:w="1040"/>
        <w:gridCol w:w="2620"/>
        <w:gridCol w:w="3040"/>
        <w:gridCol w:w="2740"/>
      </w:tblGrid>
      <w:tr>
        <w:tblPrEx>
          <w:tblCellMar>
            <w:top w:w="0" w:type="dxa"/>
            <w:left w:w="0" w:type="dxa"/>
            <w:bottom w:w="0" w:type="dxa"/>
            <w:right w:w="0" w:type="dxa"/>
          </w:tblCellMar>
        </w:tblPrEx>
        <w:trPr>
          <w:trHeight w:val="824" w:hRule="atLeast"/>
        </w:trPr>
        <w:tc>
          <w:tcPr>
            <w:tcW w:w="1040" w:type="dxa"/>
            <w:tcBorders>
              <w:top w:val="single" w:color="auto" w:sz="8" w:space="0"/>
              <w:left w:val="single" w:color="auto" w:sz="8" w:space="0"/>
              <w:bottom w:val="single" w:color="auto" w:sz="4" w:space="0"/>
              <w:right w:val="single" w:color="auto" w:sz="8" w:space="0"/>
            </w:tcBorders>
            <w:noWrap/>
            <w:vAlign w:val="center"/>
          </w:tcPr>
          <w:p>
            <w:pPr>
              <w:spacing w:line="360" w:lineRule="auto"/>
              <w:ind w:left="2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20" w:type="dxa"/>
            <w:tcBorders>
              <w:top w:val="single" w:color="auto" w:sz="8" w:space="0"/>
              <w:bottom w:val="single" w:color="auto" w:sz="4" w:space="0"/>
              <w:right w:val="single" w:color="auto" w:sz="8" w:space="0"/>
            </w:tcBorders>
            <w:noWrap/>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招标文件相应内容</w:t>
            </w:r>
          </w:p>
        </w:tc>
        <w:tc>
          <w:tcPr>
            <w:tcW w:w="3040" w:type="dxa"/>
            <w:tcBorders>
              <w:top w:val="single" w:color="auto" w:sz="8" w:space="0"/>
              <w:bottom w:val="single" w:color="auto" w:sz="4" w:space="0"/>
              <w:right w:val="single" w:color="auto" w:sz="8" w:space="0"/>
            </w:tcBorders>
            <w:noWrap/>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投标文件响应内容</w:t>
            </w:r>
          </w:p>
        </w:tc>
        <w:tc>
          <w:tcPr>
            <w:tcW w:w="2740" w:type="dxa"/>
            <w:tcBorders>
              <w:top w:val="single" w:color="auto" w:sz="8" w:space="0"/>
              <w:bottom w:val="single" w:color="auto" w:sz="4" w:space="0"/>
              <w:right w:val="single" w:color="auto" w:sz="8" w:space="0"/>
            </w:tcBorders>
            <w:noWrap/>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w:t>
            </w:r>
          </w:p>
        </w:tc>
      </w:tr>
      <w:tr>
        <w:tblPrEx>
          <w:tblCellMar>
            <w:top w:w="0" w:type="dxa"/>
            <w:left w:w="0" w:type="dxa"/>
            <w:bottom w:w="0" w:type="dxa"/>
            <w:right w:w="0" w:type="dxa"/>
          </w:tblCellMar>
        </w:tblPrEx>
        <w:trPr>
          <w:trHeight w:val="616" w:hRule="atLeast"/>
        </w:trPr>
        <w:tc>
          <w:tcPr>
            <w:tcW w:w="1040" w:type="dxa"/>
            <w:tcBorders>
              <w:top w:val="single" w:color="auto" w:sz="4" w:space="0"/>
              <w:left w:val="single" w:color="auto" w:sz="4" w:space="0"/>
              <w:bottom w:val="single" w:color="auto" w:sz="4" w:space="0"/>
              <w:right w:val="single" w:color="auto" w:sz="8" w:space="0"/>
            </w:tcBorders>
            <w:noWrap/>
            <w:vAlign w:val="bottom"/>
          </w:tcPr>
          <w:p>
            <w:pPr>
              <w:spacing w:line="240" w:lineRule="atLeast"/>
              <w:rPr>
                <w:rFonts w:hint="eastAsia" w:ascii="宋体" w:hAnsi="宋体" w:eastAsia="宋体" w:cs="宋体"/>
                <w:color w:val="auto"/>
                <w:sz w:val="21"/>
                <w:szCs w:val="21"/>
                <w:highlight w:val="none"/>
              </w:rPr>
            </w:pPr>
          </w:p>
        </w:tc>
        <w:tc>
          <w:tcPr>
            <w:tcW w:w="2620" w:type="dxa"/>
            <w:tcBorders>
              <w:top w:val="single" w:color="auto" w:sz="4" w:space="0"/>
              <w:bottom w:val="single" w:color="auto" w:sz="4" w:space="0"/>
              <w:right w:val="single" w:color="auto" w:sz="8" w:space="0"/>
            </w:tcBorders>
            <w:noWrap/>
            <w:vAlign w:val="bottom"/>
          </w:tcPr>
          <w:p>
            <w:pPr>
              <w:spacing w:line="240" w:lineRule="atLeast"/>
              <w:rPr>
                <w:rFonts w:hint="eastAsia" w:ascii="宋体" w:hAnsi="宋体" w:eastAsia="宋体" w:cs="宋体"/>
                <w:color w:val="auto"/>
                <w:sz w:val="21"/>
                <w:szCs w:val="21"/>
                <w:highlight w:val="none"/>
              </w:rPr>
            </w:pPr>
          </w:p>
        </w:tc>
        <w:tc>
          <w:tcPr>
            <w:tcW w:w="3040" w:type="dxa"/>
            <w:tcBorders>
              <w:top w:val="single" w:color="auto" w:sz="4" w:space="0"/>
              <w:bottom w:val="single" w:color="auto" w:sz="4" w:space="0"/>
              <w:right w:val="single" w:color="auto" w:sz="8" w:space="0"/>
            </w:tcBorders>
            <w:noWrap/>
            <w:vAlign w:val="bottom"/>
          </w:tcPr>
          <w:p>
            <w:pPr>
              <w:spacing w:line="240" w:lineRule="atLeast"/>
              <w:rPr>
                <w:rFonts w:hint="eastAsia" w:ascii="宋体" w:hAnsi="宋体" w:eastAsia="宋体" w:cs="宋体"/>
                <w:color w:val="auto"/>
                <w:sz w:val="21"/>
                <w:szCs w:val="21"/>
                <w:highlight w:val="none"/>
              </w:rPr>
            </w:pPr>
          </w:p>
        </w:tc>
        <w:tc>
          <w:tcPr>
            <w:tcW w:w="2740" w:type="dxa"/>
            <w:tcBorders>
              <w:top w:val="single" w:color="auto" w:sz="4" w:space="0"/>
              <w:bottom w:val="single" w:color="auto" w:sz="4" w:space="0"/>
              <w:right w:val="single" w:color="auto" w:sz="4" w:space="0"/>
            </w:tcBorders>
            <w:noWrap/>
            <w:vAlign w:val="bottom"/>
          </w:tcPr>
          <w:p>
            <w:pPr>
              <w:spacing w:line="240" w:lineRule="atLeast"/>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717" w:hRule="atLeast"/>
        </w:trPr>
        <w:tc>
          <w:tcPr>
            <w:tcW w:w="1040" w:type="dxa"/>
            <w:tcBorders>
              <w:top w:val="single" w:color="auto" w:sz="4" w:space="0"/>
              <w:left w:val="single" w:color="auto" w:sz="8" w:space="0"/>
              <w:bottom w:val="single" w:color="auto" w:sz="8" w:space="0"/>
              <w:right w:val="single" w:color="auto" w:sz="8" w:space="0"/>
            </w:tcBorders>
            <w:noWrap/>
            <w:vAlign w:val="bottom"/>
          </w:tcPr>
          <w:p>
            <w:pPr>
              <w:spacing w:line="240" w:lineRule="atLeast"/>
              <w:rPr>
                <w:rFonts w:hint="eastAsia" w:ascii="宋体" w:hAnsi="宋体" w:eastAsia="宋体" w:cs="宋体"/>
                <w:color w:val="auto"/>
                <w:sz w:val="21"/>
                <w:szCs w:val="21"/>
                <w:highlight w:val="none"/>
              </w:rPr>
            </w:pPr>
          </w:p>
        </w:tc>
        <w:tc>
          <w:tcPr>
            <w:tcW w:w="2620" w:type="dxa"/>
            <w:tcBorders>
              <w:top w:val="single" w:color="auto" w:sz="4" w:space="0"/>
              <w:bottom w:val="single" w:color="auto" w:sz="8" w:space="0"/>
              <w:right w:val="single" w:color="auto" w:sz="8" w:space="0"/>
            </w:tcBorders>
            <w:noWrap/>
            <w:vAlign w:val="bottom"/>
          </w:tcPr>
          <w:p>
            <w:pPr>
              <w:spacing w:line="240" w:lineRule="atLeast"/>
              <w:rPr>
                <w:rFonts w:hint="eastAsia" w:ascii="宋体" w:hAnsi="宋体" w:eastAsia="宋体" w:cs="宋体"/>
                <w:color w:val="auto"/>
                <w:sz w:val="21"/>
                <w:szCs w:val="21"/>
                <w:highlight w:val="none"/>
              </w:rPr>
            </w:pPr>
          </w:p>
        </w:tc>
        <w:tc>
          <w:tcPr>
            <w:tcW w:w="3040" w:type="dxa"/>
            <w:tcBorders>
              <w:top w:val="single" w:color="auto" w:sz="4" w:space="0"/>
              <w:bottom w:val="single" w:color="auto" w:sz="8" w:space="0"/>
              <w:right w:val="single" w:color="auto" w:sz="8" w:space="0"/>
            </w:tcBorders>
            <w:noWrap/>
            <w:vAlign w:val="bottom"/>
          </w:tcPr>
          <w:p>
            <w:pPr>
              <w:spacing w:line="240" w:lineRule="atLeast"/>
              <w:rPr>
                <w:rFonts w:hint="eastAsia" w:ascii="宋体" w:hAnsi="宋体" w:eastAsia="宋体" w:cs="宋体"/>
                <w:color w:val="auto"/>
                <w:sz w:val="21"/>
                <w:szCs w:val="21"/>
                <w:highlight w:val="none"/>
              </w:rPr>
            </w:pPr>
          </w:p>
        </w:tc>
        <w:tc>
          <w:tcPr>
            <w:tcW w:w="2740" w:type="dxa"/>
            <w:tcBorders>
              <w:top w:val="single" w:color="auto" w:sz="4" w:space="0"/>
              <w:bottom w:val="single" w:color="auto" w:sz="8" w:space="0"/>
              <w:right w:val="single" w:color="auto" w:sz="8" w:space="0"/>
            </w:tcBorders>
            <w:noWrap/>
            <w:vAlign w:val="bottom"/>
          </w:tcPr>
          <w:p>
            <w:pPr>
              <w:spacing w:line="240" w:lineRule="atLeast"/>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717" w:hRule="atLeast"/>
        </w:trPr>
        <w:tc>
          <w:tcPr>
            <w:tcW w:w="1040" w:type="dxa"/>
            <w:tcBorders>
              <w:left w:val="single" w:color="auto" w:sz="8" w:space="0"/>
              <w:bottom w:val="single" w:color="auto" w:sz="8" w:space="0"/>
              <w:right w:val="single" w:color="auto" w:sz="8" w:space="0"/>
            </w:tcBorders>
            <w:noWrap/>
            <w:vAlign w:val="bottom"/>
          </w:tcPr>
          <w:p>
            <w:pPr>
              <w:spacing w:line="240" w:lineRule="atLeast"/>
              <w:rPr>
                <w:rFonts w:hint="eastAsia" w:ascii="宋体" w:hAnsi="宋体" w:eastAsia="宋体" w:cs="宋体"/>
                <w:color w:val="auto"/>
                <w:sz w:val="21"/>
                <w:szCs w:val="21"/>
                <w:highlight w:val="none"/>
              </w:rPr>
            </w:pPr>
          </w:p>
        </w:tc>
        <w:tc>
          <w:tcPr>
            <w:tcW w:w="2620" w:type="dxa"/>
            <w:tcBorders>
              <w:bottom w:val="single" w:color="auto" w:sz="8" w:space="0"/>
              <w:right w:val="single" w:color="auto" w:sz="8" w:space="0"/>
            </w:tcBorders>
            <w:noWrap/>
            <w:vAlign w:val="bottom"/>
          </w:tcPr>
          <w:p>
            <w:pPr>
              <w:spacing w:line="240" w:lineRule="atLeast"/>
              <w:rPr>
                <w:rFonts w:hint="eastAsia" w:ascii="宋体" w:hAnsi="宋体" w:eastAsia="宋体" w:cs="宋体"/>
                <w:color w:val="auto"/>
                <w:sz w:val="21"/>
                <w:szCs w:val="21"/>
                <w:highlight w:val="none"/>
              </w:rPr>
            </w:pPr>
          </w:p>
        </w:tc>
        <w:tc>
          <w:tcPr>
            <w:tcW w:w="3040" w:type="dxa"/>
            <w:tcBorders>
              <w:bottom w:val="single" w:color="auto" w:sz="8" w:space="0"/>
              <w:right w:val="single" w:color="auto" w:sz="8" w:space="0"/>
            </w:tcBorders>
            <w:noWrap/>
            <w:vAlign w:val="bottom"/>
          </w:tcPr>
          <w:p>
            <w:pPr>
              <w:spacing w:line="240" w:lineRule="atLeast"/>
              <w:rPr>
                <w:rFonts w:hint="eastAsia" w:ascii="宋体" w:hAnsi="宋体" w:eastAsia="宋体" w:cs="宋体"/>
                <w:color w:val="auto"/>
                <w:sz w:val="21"/>
                <w:szCs w:val="21"/>
                <w:highlight w:val="none"/>
              </w:rPr>
            </w:pPr>
          </w:p>
        </w:tc>
        <w:tc>
          <w:tcPr>
            <w:tcW w:w="2740" w:type="dxa"/>
            <w:tcBorders>
              <w:bottom w:val="single" w:color="auto" w:sz="8" w:space="0"/>
              <w:right w:val="single" w:color="auto" w:sz="8" w:space="0"/>
            </w:tcBorders>
            <w:noWrap/>
            <w:vAlign w:val="bottom"/>
          </w:tcPr>
          <w:p>
            <w:pPr>
              <w:spacing w:line="240" w:lineRule="atLeast"/>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717" w:hRule="atLeast"/>
        </w:trPr>
        <w:tc>
          <w:tcPr>
            <w:tcW w:w="1040" w:type="dxa"/>
            <w:tcBorders>
              <w:left w:val="single" w:color="auto" w:sz="8" w:space="0"/>
              <w:bottom w:val="single" w:color="auto" w:sz="8" w:space="0"/>
              <w:right w:val="single" w:color="auto" w:sz="8" w:space="0"/>
            </w:tcBorders>
            <w:noWrap/>
            <w:vAlign w:val="bottom"/>
          </w:tcPr>
          <w:p>
            <w:pPr>
              <w:spacing w:line="240" w:lineRule="atLeast"/>
              <w:rPr>
                <w:rFonts w:hint="eastAsia" w:ascii="宋体" w:hAnsi="宋体" w:eastAsia="宋体" w:cs="宋体"/>
                <w:color w:val="auto"/>
                <w:sz w:val="21"/>
                <w:szCs w:val="21"/>
                <w:highlight w:val="none"/>
              </w:rPr>
            </w:pPr>
          </w:p>
        </w:tc>
        <w:tc>
          <w:tcPr>
            <w:tcW w:w="2620" w:type="dxa"/>
            <w:tcBorders>
              <w:bottom w:val="single" w:color="auto" w:sz="8" w:space="0"/>
              <w:right w:val="single" w:color="auto" w:sz="8" w:space="0"/>
            </w:tcBorders>
            <w:noWrap/>
            <w:vAlign w:val="bottom"/>
          </w:tcPr>
          <w:p>
            <w:pPr>
              <w:spacing w:line="240" w:lineRule="atLeast"/>
              <w:rPr>
                <w:rFonts w:hint="eastAsia" w:ascii="宋体" w:hAnsi="宋体" w:eastAsia="宋体" w:cs="宋体"/>
                <w:color w:val="auto"/>
                <w:sz w:val="21"/>
                <w:szCs w:val="21"/>
                <w:highlight w:val="none"/>
              </w:rPr>
            </w:pPr>
          </w:p>
        </w:tc>
        <w:tc>
          <w:tcPr>
            <w:tcW w:w="3040" w:type="dxa"/>
            <w:tcBorders>
              <w:bottom w:val="single" w:color="auto" w:sz="8" w:space="0"/>
              <w:right w:val="single" w:color="auto" w:sz="8" w:space="0"/>
            </w:tcBorders>
            <w:noWrap/>
            <w:vAlign w:val="bottom"/>
          </w:tcPr>
          <w:p>
            <w:pPr>
              <w:spacing w:line="240" w:lineRule="atLeast"/>
              <w:rPr>
                <w:rFonts w:hint="eastAsia" w:ascii="宋体" w:hAnsi="宋体" w:eastAsia="宋体" w:cs="宋体"/>
                <w:color w:val="auto"/>
                <w:sz w:val="21"/>
                <w:szCs w:val="21"/>
                <w:highlight w:val="none"/>
              </w:rPr>
            </w:pPr>
          </w:p>
        </w:tc>
        <w:tc>
          <w:tcPr>
            <w:tcW w:w="2740" w:type="dxa"/>
            <w:tcBorders>
              <w:bottom w:val="single" w:color="auto" w:sz="8" w:space="0"/>
              <w:right w:val="single" w:color="auto" w:sz="8" w:space="0"/>
            </w:tcBorders>
            <w:noWrap/>
            <w:vAlign w:val="bottom"/>
          </w:tcPr>
          <w:p>
            <w:pPr>
              <w:spacing w:line="240" w:lineRule="atLeast"/>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717" w:hRule="atLeast"/>
        </w:trPr>
        <w:tc>
          <w:tcPr>
            <w:tcW w:w="1040" w:type="dxa"/>
            <w:tcBorders>
              <w:left w:val="single" w:color="auto" w:sz="8" w:space="0"/>
              <w:bottom w:val="single" w:color="auto" w:sz="8" w:space="0"/>
              <w:right w:val="single" w:color="auto" w:sz="8" w:space="0"/>
            </w:tcBorders>
            <w:noWrap/>
            <w:vAlign w:val="bottom"/>
          </w:tcPr>
          <w:p>
            <w:pPr>
              <w:spacing w:line="240" w:lineRule="atLeast"/>
              <w:rPr>
                <w:rFonts w:hint="eastAsia" w:ascii="宋体" w:hAnsi="宋体" w:eastAsia="宋体" w:cs="宋体"/>
                <w:color w:val="auto"/>
                <w:sz w:val="21"/>
                <w:szCs w:val="21"/>
                <w:highlight w:val="none"/>
              </w:rPr>
            </w:pPr>
          </w:p>
        </w:tc>
        <w:tc>
          <w:tcPr>
            <w:tcW w:w="2620" w:type="dxa"/>
            <w:tcBorders>
              <w:bottom w:val="single" w:color="auto" w:sz="8" w:space="0"/>
              <w:right w:val="single" w:color="auto" w:sz="8" w:space="0"/>
            </w:tcBorders>
            <w:noWrap/>
            <w:vAlign w:val="bottom"/>
          </w:tcPr>
          <w:p>
            <w:pPr>
              <w:spacing w:line="240" w:lineRule="atLeast"/>
              <w:rPr>
                <w:rFonts w:hint="eastAsia" w:ascii="宋体" w:hAnsi="宋体" w:eastAsia="宋体" w:cs="宋体"/>
                <w:color w:val="auto"/>
                <w:sz w:val="21"/>
                <w:szCs w:val="21"/>
                <w:highlight w:val="none"/>
              </w:rPr>
            </w:pPr>
          </w:p>
        </w:tc>
        <w:tc>
          <w:tcPr>
            <w:tcW w:w="3040" w:type="dxa"/>
            <w:tcBorders>
              <w:bottom w:val="single" w:color="auto" w:sz="8" w:space="0"/>
              <w:right w:val="single" w:color="auto" w:sz="8" w:space="0"/>
            </w:tcBorders>
            <w:noWrap/>
            <w:vAlign w:val="bottom"/>
          </w:tcPr>
          <w:p>
            <w:pPr>
              <w:spacing w:line="240" w:lineRule="atLeast"/>
              <w:rPr>
                <w:rFonts w:hint="eastAsia" w:ascii="宋体" w:hAnsi="宋体" w:eastAsia="宋体" w:cs="宋体"/>
                <w:color w:val="auto"/>
                <w:sz w:val="21"/>
                <w:szCs w:val="21"/>
                <w:highlight w:val="none"/>
              </w:rPr>
            </w:pPr>
          </w:p>
        </w:tc>
        <w:tc>
          <w:tcPr>
            <w:tcW w:w="2740" w:type="dxa"/>
            <w:tcBorders>
              <w:bottom w:val="single" w:color="auto" w:sz="8" w:space="0"/>
              <w:right w:val="single" w:color="auto" w:sz="8" w:space="0"/>
            </w:tcBorders>
            <w:noWrap/>
            <w:vAlign w:val="bottom"/>
          </w:tcPr>
          <w:p>
            <w:pPr>
              <w:spacing w:line="240" w:lineRule="atLeast"/>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说明：</w:t>
      </w:r>
      <w:r>
        <w:rPr>
          <w:rFonts w:hint="eastAsia" w:ascii="宋体" w:hAnsi="宋体" w:eastAsia="宋体" w:cs="宋体"/>
          <w:szCs w:val="21"/>
          <w:highlight w:val="none"/>
          <w:lang w:eastAsia="zh-CN"/>
        </w:rPr>
        <w:t>供应商</w:t>
      </w:r>
      <w:r>
        <w:rPr>
          <w:rFonts w:hint="eastAsia" w:ascii="宋体" w:hAnsi="宋体" w:eastAsia="宋体" w:cs="宋体"/>
          <w:bCs/>
          <w:color w:val="auto"/>
          <w:sz w:val="21"/>
          <w:szCs w:val="21"/>
          <w:highlight w:val="none"/>
        </w:rPr>
        <w:t>应对照招标文件商务条款要求，提出正/负/无偏离（优于招标文件要求的为正偏离、低于招标文件要求得为负偏离、与采购要求相符的为无偏离）情况。在本表中做出偏离说明的项目，</w:t>
      </w:r>
      <w:r>
        <w:rPr>
          <w:rFonts w:hint="eastAsia" w:ascii="宋体" w:hAnsi="宋体" w:eastAsia="宋体" w:cs="宋体"/>
          <w:szCs w:val="21"/>
          <w:highlight w:val="none"/>
          <w:lang w:eastAsia="zh-CN"/>
        </w:rPr>
        <w:t>供应商</w:t>
      </w:r>
      <w:r>
        <w:rPr>
          <w:rFonts w:hint="eastAsia" w:ascii="宋体" w:hAnsi="宋体" w:eastAsia="宋体" w:cs="宋体"/>
          <w:bCs/>
          <w:color w:val="auto"/>
          <w:sz w:val="21"/>
          <w:szCs w:val="21"/>
          <w:highlight w:val="none"/>
        </w:rPr>
        <w:t>必须提供详细资料。</w:t>
      </w:r>
    </w:p>
    <w:p>
      <w:pPr>
        <w:spacing w:line="360" w:lineRule="auto"/>
        <w:ind w:firstLine="105" w:firstLineChars="50"/>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注：此表格若不够用，可根据实际自行扩展表格。</w:t>
      </w:r>
    </w:p>
    <w:p>
      <w:pPr>
        <w:wordWrap w:val="0"/>
        <w:autoSpaceDE w:val="0"/>
        <w:autoSpaceDN w:val="0"/>
        <w:adjustRightInd w:val="0"/>
        <w:spacing w:line="480" w:lineRule="auto"/>
        <w:ind w:right="1080"/>
        <w:jc w:val="both"/>
        <w:rPr>
          <w:rFonts w:hint="eastAsia" w:ascii="宋体" w:hAnsi="宋体" w:eastAsia="宋体" w:cs="宋体"/>
          <w:bCs/>
          <w:color w:val="auto"/>
          <w:sz w:val="21"/>
          <w:szCs w:val="21"/>
          <w:highlight w:val="none"/>
          <w:lang w:val="zh-CN"/>
        </w:rPr>
      </w:pPr>
    </w:p>
    <w:p>
      <w:pPr>
        <w:wordWrap w:val="0"/>
        <w:autoSpaceDE w:val="0"/>
        <w:autoSpaceDN w:val="0"/>
        <w:adjustRightInd w:val="0"/>
        <w:spacing w:line="480" w:lineRule="auto"/>
        <w:ind w:right="1080"/>
        <w:jc w:val="both"/>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sz w:val="21"/>
          <w:szCs w:val="21"/>
          <w:highlight w:val="none"/>
        </w:rPr>
        <w:t>投标供应商</w:t>
      </w:r>
      <w:r>
        <w:rPr>
          <w:rFonts w:hint="eastAsia" w:ascii="宋体" w:hAnsi="宋体" w:eastAsia="宋体" w:cs="宋体"/>
          <w:bCs/>
          <w:color w:val="auto"/>
          <w:sz w:val="21"/>
          <w:szCs w:val="21"/>
          <w:highlight w:val="none"/>
          <w:lang w:val="zh-CN"/>
        </w:rPr>
        <w:t>（盖章）</w:t>
      </w:r>
      <w:r>
        <w:rPr>
          <w:rFonts w:hint="eastAsia" w:ascii="宋体" w:hAnsi="宋体" w:eastAsia="宋体" w:cs="宋体"/>
          <w:b/>
          <w:bCs w:val="0"/>
          <w:color w:val="auto"/>
          <w:sz w:val="21"/>
          <w:szCs w:val="21"/>
          <w:highlight w:val="none"/>
          <w:lang w:val="zh-CN"/>
        </w:rPr>
        <w:t>:</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u w:val="single"/>
          <w:lang w:val="en-US" w:eastAsia="zh-CN"/>
        </w:rPr>
        <w:t xml:space="preserve">               </w:t>
      </w:r>
    </w:p>
    <w:p>
      <w:pPr>
        <w:wordWrap w:val="0"/>
        <w:autoSpaceDE w:val="0"/>
        <w:autoSpaceDN w:val="0"/>
        <w:adjustRightInd w:val="0"/>
        <w:spacing w:line="480" w:lineRule="auto"/>
        <w:ind w:right="960"/>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sz w:val="21"/>
          <w:szCs w:val="21"/>
          <w:highlight w:val="none"/>
        </w:rPr>
        <w:t>法定代表人或其委托代理人</w:t>
      </w:r>
      <w:r>
        <w:rPr>
          <w:rFonts w:hint="eastAsia" w:ascii="宋体" w:hAnsi="宋体" w:eastAsia="宋体" w:cs="宋体"/>
          <w:bCs/>
          <w:color w:val="auto"/>
          <w:sz w:val="21"/>
          <w:szCs w:val="21"/>
          <w:highlight w:val="none"/>
          <w:lang w:val="zh-CN"/>
        </w:rPr>
        <w:t>（签字或盖章）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lang w:val="en-US" w:eastAsia="zh-CN"/>
        </w:rPr>
        <w:t xml:space="preserve">                 </w:t>
      </w:r>
    </w:p>
    <w:p>
      <w:pPr>
        <w:wordWrap w:val="0"/>
        <w:spacing w:line="480" w:lineRule="auto"/>
        <w:ind w:right="11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日    期：</w:t>
      </w:r>
      <w:r>
        <w:rPr>
          <w:rFonts w:hint="eastAsia" w:ascii="宋体" w:hAnsi="宋体" w:eastAsia="宋体" w:cs="宋体"/>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p>
    <w:p>
      <w:pPr>
        <w:pStyle w:val="137"/>
        <w:spacing w:before="26"/>
        <w:ind w:left="121"/>
        <w:jc w:val="left"/>
        <w:outlineLvl w:val="9"/>
        <w:rPr>
          <w:rFonts w:hint="eastAsia" w:ascii="宋体" w:hAnsi="宋体" w:eastAsia="宋体" w:cs="宋体"/>
          <w:color w:val="auto"/>
          <w:sz w:val="20"/>
          <w:highlight w:val="none"/>
        </w:rPr>
      </w:pPr>
    </w:p>
    <w:p>
      <w:pPr>
        <w:pStyle w:val="137"/>
        <w:spacing w:before="26"/>
        <w:ind w:left="121"/>
        <w:jc w:val="left"/>
        <w:outlineLvl w:val="9"/>
        <w:rPr>
          <w:rFonts w:hint="eastAsia" w:ascii="宋体" w:hAnsi="宋体" w:eastAsia="宋体" w:cs="宋体"/>
          <w:color w:val="auto"/>
          <w:sz w:val="20"/>
          <w:highlight w:val="none"/>
        </w:rPr>
      </w:pPr>
    </w:p>
    <w:p>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br w:type="page"/>
      </w:r>
    </w:p>
    <w:p>
      <w:pPr>
        <w:pStyle w:val="3"/>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w:t>
      </w:r>
      <w:bookmarkEnd w:id="238"/>
      <w:bookmarkEnd w:id="239"/>
      <w:bookmarkEnd w:id="240"/>
      <w:bookmarkEnd w:id="241"/>
      <w:bookmarkEnd w:id="242"/>
      <w:bookmarkEnd w:id="243"/>
      <w:r>
        <w:rPr>
          <w:rFonts w:hint="eastAsia" w:ascii="宋体" w:hAnsi="宋体" w:eastAsia="宋体" w:cs="宋体"/>
          <w:sz w:val="24"/>
          <w:szCs w:val="24"/>
          <w:highlight w:val="none"/>
          <w:lang w:eastAsia="zh-CN"/>
        </w:rPr>
        <w:t>相关</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方案</w:t>
      </w:r>
      <w:bookmarkEnd w:id="244"/>
    </w:p>
    <w:p>
      <w:pPr>
        <w:pStyle w:val="55"/>
        <w:rPr>
          <w:rFonts w:hint="eastAsia" w:ascii="宋体" w:hAnsi="宋体" w:eastAsia="宋体" w:cs="宋体"/>
          <w:sz w:val="21"/>
          <w:szCs w:val="21"/>
          <w:highlight w:val="none"/>
        </w:rPr>
      </w:pPr>
      <w:r>
        <w:rPr>
          <w:rFonts w:hint="eastAsia" w:ascii="宋体" w:hAnsi="宋体" w:eastAsia="宋体" w:cs="宋体"/>
          <w:sz w:val="21"/>
          <w:szCs w:val="21"/>
          <w:highlight w:val="none"/>
        </w:rPr>
        <w:t>格式自拟。</w:t>
      </w:r>
    </w:p>
    <w:p>
      <w:pPr>
        <w:pStyle w:val="55"/>
        <w:rPr>
          <w:rFonts w:hint="eastAsia" w:ascii="宋体" w:hAnsi="宋体" w:eastAsia="宋体" w:cs="宋体"/>
          <w:highlight w:val="none"/>
        </w:rPr>
      </w:pPr>
    </w:p>
    <w:p>
      <w:pPr>
        <w:pStyle w:val="55"/>
        <w:rPr>
          <w:rFonts w:hint="eastAsia" w:ascii="宋体" w:hAnsi="宋体" w:eastAsia="宋体" w:cs="宋体"/>
          <w:highlight w:val="none"/>
        </w:rPr>
      </w:pPr>
    </w:p>
    <w:p>
      <w:pPr>
        <w:pStyle w:val="55"/>
        <w:rPr>
          <w:rFonts w:hint="eastAsia" w:ascii="宋体" w:hAnsi="宋体" w:eastAsia="宋体" w:cs="宋体"/>
          <w:highlight w:val="none"/>
        </w:rPr>
      </w:pPr>
    </w:p>
    <w:p>
      <w:pPr>
        <w:pStyle w:val="55"/>
        <w:rPr>
          <w:rFonts w:hint="eastAsia" w:ascii="宋体" w:hAnsi="宋体" w:eastAsia="宋体" w:cs="宋体"/>
          <w:highlight w:val="none"/>
        </w:rPr>
      </w:pPr>
    </w:p>
    <w:p>
      <w:pPr>
        <w:pStyle w:val="55"/>
        <w:rPr>
          <w:rFonts w:hint="eastAsia" w:ascii="宋体" w:hAnsi="宋体" w:eastAsia="宋体" w:cs="宋体"/>
          <w:highlight w:val="none"/>
        </w:rPr>
      </w:pPr>
    </w:p>
    <w:p>
      <w:pPr>
        <w:pStyle w:val="55"/>
        <w:rPr>
          <w:rFonts w:hint="eastAsia" w:ascii="宋体" w:hAnsi="宋体" w:eastAsia="宋体" w:cs="宋体"/>
          <w:highlight w:val="none"/>
        </w:rPr>
      </w:pPr>
    </w:p>
    <w:p>
      <w:pPr>
        <w:spacing w:line="62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投标供应商：</w:t>
      </w:r>
      <w:r>
        <w:rPr>
          <w:rFonts w:hint="eastAsia" w:ascii="宋体" w:hAnsi="宋体" w:eastAsia="宋体" w:cs="宋体"/>
          <w:sz w:val="21"/>
          <w:szCs w:val="21"/>
          <w:highlight w:val="none"/>
          <w:u w:val="single"/>
        </w:rPr>
        <w:t>（</w:t>
      </w:r>
      <w:r>
        <w:rPr>
          <w:rFonts w:hint="eastAsia" w:ascii="宋体" w:hAnsi="宋体" w:eastAsia="宋体" w:cs="宋体"/>
          <w:kern w:val="0"/>
          <w:sz w:val="21"/>
          <w:szCs w:val="21"/>
          <w:highlight w:val="none"/>
          <w:u w:val="single"/>
        </w:rPr>
        <w:t>盖章</w:t>
      </w:r>
      <w:r>
        <w:rPr>
          <w:rFonts w:hint="eastAsia" w:ascii="宋体" w:hAnsi="宋体" w:eastAsia="宋体" w:cs="宋体"/>
          <w:sz w:val="21"/>
          <w:szCs w:val="21"/>
          <w:highlight w:val="none"/>
          <w:u w:val="single"/>
        </w:rPr>
        <w:t xml:space="preserve">）          </w:t>
      </w:r>
    </w:p>
    <w:p>
      <w:pPr>
        <w:spacing w:line="62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法定代表人或其委托代理人：</w:t>
      </w:r>
      <w:r>
        <w:rPr>
          <w:rFonts w:hint="eastAsia" w:ascii="宋体" w:hAnsi="宋体" w:eastAsia="宋体" w:cs="宋体"/>
          <w:sz w:val="21"/>
          <w:szCs w:val="21"/>
          <w:highlight w:val="none"/>
          <w:u w:val="single"/>
        </w:rPr>
        <w:t xml:space="preserve">（签字或盖章）            </w:t>
      </w:r>
    </w:p>
    <w:p>
      <w:pPr>
        <w:adjustRightInd w:val="0"/>
        <w:snapToGrid w:val="0"/>
        <w:spacing w:line="360" w:lineRule="auto"/>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月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日</w:t>
      </w:r>
    </w:p>
    <w:p>
      <w:pPr>
        <w:pStyle w:val="55"/>
        <w:rPr>
          <w:rFonts w:hint="eastAsia" w:ascii="宋体" w:hAnsi="宋体" w:eastAsia="宋体" w:cs="宋体"/>
          <w:sz w:val="21"/>
          <w:szCs w:val="21"/>
          <w:highlight w:val="none"/>
        </w:rPr>
      </w:pPr>
    </w:p>
    <w:p>
      <w:pPr>
        <w:pStyle w:val="55"/>
        <w:rPr>
          <w:rFonts w:hint="eastAsia" w:ascii="宋体" w:hAnsi="宋体" w:eastAsia="宋体" w:cs="宋体"/>
          <w:highlight w:val="none"/>
        </w:rPr>
      </w:pPr>
    </w:p>
    <w:p>
      <w:pPr>
        <w:pStyle w:val="55"/>
        <w:rPr>
          <w:rFonts w:hint="eastAsia" w:ascii="宋体" w:hAnsi="宋体" w:eastAsia="宋体" w:cs="宋体"/>
          <w:highlight w:val="none"/>
        </w:rPr>
      </w:pPr>
    </w:p>
    <w:p>
      <w:pPr>
        <w:pStyle w:val="55"/>
        <w:rPr>
          <w:rFonts w:hint="eastAsia" w:ascii="宋体" w:hAnsi="宋体" w:eastAsia="宋体" w:cs="宋体"/>
          <w:highlight w:val="none"/>
        </w:rPr>
      </w:pPr>
    </w:p>
    <w:p>
      <w:pPr>
        <w:pStyle w:val="55"/>
        <w:rPr>
          <w:rFonts w:hint="eastAsia" w:ascii="宋体" w:hAnsi="宋体" w:eastAsia="宋体" w:cs="宋体"/>
          <w:highlight w:val="none"/>
        </w:rPr>
      </w:pPr>
    </w:p>
    <w:p>
      <w:pPr>
        <w:pStyle w:val="55"/>
        <w:rPr>
          <w:rFonts w:hint="eastAsia" w:ascii="宋体" w:hAnsi="宋体" w:eastAsia="宋体" w:cs="宋体"/>
          <w:highlight w:val="none"/>
        </w:rPr>
      </w:pPr>
    </w:p>
    <w:p>
      <w:pPr>
        <w:spacing w:line="620" w:lineRule="exact"/>
        <w:rPr>
          <w:rFonts w:hint="eastAsia" w:ascii="宋体" w:hAnsi="宋体" w:eastAsia="宋体" w:cs="宋体"/>
          <w:sz w:val="24"/>
          <w:szCs w:val="20"/>
          <w:highlight w:val="none"/>
        </w:rPr>
      </w:pPr>
    </w:p>
    <w:p>
      <w:pPr>
        <w:pStyle w:val="55"/>
        <w:rPr>
          <w:rFonts w:hint="eastAsia" w:ascii="宋体" w:hAnsi="宋体" w:eastAsia="宋体" w:cs="宋体"/>
          <w:highlight w:val="none"/>
        </w:rPr>
      </w:pPr>
    </w:p>
    <w:p>
      <w:pPr>
        <w:adjustRightInd w:val="0"/>
        <w:snapToGrid w:val="0"/>
        <w:spacing w:line="360" w:lineRule="auto"/>
        <w:ind w:firstLine="440" w:firstLineChars="200"/>
        <w:jc w:val="left"/>
        <w:rPr>
          <w:rFonts w:hint="eastAsia" w:ascii="宋体" w:hAnsi="宋体" w:eastAsia="宋体" w:cs="宋体"/>
          <w:kern w:val="0"/>
          <w:sz w:val="22"/>
          <w:highlight w:val="none"/>
        </w:rPr>
      </w:pPr>
    </w:p>
    <w:bookmarkEnd w:id="245"/>
    <w:p>
      <w:pPr>
        <w:spacing w:line="360" w:lineRule="auto"/>
        <w:jc w:val="left"/>
        <w:rPr>
          <w:rFonts w:hint="eastAsia" w:ascii="宋体" w:hAnsi="宋体" w:eastAsia="宋体" w:cs="宋体"/>
          <w:b/>
          <w:sz w:val="32"/>
          <w:szCs w:val="32"/>
          <w:highlight w:val="none"/>
        </w:rPr>
      </w:pPr>
    </w:p>
    <w:p>
      <w:pPr>
        <w:spacing w:before="120" w:beforeLines="50" w:after="120" w:afterLines="5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pStyle w:val="3"/>
        <w:rPr>
          <w:rFonts w:hint="eastAsia" w:ascii="宋体" w:hAnsi="宋体" w:eastAsia="宋体" w:cs="宋体"/>
          <w:sz w:val="24"/>
          <w:szCs w:val="24"/>
          <w:highlight w:val="none"/>
        </w:rPr>
      </w:pPr>
      <w:bookmarkStart w:id="246" w:name="_Toc1193"/>
      <w:bookmarkStart w:id="247" w:name="_Toc22072"/>
      <w:bookmarkStart w:id="248" w:name="_Toc31320"/>
      <w:bookmarkStart w:id="249" w:name="_Toc15967"/>
      <w:bookmarkStart w:id="250" w:name="_Toc105833184"/>
      <w:bookmarkStart w:id="251" w:name="_Toc106079262"/>
      <w:bookmarkStart w:id="252" w:name="_Toc184635141"/>
      <w:bookmarkStart w:id="253" w:name="_Toc129512126"/>
      <w:bookmarkStart w:id="254" w:name="_Toc105816676"/>
      <w:bookmarkStart w:id="255" w:name="_Toc106076894"/>
      <w:bookmarkStart w:id="256" w:name="_Toc106080550"/>
      <w:bookmarkStart w:id="257" w:name="_Toc106079109"/>
      <w:bookmarkStart w:id="258" w:name="_Toc106078820"/>
      <w:r>
        <w:rPr>
          <w:rFonts w:hint="eastAsia" w:ascii="宋体" w:hAnsi="宋体" w:eastAsia="宋体" w:cs="宋体"/>
          <w:sz w:val="24"/>
          <w:szCs w:val="24"/>
          <w:highlight w:val="none"/>
          <w:lang w:eastAsia="zh-CN"/>
        </w:rPr>
        <w:t>七</w:t>
      </w:r>
      <w:r>
        <w:rPr>
          <w:rFonts w:hint="eastAsia" w:ascii="宋体" w:hAnsi="宋体" w:eastAsia="宋体" w:cs="宋体"/>
          <w:sz w:val="24"/>
          <w:szCs w:val="24"/>
          <w:highlight w:val="none"/>
        </w:rPr>
        <w:t>、</w:t>
      </w:r>
      <w:bookmarkStart w:id="259" w:name="_Toc464123044"/>
      <w:r>
        <w:rPr>
          <w:rFonts w:hint="eastAsia" w:ascii="宋体" w:hAnsi="宋体" w:eastAsia="宋体" w:cs="宋体"/>
          <w:sz w:val="24"/>
          <w:szCs w:val="24"/>
          <w:highlight w:val="none"/>
        </w:rPr>
        <w:t>法定代表身份证明及法定代表人授权书</w:t>
      </w:r>
      <w:bookmarkEnd w:id="246"/>
      <w:bookmarkEnd w:id="247"/>
      <w:bookmarkEnd w:id="248"/>
      <w:bookmarkEnd w:id="249"/>
      <w:bookmarkEnd w:id="259"/>
    </w:p>
    <w:p>
      <w:pPr>
        <w:spacing w:line="440" w:lineRule="exact"/>
        <w:rPr>
          <w:rFonts w:hint="eastAsia" w:ascii="宋体" w:hAnsi="宋体" w:eastAsia="宋体" w:cs="宋体"/>
          <w:sz w:val="20"/>
          <w:szCs w:val="20"/>
          <w:highlight w:val="none"/>
        </w:rPr>
      </w:pPr>
    </w:p>
    <w:p>
      <w:pPr>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-1法定代表人身份证明</w:t>
      </w:r>
    </w:p>
    <w:p>
      <w:pPr>
        <w:spacing w:line="440" w:lineRule="exact"/>
        <w:jc w:val="center"/>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投标供应商名称：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单位性质：</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成立时间：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日</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经营期限：</w:t>
      </w:r>
      <w:r>
        <w:rPr>
          <w:rFonts w:hint="eastAsia" w:ascii="宋体" w:hAnsi="宋体" w:eastAsia="宋体" w:cs="宋体"/>
          <w:szCs w:val="21"/>
          <w:highlight w:val="none"/>
          <w:u w:val="single"/>
        </w:rPr>
        <w:t xml:space="preserve">                               </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姓名：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性别：</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年龄：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职务：</w:t>
      </w:r>
      <w:r>
        <w:rPr>
          <w:rFonts w:hint="eastAsia" w:ascii="宋体" w:hAnsi="宋体" w:eastAsia="宋体" w:cs="宋体"/>
          <w:szCs w:val="21"/>
          <w:highlight w:val="none"/>
          <w:u w:val="single"/>
        </w:rPr>
        <w:t xml:space="preserve">        </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（投标供应商名称）的法定代表人。</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特此证明。</w:t>
      </w: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投标供应商（盖章）：</w:t>
      </w:r>
    </w:p>
    <w:p>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日 </w:t>
      </w: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tbl>
      <w:tblPr>
        <w:tblStyle w:val="34"/>
        <w:tblW w:w="9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9164" w:type="dxa"/>
            <w:vAlign w:val="center"/>
          </w:tcPr>
          <w:p>
            <w:pPr>
              <w:spacing w:line="44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法定代表人身份证</w:t>
            </w:r>
            <w:r>
              <w:rPr>
                <w:rFonts w:hint="eastAsia" w:ascii="宋体" w:hAnsi="宋体" w:eastAsia="宋体" w:cs="宋体"/>
                <w:szCs w:val="21"/>
                <w:highlight w:val="none"/>
                <w:lang w:eastAsia="zh-CN"/>
              </w:rPr>
              <w:t>扫描件</w:t>
            </w:r>
          </w:p>
          <w:p>
            <w:pPr>
              <w:spacing w:line="440" w:lineRule="exact"/>
              <w:jc w:val="center"/>
              <w:rPr>
                <w:rFonts w:hint="eastAsia" w:ascii="宋体" w:hAnsi="宋体" w:eastAsia="宋体" w:cs="宋体"/>
                <w:szCs w:val="21"/>
                <w:highlight w:val="none"/>
              </w:rPr>
            </w:pPr>
          </w:p>
        </w:tc>
      </w:tr>
    </w:tbl>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jc w:val="center"/>
        <w:rPr>
          <w:rFonts w:hint="eastAsia" w:ascii="宋体" w:hAnsi="宋体" w:eastAsia="宋体" w:cs="宋体"/>
          <w:szCs w:val="21"/>
          <w:highlight w:val="none"/>
        </w:rPr>
      </w:pPr>
    </w:p>
    <w:p>
      <w:pPr>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-2法定代表人授权书</w:t>
      </w:r>
    </w:p>
    <w:p>
      <w:pPr>
        <w:spacing w:line="440" w:lineRule="exact"/>
        <w:rPr>
          <w:rFonts w:hint="eastAsia" w:ascii="宋体" w:hAnsi="宋体" w:eastAsia="宋体" w:cs="宋体"/>
          <w:szCs w:val="21"/>
          <w:highlight w:val="none"/>
        </w:rPr>
      </w:pPr>
    </w:p>
    <w:p>
      <w:pPr>
        <w:topLinePunct/>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（投标供应商名称）的法定代表人，现委托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（姓名）为我方代理人。代理人根据授权，以我方名义签署、澄清、说明、补正、递交、撤回、修改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投标文件、签订合同和处理有关事宜，其法律后果由我方承担。</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委托期限：</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附：法定代表人身份证明</w:t>
      </w: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ind w:firstLine="2310" w:firstLineChars="1100"/>
        <w:rPr>
          <w:rFonts w:hint="eastAsia" w:ascii="宋体" w:hAnsi="宋体" w:eastAsia="宋体" w:cs="宋体"/>
          <w:szCs w:val="21"/>
          <w:highlight w:val="none"/>
        </w:rPr>
      </w:pPr>
      <w:r>
        <w:rPr>
          <w:rFonts w:hint="eastAsia" w:ascii="宋体" w:hAnsi="宋体" w:eastAsia="宋体" w:cs="宋体"/>
          <w:kern w:val="0"/>
          <w:szCs w:val="21"/>
          <w:highlight w:val="none"/>
        </w:rPr>
        <w:t>投标供应商（盖章）：</w:t>
      </w:r>
      <w:r>
        <w:rPr>
          <w:rFonts w:hint="eastAsia" w:ascii="宋体" w:hAnsi="宋体" w:eastAsia="宋体" w:cs="宋体"/>
          <w:kern w:val="0"/>
          <w:szCs w:val="21"/>
          <w:highlight w:val="none"/>
          <w:u w:val="single"/>
        </w:rPr>
        <w:t> </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u w:val="single"/>
        </w:rPr>
        <w:br w:type="textWrapping"/>
      </w:r>
      <w:r>
        <w:rPr>
          <w:rFonts w:hint="eastAsia" w:ascii="宋体" w:hAnsi="宋体" w:eastAsia="宋体" w:cs="宋体"/>
          <w:kern w:val="0"/>
          <w:szCs w:val="21"/>
          <w:highlight w:val="none"/>
        </w:rPr>
        <w:t xml:space="preserve">                      </w:t>
      </w:r>
      <w:r>
        <w:rPr>
          <w:rFonts w:hint="eastAsia" w:ascii="宋体" w:hAnsi="宋体" w:eastAsia="宋体" w:cs="宋体"/>
          <w:szCs w:val="21"/>
          <w:highlight w:val="none"/>
        </w:rPr>
        <w:t>法定代表人：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（签字或盖章）</w:t>
      </w:r>
    </w:p>
    <w:p>
      <w:pPr>
        <w:spacing w:line="440" w:lineRule="exact"/>
        <w:ind w:firstLine="2310" w:firstLineChars="1100"/>
        <w:rPr>
          <w:rFonts w:hint="eastAsia" w:ascii="宋体" w:hAnsi="宋体" w:eastAsia="宋体" w:cs="宋体"/>
          <w:szCs w:val="21"/>
          <w:highlight w:val="none"/>
        </w:rPr>
      </w:pPr>
      <w:r>
        <w:rPr>
          <w:rFonts w:hint="eastAsia" w:ascii="宋体" w:hAnsi="宋体" w:eastAsia="宋体" w:cs="宋体"/>
          <w:szCs w:val="21"/>
          <w:highlight w:val="none"/>
        </w:rPr>
        <w:t>身份证号码：</w:t>
      </w:r>
      <w:r>
        <w:rPr>
          <w:rFonts w:hint="eastAsia" w:ascii="宋体" w:hAnsi="宋体" w:eastAsia="宋体" w:cs="宋体"/>
          <w:szCs w:val="21"/>
          <w:highlight w:val="none"/>
          <w:u w:val="single"/>
        </w:rPr>
        <w:t xml:space="preserve">                                        </w:t>
      </w:r>
    </w:p>
    <w:p>
      <w:pPr>
        <w:wordWrap w:val="0"/>
        <w:spacing w:line="440" w:lineRule="exact"/>
        <w:ind w:right="840"/>
        <w:jc w:val="center"/>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（签字或盖章）</w:t>
      </w:r>
    </w:p>
    <w:p>
      <w:pPr>
        <w:spacing w:line="440" w:lineRule="exact"/>
        <w:ind w:firstLine="2310" w:firstLineChars="1100"/>
        <w:rPr>
          <w:rFonts w:hint="eastAsia" w:ascii="宋体" w:hAnsi="宋体" w:eastAsia="宋体" w:cs="宋体"/>
          <w:szCs w:val="21"/>
          <w:highlight w:val="none"/>
        </w:rPr>
      </w:pPr>
      <w:r>
        <w:rPr>
          <w:rFonts w:hint="eastAsia" w:ascii="宋体" w:hAnsi="宋体" w:eastAsia="宋体" w:cs="宋体"/>
          <w:szCs w:val="21"/>
          <w:highlight w:val="none"/>
        </w:rPr>
        <w:t>身份证号码：</w:t>
      </w:r>
      <w:r>
        <w:rPr>
          <w:rFonts w:hint="eastAsia" w:ascii="宋体" w:hAnsi="宋体" w:eastAsia="宋体" w:cs="宋体"/>
          <w:szCs w:val="21"/>
          <w:highlight w:val="none"/>
          <w:u w:val="single"/>
        </w:rPr>
        <w:t xml:space="preserve">                                        </w:t>
      </w:r>
    </w:p>
    <w:p>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spacing w:line="440" w:lineRule="exact"/>
        <w:rPr>
          <w:rFonts w:hint="eastAsia" w:ascii="宋体" w:hAnsi="宋体" w:eastAsia="宋体" w:cs="宋体"/>
          <w:szCs w:val="21"/>
          <w:highlight w:val="none"/>
        </w:rPr>
      </w:pPr>
    </w:p>
    <w:tbl>
      <w:tblPr>
        <w:tblStyle w:val="3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9039" w:type="dxa"/>
            <w:vAlign w:val="center"/>
          </w:tcPr>
          <w:p>
            <w:pPr>
              <w:spacing w:line="44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法定代表人及委托代理人身份证</w:t>
            </w:r>
            <w:r>
              <w:rPr>
                <w:rFonts w:hint="eastAsia" w:ascii="宋体" w:hAnsi="宋体" w:eastAsia="宋体" w:cs="宋体"/>
                <w:szCs w:val="21"/>
                <w:highlight w:val="none"/>
                <w:lang w:eastAsia="zh-CN"/>
              </w:rPr>
              <w:t>扫描件</w:t>
            </w:r>
          </w:p>
          <w:p>
            <w:pPr>
              <w:spacing w:line="440" w:lineRule="exact"/>
              <w:jc w:val="center"/>
              <w:rPr>
                <w:rFonts w:hint="eastAsia" w:ascii="宋体" w:hAnsi="宋体" w:eastAsia="宋体" w:cs="宋体"/>
                <w:szCs w:val="21"/>
                <w:highlight w:val="none"/>
              </w:rPr>
            </w:pPr>
          </w:p>
        </w:tc>
      </w:tr>
    </w:tbl>
    <w:p>
      <w:pPr>
        <w:spacing w:line="440" w:lineRule="exact"/>
        <w:rPr>
          <w:rFonts w:hint="eastAsia" w:ascii="宋体" w:hAnsi="宋体" w:eastAsia="宋体" w:cs="宋体"/>
          <w:szCs w:val="21"/>
          <w:highlight w:val="none"/>
        </w:rPr>
      </w:pPr>
    </w:p>
    <w:p>
      <w:pPr>
        <w:spacing w:line="600" w:lineRule="exact"/>
        <w:ind w:firstLine="640"/>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附：法定代表人身份证</w:t>
      </w:r>
      <w:r>
        <w:rPr>
          <w:rFonts w:hint="eastAsia" w:ascii="宋体" w:hAnsi="宋体" w:eastAsia="宋体" w:cs="宋体"/>
          <w:b/>
          <w:bCs/>
          <w:szCs w:val="21"/>
          <w:highlight w:val="none"/>
          <w:lang w:eastAsia="zh-CN"/>
        </w:rPr>
        <w:t>扫描件</w:t>
      </w:r>
      <w:r>
        <w:rPr>
          <w:rFonts w:hint="eastAsia" w:ascii="宋体" w:hAnsi="宋体" w:eastAsia="宋体" w:cs="宋体"/>
          <w:b/>
          <w:bCs/>
          <w:szCs w:val="21"/>
          <w:highlight w:val="none"/>
        </w:rPr>
        <w:t>及法定代表人授权委托人身份证</w:t>
      </w:r>
      <w:r>
        <w:rPr>
          <w:rFonts w:hint="eastAsia" w:ascii="宋体" w:hAnsi="宋体" w:eastAsia="宋体" w:cs="宋体"/>
          <w:b/>
          <w:bCs/>
          <w:szCs w:val="21"/>
          <w:highlight w:val="none"/>
          <w:lang w:eastAsia="zh-CN"/>
        </w:rPr>
        <w:t>扫描件（如果委托代理人代表是法定代表人，供应商提供</w:t>
      </w:r>
      <w:r>
        <w:rPr>
          <w:rFonts w:hint="eastAsia" w:ascii="宋体" w:hAnsi="宋体" w:eastAsia="宋体" w:cs="宋体"/>
          <w:b/>
          <w:bCs/>
          <w:szCs w:val="21"/>
          <w:highlight w:val="none"/>
          <w:lang w:val="en-US" w:eastAsia="zh-CN"/>
        </w:rPr>
        <w:t>7-1</w:t>
      </w:r>
      <w:r>
        <w:rPr>
          <w:rFonts w:hint="eastAsia" w:ascii="宋体" w:hAnsi="宋体" w:eastAsia="宋体" w:cs="宋体"/>
          <w:b/>
          <w:bCs/>
          <w:szCs w:val="21"/>
          <w:highlight w:val="none"/>
          <w:lang w:eastAsia="zh-CN"/>
        </w:rPr>
        <w:t>法定代表人身份证明；可不提供</w:t>
      </w:r>
      <w:r>
        <w:rPr>
          <w:rFonts w:hint="eastAsia" w:ascii="宋体" w:hAnsi="宋体" w:eastAsia="宋体" w:cs="宋体"/>
          <w:b/>
          <w:bCs/>
          <w:szCs w:val="21"/>
          <w:highlight w:val="none"/>
          <w:lang w:val="en-US" w:eastAsia="zh-CN"/>
        </w:rPr>
        <w:t>7-2</w:t>
      </w:r>
      <w:r>
        <w:rPr>
          <w:rFonts w:hint="eastAsia" w:ascii="宋体" w:hAnsi="宋体" w:eastAsia="宋体" w:cs="宋体"/>
          <w:b/>
          <w:bCs/>
          <w:szCs w:val="21"/>
          <w:highlight w:val="none"/>
          <w:lang w:eastAsia="zh-CN"/>
        </w:rPr>
        <w:t>法定代表人授权书。）</w:t>
      </w:r>
    </w:p>
    <w:bookmarkEnd w:id="250"/>
    <w:bookmarkEnd w:id="251"/>
    <w:bookmarkEnd w:id="252"/>
    <w:bookmarkEnd w:id="253"/>
    <w:bookmarkEnd w:id="254"/>
    <w:bookmarkEnd w:id="255"/>
    <w:bookmarkEnd w:id="256"/>
    <w:bookmarkEnd w:id="257"/>
    <w:bookmarkEnd w:id="258"/>
    <w:p>
      <w:pPr>
        <w:rPr>
          <w:rFonts w:hint="eastAsia" w:ascii="宋体" w:hAnsi="宋体" w:eastAsia="宋体" w:cs="宋体"/>
          <w:sz w:val="24"/>
          <w:szCs w:val="24"/>
          <w:highlight w:val="none"/>
        </w:rPr>
      </w:pPr>
      <w:bookmarkStart w:id="260" w:name="_Toc467769963"/>
      <w:bookmarkStart w:id="261" w:name="_Toc286341437"/>
      <w:bookmarkStart w:id="262" w:name="_Toc14135"/>
      <w:bookmarkStart w:id="263" w:name="_Toc9601"/>
      <w:bookmarkStart w:id="264" w:name="_Toc14265"/>
      <w:bookmarkStart w:id="265" w:name="_Toc184635145"/>
      <w:r>
        <w:rPr>
          <w:rFonts w:hint="eastAsia" w:ascii="宋体" w:hAnsi="宋体" w:eastAsia="宋体" w:cs="宋体"/>
          <w:sz w:val="24"/>
          <w:szCs w:val="24"/>
          <w:highlight w:val="none"/>
        </w:rPr>
        <w:br w:type="page"/>
      </w:r>
    </w:p>
    <w:bookmarkEnd w:id="260"/>
    <w:bookmarkEnd w:id="261"/>
    <w:bookmarkEnd w:id="262"/>
    <w:p>
      <w:pPr>
        <w:pStyle w:val="3"/>
        <w:rPr>
          <w:rFonts w:hint="eastAsia" w:ascii="宋体" w:hAnsi="宋体" w:eastAsia="宋体" w:cs="宋体"/>
          <w:sz w:val="24"/>
          <w:szCs w:val="24"/>
          <w:highlight w:val="none"/>
        </w:rPr>
      </w:pPr>
      <w:bookmarkStart w:id="266" w:name="_Toc27016"/>
      <w:bookmarkStart w:id="267" w:name="_Toc2453"/>
      <w:bookmarkStart w:id="268" w:name="_Toc105833183"/>
      <w:bookmarkStart w:id="269" w:name="_Toc106078819"/>
      <w:bookmarkStart w:id="270" w:name="_Toc129512125"/>
      <w:bookmarkStart w:id="271" w:name="_Toc106079108"/>
      <w:bookmarkStart w:id="272" w:name="_Toc94716518"/>
      <w:bookmarkStart w:id="273" w:name="_Toc106080549"/>
      <w:bookmarkStart w:id="274" w:name="_Toc106076893"/>
      <w:bookmarkStart w:id="275" w:name="_Toc106079261"/>
      <w:bookmarkStart w:id="276" w:name="_Toc105816675"/>
      <w:r>
        <w:rPr>
          <w:rFonts w:hint="eastAsia" w:ascii="宋体" w:hAnsi="宋体" w:eastAsia="宋体" w:cs="宋体"/>
          <w:sz w:val="24"/>
          <w:szCs w:val="24"/>
          <w:highlight w:val="none"/>
          <w:lang w:eastAsia="zh-CN"/>
        </w:rPr>
        <w:t>八</w:t>
      </w:r>
      <w:r>
        <w:rPr>
          <w:rFonts w:hint="eastAsia" w:ascii="宋体" w:hAnsi="宋体" w:eastAsia="宋体" w:cs="宋体"/>
          <w:sz w:val="24"/>
          <w:szCs w:val="24"/>
          <w:highlight w:val="none"/>
        </w:rPr>
        <w:t>、资格审查资料</w:t>
      </w:r>
      <w:bookmarkEnd w:id="263"/>
      <w:bookmarkEnd w:id="264"/>
      <w:bookmarkEnd w:id="266"/>
      <w:bookmarkEnd w:id="267"/>
    </w:p>
    <w:p>
      <w:pPr>
        <w:keepNext/>
        <w:keepLines/>
        <w:spacing w:line="360" w:lineRule="auto"/>
        <w:jc w:val="center"/>
        <w:outlineLvl w:val="3"/>
        <w:rPr>
          <w:rFonts w:hint="eastAsia" w:ascii="宋体" w:hAnsi="宋体" w:eastAsia="宋体" w:cs="宋体"/>
          <w:b/>
          <w:sz w:val="24"/>
          <w:szCs w:val="24"/>
          <w:highlight w:val="none"/>
        </w:rPr>
      </w:pPr>
      <w:bookmarkStart w:id="277" w:name="_Toc20393"/>
      <w:r>
        <w:rPr>
          <w:rFonts w:hint="eastAsia" w:ascii="宋体" w:hAnsi="宋体" w:eastAsia="宋体" w:cs="宋体"/>
          <w:b/>
          <w:sz w:val="24"/>
          <w:szCs w:val="24"/>
          <w:highlight w:val="none"/>
        </w:rPr>
        <w:t xml:space="preserve">  基本情况表</w:t>
      </w:r>
      <w:bookmarkEnd w:id="277"/>
    </w:p>
    <w:tbl>
      <w:tblPr>
        <w:tblStyle w:val="34"/>
        <w:tblW w:w="89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413"/>
        <w:gridCol w:w="2458"/>
        <w:gridCol w:w="1070"/>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投标供应商名称</w:t>
            </w:r>
          </w:p>
        </w:tc>
        <w:tc>
          <w:tcPr>
            <w:tcW w:w="681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387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成立时间</w:t>
            </w:r>
          </w:p>
        </w:tc>
        <w:tc>
          <w:tcPr>
            <w:tcW w:w="18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681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387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员工总数</w:t>
            </w:r>
          </w:p>
        </w:tc>
        <w:tc>
          <w:tcPr>
            <w:tcW w:w="18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2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联系方式</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24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18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Cs w:val="21"/>
                <w:highlight w:val="none"/>
              </w:rPr>
            </w:pP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传真</w:t>
            </w:r>
          </w:p>
        </w:tc>
        <w:tc>
          <w:tcPr>
            <w:tcW w:w="24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网址</w:t>
            </w:r>
          </w:p>
        </w:tc>
        <w:tc>
          <w:tcPr>
            <w:tcW w:w="18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法定代表人</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24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18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基本账户开户银行</w:t>
            </w:r>
          </w:p>
        </w:tc>
        <w:tc>
          <w:tcPr>
            <w:tcW w:w="6819" w:type="dxa"/>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基本账户银行账号</w:t>
            </w:r>
          </w:p>
        </w:tc>
        <w:tc>
          <w:tcPr>
            <w:tcW w:w="6819" w:type="dxa"/>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投标设备制造商名称</w:t>
            </w:r>
          </w:p>
        </w:tc>
        <w:tc>
          <w:tcPr>
            <w:tcW w:w="6819" w:type="dxa"/>
            <w:gridSpan w:val="4"/>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6819" w:type="dxa"/>
            <w:gridSpan w:val="4"/>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hint="eastAsia" w:ascii="宋体" w:hAnsi="宋体" w:eastAsia="宋体" w:cs="宋体"/>
                <w:szCs w:val="21"/>
                <w:highlight w:val="none"/>
              </w:rPr>
            </w:pPr>
          </w:p>
        </w:tc>
      </w:tr>
    </w:tbl>
    <w:p>
      <w:pPr>
        <w:spacing w:line="360" w:lineRule="exact"/>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注：</w:t>
      </w:r>
    </w:p>
    <w:p>
      <w:pPr>
        <w:spacing w:line="360" w:lineRule="exact"/>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企业资格审查资料（详见第二章投标人须知前附表1.4.1资格审查表规定）</w:t>
      </w:r>
    </w:p>
    <w:p>
      <w:pPr>
        <w:spacing w:line="360" w:lineRule="exact"/>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第二章投标人须知前附表1.4.1资格审查表所有内容所需资料需先上传至河南省公共资源交易中心</w:t>
      </w:r>
      <w:r>
        <w:rPr>
          <w:rFonts w:hint="eastAsia" w:ascii="宋体" w:hAnsi="宋体" w:eastAsia="宋体" w:cs="宋体"/>
          <w:b/>
          <w:bCs/>
          <w:szCs w:val="21"/>
          <w:highlight w:val="none"/>
          <w:lang w:eastAsia="zh-CN"/>
        </w:rPr>
        <w:t>主体库</w:t>
      </w:r>
      <w:r>
        <w:rPr>
          <w:rFonts w:hint="eastAsia" w:ascii="宋体" w:hAnsi="宋体" w:eastAsia="宋体" w:cs="宋体"/>
          <w:b/>
          <w:bCs/>
          <w:szCs w:val="21"/>
          <w:highlight w:val="none"/>
        </w:rPr>
        <w:t>并经核验，投标文件中附</w:t>
      </w:r>
      <w:r>
        <w:rPr>
          <w:rFonts w:hint="eastAsia" w:ascii="宋体" w:hAnsi="宋体" w:eastAsia="宋体" w:cs="宋体"/>
          <w:b/>
          <w:bCs/>
          <w:szCs w:val="21"/>
          <w:highlight w:val="none"/>
          <w:lang w:eastAsia="zh-CN"/>
        </w:rPr>
        <w:t>扫描件</w:t>
      </w:r>
      <w:r>
        <w:rPr>
          <w:rFonts w:hint="eastAsia" w:ascii="宋体" w:hAnsi="宋体" w:eastAsia="宋体" w:cs="宋体"/>
          <w:b/>
          <w:bCs/>
          <w:szCs w:val="21"/>
          <w:highlight w:val="none"/>
        </w:rPr>
        <w:t>即可，</w:t>
      </w:r>
      <w:r>
        <w:rPr>
          <w:rFonts w:hint="eastAsia" w:ascii="宋体" w:hAnsi="宋体" w:eastAsia="宋体" w:cs="宋体"/>
          <w:b/>
          <w:bCs/>
          <w:szCs w:val="21"/>
          <w:highlight w:val="none"/>
          <w:lang w:eastAsia="zh-CN"/>
        </w:rPr>
        <w:t>主体库</w:t>
      </w:r>
      <w:r>
        <w:rPr>
          <w:rFonts w:hint="eastAsia" w:ascii="宋体" w:hAnsi="宋体" w:eastAsia="宋体" w:cs="宋体"/>
          <w:b/>
          <w:bCs/>
          <w:szCs w:val="21"/>
          <w:highlight w:val="none"/>
        </w:rPr>
        <w:t>中证件需与投标文件中所附证件一致。</w:t>
      </w:r>
    </w:p>
    <w:p>
      <w:pPr>
        <w:spacing w:line="400" w:lineRule="exact"/>
        <w:rPr>
          <w:rFonts w:hint="eastAsia" w:ascii="宋体" w:hAnsi="宋体" w:eastAsia="宋体" w:cs="宋体"/>
          <w:b/>
          <w:bCs/>
          <w:szCs w:val="21"/>
          <w:highlight w:val="none"/>
        </w:rPr>
      </w:pPr>
      <w:r>
        <w:rPr>
          <w:rFonts w:hint="eastAsia" w:ascii="宋体" w:hAnsi="宋体" w:eastAsia="宋体" w:cs="宋体"/>
          <w:b/>
          <w:bCs/>
          <w:szCs w:val="21"/>
          <w:highlight w:val="none"/>
        </w:rPr>
        <w:br w:type="page"/>
      </w:r>
    </w:p>
    <w:p>
      <w:pPr>
        <w:spacing w:line="400" w:lineRule="exact"/>
        <w:rPr>
          <w:rFonts w:hint="eastAsia" w:ascii="宋体" w:hAnsi="宋体" w:eastAsia="宋体" w:cs="宋体"/>
          <w:bCs/>
          <w:color w:val="000000"/>
          <w:kern w:val="0"/>
          <w:szCs w:val="21"/>
          <w:highlight w:val="none"/>
        </w:rPr>
      </w:pPr>
    </w:p>
    <w:p>
      <w:pPr>
        <w:pStyle w:val="13"/>
        <w:numPr>
          <w:ilvl w:val="0"/>
          <w:numId w:val="0"/>
        </w:numPr>
        <w:jc w:val="left"/>
        <w:rPr>
          <w:rFonts w:hint="eastAsia" w:ascii="宋体" w:hAnsi="宋体" w:eastAsia="宋体" w:cs="宋体"/>
          <w:b/>
          <w:bCs w:val="0"/>
          <w:color w:val="000000"/>
          <w:kern w:val="0"/>
          <w:sz w:val="21"/>
          <w:szCs w:val="21"/>
          <w:highlight w:val="none"/>
          <w:lang w:val="en-US" w:eastAsia="zh-CN"/>
        </w:rPr>
      </w:pPr>
      <w:r>
        <w:rPr>
          <w:rFonts w:hint="eastAsia" w:ascii="宋体" w:hAnsi="宋体" w:eastAsia="宋体" w:cs="宋体"/>
          <w:sz w:val="21"/>
          <w:szCs w:val="21"/>
          <w:highlight w:val="none"/>
          <w:lang w:val="en-US" w:eastAsia="zh-CN"/>
        </w:rPr>
        <w:t>（一）具有独立承担民事责任的能力；（提供有效的法人或者其他组织的营业执照等证明文件）</w:t>
      </w:r>
    </w:p>
    <w:p>
      <w:pPr>
        <w:jc w:val="left"/>
        <w:rPr>
          <w:rFonts w:hint="eastAsia" w:ascii="宋体" w:hAnsi="宋体" w:eastAsia="宋体" w:cs="宋体"/>
          <w:b/>
          <w:bCs w:val="0"/>
          <w:color w:val="000000"/>
          <w:kern w:val="0"/>
          <w:sz w:val="21"/>
          <w:szCs w:val="21"/>
          <w:highlight w:val="none"/>
          <w:lang w:val="en-US" w:eastAsia="zh-CN"/>
        </w:rPr>
      </w:pPr>
    </w:p>
    <w:p>
      <w:pPr>
        <w:jc w:val="left"/>
        <w:rPr>
          <w:rFonts w:hint="eastAsia" w:ascii="宋体" w:hAnsi="宋体" w:eastAsia="宋体" w:cs="宋体"/>
          <w:b/>
          <w:bCs w:val="0"/>
          <w:color w:val="000000"/>
          <w:kern w:val="0"/>
          <w:sz w:val="21"/>
          <w:szCs w:val="21"/>
          <w:highlight w:val="none"/>
          <w:lang w:val="en-US" w:eastAsia="zh-CN"/>
        </w:rPr>
      </w:pPr>
    </w:p>
    <w:p>
      <w:pPr>
        <w:pStyle w:val="13"/>
        <w:numPr>
          <w:ilvl w:val="0"/>
          <w:numId w:val="0"/>
        </w:num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（二）具有良好的商业信誉和健全的财务会计制度；（提供2022年度经第三方会计师事务所或审计机构出具的财务审计报告，成立不足一年的按实际提供，或提供银行出具的资信证明） ；</w:t>
      </w:r>
    </w:p>
    <w:p>
      <w:pPr>
        <w:pStyle w:val="13"/>
        <w:numPr>
          <w:ilvl w:val="0"/>
          <w:numId w:val="0"/>
        </w:numPr>
        <w:jc w:val="left"/>
        <w:rPr>
          <w:rFonts w:hint="eastAsia" w:ascii="宋体" w:hAnsi="宋体" w:eastAsia="宋体" w:cs="宋体"/>
          <w:sz w:val="21"/>
          <w:szCs w:val="21"/>
          <w:highlight w:val="none"/>
          <w:lang w:val="en-US" w:eastAsia="zh-CN"/>
        </w:rPr>
      </w:pPr>
    </w:p>
    <w:p>
      <w:pPr>
        <w:keepNext/>
        <w:keepLines/>
        <w:spacing w:line="400" w:lineRule="exact"/>
        <w:jc w:val="left"/>
        <w:outlineLvl w:val="9"/>
        <w:rPr>
          <w:rFonts w:hint="eastAsia" w:ascii="宋体" w:hAnsi="宋体" w:eastAsia="宋体" w:cs="宋体"/>
          <w:bCs/>
          <w:sz w:val="28"/>
          <w:szCs w:val="28"/>
          <w:highlight w:val="none"/>
        </w:rPr>
      </w:pPr>
      <w:r>
        <w:rPr>
          <w:rFonts w:hint="eastAsia" w:ascii="宋体" w:hAnsi="宋体" w:eastAsia="宋体" w:cs="宋体"/>
          <w:kern w:val="2"/>
          <w:sz w:val="21"/>
          <w:szCs w:val="21"/>
          <w:highlight w:val="none"/>
          <w:lang w:val="en-US" w:eastAsia="zh-CN" w:bidi="ar-SA"/>
        </w:rPr>
        <w:t>（三）</w:t>
      </w:r>
      <w:r>
        <w:rPr>
          <w:rFonts w:hint="eastAsia" w:ascii="宋体" w:hAnsi="宋体" w:eastAsia="宋体" w:cs="宋体"/>
          <w:bCs/>
          <w:color w:val="000000"/>
          <w:kern w:val="0"/>
          <w:szCs w:val="21"/>
          <w:highlight w:val="none"/>
        </w:rPr>
        <w:t xml:space="preserve">具有履行合同所必须的设备和专业技术能力；（提供可充分满足履行合同所需设备和专业技术能力的证明材料或出具书面承诺（格式自拟，加盖单位公章）） </w:t>
      </w:r>
    </w:p>
    <w:p>
      <w:pPr>
        <w:spacing w:line="400" w:lineRule="exact"/>
        <w:rPr>
          <w:rFonts w:hint="eastAsia" w:ascii="宋体" w:hAnsi="宋体" w:eastAsia="宋体" w:cs="宋体"/>
          <w:bCs/>
          <w:color w:val="000000"/>
          <w:kern w:val="0"/>
          <w:szCs w:val="21"/>
          <w:highlight w:val="none"/>
        </w:rPr>
      </w:pPr>
    </w:p>
    <w:p>
      <w:pPr>
        <w:rPr>
          <w:rFonts w:hint="eastAsia" w:ascii="宋体" w:hAnsi="宋体" w:eastAsia="宋体" w:cs="宋体"/>
          <w:b/>
          <w:bCs w:val="0"/>
          <w:color w:val="000000"/>
          <w:kern w:val="0"/>
          <w:szCs w:val="21"/>
          <w:highlight w:val="none"/>
          <w:lang w:val="en-US" w:eastAsia="zh-CN"/>
        </w:rPr>
      </w:pPr>
    </w:p>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（四）有依法缴纳税收和社会保障资金的良好记录；（提供2023年1月1日以来至少一个月的依法缴纳税收和社会保障资金的相关证明）；</w:t>
      </w:r>
    </w:p>
    <w:p>
      <w:pPr>
        <w:spacing w:line="360" w:lineRule="auto"/>
        <w:rPr>
          <w:rFonts w:hint="eastAsia" w:ascii="宋体" w:hAnsi="宋体" w:eastAsia="宋体" w:cs="宋体"/>
          <w:kern w:val="2"/>
          <w:sz w:val="21"/>
          <w:szCs w:val="21"/>
          <w:highlight w:val="none"/>
          <w:lang w:val="en-US" w:eastAsia="zh-CN" w:bidi="ar-SA"/>
        </w:rPr>
      </w:pPr>
    </w:p>
    <w:p>
      <w:pPr>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（五）具有良好的商业信誉，参加政府采购活动前三年内，在经营活动中没有重大违法记录。（提供声明函）；</w:t>
      </w:r>
    </w:p>
    <w:p>
      <w:pPr>
        <w:keepNext/>
        <w:keepLines/>
        <w:spacing w:line="400" w:lineRule="exact"/>
        <w:outlineLvl w:val="9"/>
        <w:rPr>
          <w:rFonts w:hint="eastAsia" w:ascii="宋体" w:hAnsi="宋体" w:eastAsia="宋体" w:cs="宋体"/>
          <w:b w:val="0"/>
          <w:bCs/>
          <w:sz w:val="21"/>
          <w:szCs w:val="21"/>
          <w:highlight w:val="none"/>
          <w:lang w:val="en-US" w:eastAsia="zh-CN"/>
        </w:rPr>
      </w:pPr>
    </w:p>
    <w:p>
      <w:pPr>
        <w:keepNext/>
        <w:keepLines/>
        <w:spacing w:line="360" w:lineRule="auto"/>
        <w:jc w:val="center"/>
        <w:outlineLvl w:val="3"/>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rPr>
        <w:t>商业信誉</w:t>
      </w:r>
      <w:r>
        <w:rPr>
          <w:rFonts w:hint="eastAsia" w:ascii="宋体" w:hAnsi="宋体" w:eastAsia="宋体" w:cs="宋体"/>
          <w:b/>
          <w:sz w:val="21"/>
          <w:szCs w:val="21"/>
          <w:highlight w:val="none"/>
          <w:lang w:val="en-US" w:eastAsia="zh-CN"/>
        </w:rPr>
        <w:t>声明函</w:t>
      </w:r>
    </w:p>
    <w:p>
      <w:pPr>
        <w:keepNext/>
        <w:keepLines/>
        <w:spacing w:line="360" w:lineRule="auto"/>
        <w:jc w:val="center"/>
        <w:outlineLvl w:val="3"/>
        <w:rPr>
          <w:rFonts w:hint="eastAsia" w:ascii="宋体" w:hAnsi="宋体" w:eastAsia="宋体" w:cs="宋体"/>
          <w:bCs/>
          <w:sz w:val="21"/>
          <w:szCs w:val="21"/>
          <w:highlight w:val="none"/>
          <w:lang w:val="en-US" w:eastAsia="zh-CN"/>
        </w:rPr>
      </w:pPr>
      <w:r>
        <w:rPr>
          <w:rFonts w:hint="eastAsia" w:ascii="宋体" w:hAnsi="宋体" w:eastAsia="宋体" w:cs="宋体"/>
          <w:b/>
          <w:sz w:val="21"/>
          <w:szCs w:val="21"/>
          <w:highlight w:val="none"/>
        </w:rPr>
        <w:t>（格式仅供参考）</w:t>
      </w:r>
    </w:p>
    <w:p>
      <w:pPr>
        <w:keepNext/>
        <w:keepLines/>
        <w:spacing w:line="400" w:lineRule="exact"/>
        <w:outlineLvl w:val="3"/>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河南省锅炉压力容器检验技术科学研究院</w:t>
      </w:r>
      <w:r>
        <w:rPr>
          <w:rFonts w:hint="eastAsia" w:ascii="宋体" w:hAnsi="宋体" w:eastAsia="宋体" w:cs="宋体"/>
          <w:bCs/>
          <w:szCs w:val="21"/>
          <w:highlight w:val="none"/>
        </w:rPr>
        <w:t>：</w:t>
      </w:r>
    </w:p>
    <w:p>
      <w:pPr>
        <w:keepNext/>
        <w:keepLines/>
        <w:spacing w:line="400" w:lineRule="exact"/>
        <w:ind w:firstLine="420" w:firstLineChars="200"/>
        <w:outlineLvl w:val="3"/>
        <w:rPr>
          <w:rFonts w:hint="eastAsia" w:ascii="宋体" w:hAnsi="宋体" w:eastAsia="宋体" w:cs="宋体"/>
          <w:bCs/>
          <w:szCs w:val="21"/>
          <w:highlight w:val="none"/>
        </w:rPr>
      </w:pPr>
      <w:r>
        <w:rPr>
          <w:rFonts w:hint="eastAsia" w:ascii="宋体" w:hAnsi="宋体" w:eastAsia="宋体" w:cs="宋体"/>
          <w:bCs/>
          <w:szCs w:val="21"/>
          <w:highlight w:val="none"/>
        </w:rPr>
        <w:t>我方在此声明，在参加本次政府采购活动前三年内，在经营活动中没有重大违法记录。投标产品在国内销售没有不良记录、没有发生过重大质量问题或安全事故。</w:t>
      </w:r>
    </w:p>
    <w:p>
      <w:pPr>
        <w:keepNext/>
        <w:keepLines/>
        <w:spacing w:line="400" w:lineRule="exact"/>
        <w:ind w:firstLine="420" w:firstLineChars="200"/>
        <w:outlineLvl w:val="3"/>
        <w:rPr>
          <w:rFonts w:hint="eastAsia" w:ascii="宋体" w:hAnsi="宋体" w:eastAsia="宋体" w:cs="宋体"/>
          <w:bCs/>
          <w:szCs w:val="21"/>
          <w:highlight w:val="none"/>
        </w:rPr>
      </w:pPr>
      <w:r>
        <w:rPr>
          <w:rFonts w:hint="eastAsia" w:ascii="宋体" w:hAnsi="宋体" w:eastAsia="宋体" w:cs="宋体"/>
          <w:szCs w:val="21"/>
          <w:highlight w:val="none"/>
        </w:rPr>
        <w:t xml:space="preserve"> </w:t>
      </w:r>
      <w:r>
        <w:rPr>
          <w:rFonts w:hint="eastAsia" w:ascii="宋体" w:hAnsi="宋体" w:eastAsia="宋体" w:cs="宋体"/>
          <w:bCs/>
          <w:szCs w:val="21"/>
          <w:highlight w:val="none"/>
        </w:rPr>
        <w:t>我方在此声明，我单位对投标应答真实性负责。中标公告发布期间，如果采购人或其他投标供应商对我方所投产品的技术参数发生异议，采购人有权要求我单位证明在投标文件中应答的技术参数是真实的，证明方式由采购人或国家认可的第三方检测机构决定。</w:t>
      </w:r>
    </w:p>
    <w:p>
      <w:pPr>
        <w:keepNext/>
        <w:keepLines/>
        <w:spacing w:line="400" w:lineRule="exact"/>
        <w:ind w:firstLine="420" w:firstLineChars="200"/>
        <w:outlineLvl w:val="3"/>
        <w:rPr>
          <w:rFonts w:hint="eastAsia" w:ascii="宋体" w:hAnsi="宋体" w:eastAsia="宋体" w:cs="宋体"/>
          <w:bCs/>
          <w:szCs w:val="21"/>
          <w:highlight w:val="none"/>
        </w:rPr>
      </w:pPr>
      <w:r>
        <w:rPr>
          <w:rFonts w:hint="eastAsia" w:ascii="宋体" w:hAnsi="宋体" w:eastAsia="宋体" w:cs="宋体"/>
          <w:bCs/>
          <w:szCs w:val="21"/>
          <w:highlight w:val="none"/>
        </w:rPr>
        <w:t>我方保证上述信息的真实和准确，并愿意承担因我方就此弄虚作假所引起的一切法律后果。</w:t>
      </w:r>
    </w:p>
    <w:p>
      <w:pPr>
        <w:keepNext/>
        <w:keepLines/>
        <w:spacing w:line="400" w:lineRule="exact"/>
        <w:ind w:firstLine="420" w:firstLineChars="200"/>
        <w:outlineLvl w:val="9"/>
        <w:rPr>
          <w:rFonts w:hint="eastAsia" w:ascii="宋体" w:hAnsi="宋体" w:eastAsia="宋体" w:cs="宋体"/>
          <w:bCs/>
          <w:szCs w:val="21"/>
          <w:highlight w:val="none"/>
        </w:rPr>
      </w:pPr>
    </w:p>
    <w:p>
      <w:pPr>
        <w:keepNext/>
        <w:keepLines/>
        <w:spacing w:line="400" w:lineRule="exact"/>
        <w:ind w:firstLine="420" w:firstLineChars="200"/>
        <w:outlineLvl w:val="9"/>
        <w:rPr>
          <w:rFonts w:hint="eastAsia" w:ascii="宋体" w:hAnsi="宋体" w:eastAsia="宋体" w:cs="宋体"/>
          <w:bCs/>
          <w:szCs w:val="21"/>
          <w:highlight w:val="none"/>
        </w:rPr>
      </w:pPr>
    </w:p>
    <w:p>
      <w:pPr>
        <w:keepNext/>
        <w:keepLines/>
        <w:spacing w:line="400" w:lineRule="exact"/>
        <w:ind w:firstLine="420" w:firstLineChars="200"/>
        <w:outlineLvl w:val="9"/>
        <w:rPr>
          <w:rFonts w:hint="eastAsia" w:ascii="宋体" w:hAnsi="宋体" w:eastAsia="宋体" w:cs="宋体"/>
          <w:bCs/>
          <w:szCs w:val="21"/>
          <w:highlight w:val="none"/>
        </w:rPr>
      </w:pPr>
      <w:r>
        <w:rPr>
          <w:rFonts w:hint="eastAsia" w:ascii="宋体" w:hAnsi="宋体" w:eastAsia="宋体" w:cs="宋体"/>
          <w:bCs/>
          <w:szCs w:val="21"/>
          <w:highlight w:val="none"/>
        </w:rPr>
        <w:t>特此</w:t>
      </w:r>
      <w:r>
        <w:rPr>
          <w:rFonts w:hint="eastAsia" w:ascii="宋体" w:hAnsi="宋体" w:eastAsia="宋体" w:cs="宋体"/>
          <w:bCs/>
          <w:szCs w:val="21"/>
          <w:highlight w:val="none"/>
          <w:lang w:val="en-US" w:eastAsia="zh-CN"/>
        </w:rPr>
        <w:t>声明</w:t>
      </w:r>
      <w:r>
        <w:rPr>
          <w:rFonts w:hint="eastAsia" w:ascii="宋体" w:hAnsi="宋体" w:eastAsia="宋体" w:cs="宋体"/>
          <w:bCs/>
          <w:szCs w:val="21"/>
          <w:highlight w:val="none"/>
        </w:rPr>
        <w:t>。</w:t>
      </w:r>
    </w:p>
    <w:p>
      <w:pPr>
        <w:keepNext/>
        <w:keepLines/>
        <w:spacing w:line="400" w:lineRule="exact"/>
        <w:ind w:firstLine="420" w:firstLineChars="200"/>
        <w:outlineLvl w:val="9"/>
        <w:rPr>
          <w:rFonts w:hint="eastAsia" w:ascii="宋体" w:hAnsi="宋体" w:eastAsia="宋体" w:cs="宋体"/>
          <w:bCs/>
          <w:szCs w:val="21"/>
          <w:highlight w:val="none"/>
        </w:rPr>
      </w:pPr>
    </w:p>
    <w:p>
      <w:pPr>
        <w:keepNext/>
        <w:keepLines/>
        <w:spacing w:line="400" w:lineRule="exact"/>
        <w:outlineLvl w:val="9"/>
        <w:rPr>
          <w:rFonts w:hint="eastAsia" w:ascii="宋体" w:hAnsi="宋体" w:eastAsia="宋体" w:cs="宋体"/>
          <w:bCs/>
          <w:szCs w:val="21"/>
          <w:highlight w:val="none"/>
        </w:rPr>
      </w:pPr>
    </w:p>
    <w:p>
      <w:pPr>
        <w:spacing w:line="400" w:lineRule="exact"/>
        <w:ind w:left="4620" w:leftChars="2200" w:firstLine="2100" w:firstLineChars="1000"/>
        <w:outlineLvl w:val="9"/>
        <w:rPr>
          <w:rFonts w:hint="eastAsia" w:ascii="宋体" w:hAnsi="宋体" w:eastAsia="宋体" w:cs="宋体"/>
          <w:bCs/>
          <w:color w:val="000000"/>
          <w:kern w:val="0"/>
          <w:szCs w:val="21"/>
          <w:highlight w:val="none"/>
        </w:rPr>
      </w:pPr>
      <w:r>
        <w:rPr>
          <w:rFonts w:hint="eastAsia" w:ascii="宋体" w:hAnsi="宋体" w:eastAsia="宋体" w:cs="宋体"/>
          <w:bCs/>
          <w:szCs w:val="21"/>
          <w:highlight w:val="none"/>
        </w:rPr>
        <w:t>投标供应商（盖章）： </w:t>
      </w:r>
      <w:r>
        <w:rPr>
          <w:rFonts w:hint="eastAsia" w:ascii="宋体" w:hAnsi="宋体" w:eastAsia="宋体" w:cs="宋体"/>
          <w:bCs/>
          <w:szCs w:val="21"/>
          <w:highlight w:val="none"/>
        </w:rPr>
        <w:br w:type="textWrapping"/>
      </w:r>
      <w:r>
        <w:rPr>
          <w:rFonts w:hint="eastAsia" w:ascii="宋体" w:hAnsi="宋体" w:eastAsia="宋体" w:cs="宋体"/>
          <w:bCs/>
          <w:szCs w:val="21"/>
          <w:highlight w:val="none"/>
        </w:rPr>
        <w:t>法定代表人或其委托代理人（签字或盖章）： </w:t>
      </w:r>
      <w:r>
        <w:rPr>
          <w:rFonts w:hint="eastAsia" w:ascii="宋体" w:hAnsi="宋体" w:eastAsia="宋体" w:cs="宋体"/>
          <w:bCs/>
          <w:szCs w:val="21"/>
          <w:highlight w:val="none"/>
        </w:rPr>
        <w:br w:type="textWrapping"/>
      </w:r>
      <w:r>
        <w:rPr>
          <w:rFonts w:hint="eastAsia" w:ascii="宋体" w:hAnsi="宋体" w:eastAsia="宋体" w:cs="宋体"/>
          <w:bCs/>
          <w:szCs w:val="21"/>
          <w:highlight w:val="none"/>
        </w:rPr>
        <w:t xml:space="preserve">                          年   月   日</w:t>
      </w:r>
    </w:p>
    <w:p>
      <w:pPr>
        <w:outlineLvl w:val="9"/>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br w:type="page"/>
      </w:r>
    </w:p>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（六）信誉信息良好：根据《关于在政府采购活动中查询及使用信用记录有关问题的通知》(财库[2016]125 号) 的规定，对列入失信被执行人、重大税收违法案件当事人名单（重大税收违法失信主体）、政府采购严重违法失信行为记录名单的投标人，拒绝参与本项目政府采购活动；响应文件开启后，采购人或采购代理机构将通过“信用中国”网站（www.creditchina.gov.cn）、“中国执行信息公开网”网站（zxgk.court.gov.cn）和中国政府采购网（www.ccgp.gov.cn）查询企业的信用记录；（信用信息查询记录和证据采购代理机构将同采购文件等资料一同归档保存）；</w:t>
      </w:r>
    </w:p>
    <w:p>
      <w:pPr>
        <w:spacing w:line="360" w:lineRule="auto"/>
        <w:rPr>
          <w:rFonts w:hint="eastAsia" w:ascii="宋体" w:hAnsi="宋体" w:eastAsia="宋体" w:cs="宋体"/>
          <w:kern w:val="2"/>
          <w:sz w:val="21"/>
          <w:szCs w:val="21"/>
          <w:highlight w:val="none"/>
          <w:lang w:val="en-US" w:eastAsia="zh-CN" w:bidi="ar-SA"/>
        </w:rPr>
      </w:pPr>
    </w:p>
    <w:p>
      <w:pPr>
        <w:spacing w:line="400" w:lineRule="exact"/>
        <w:rPr>
          <w:rFonts w:hint="eastAsia" w:ascii="宋体" w:hAnsi="宋体" w:eastAsia="宋体" w:cs="宋体"/>
          <w:bCs/>
          <w:color w:val="000000"/>
          <w:kern w:val="0"/>
          <w:szCs w:val="21"/>
          <w:highlight w:val="none"/>
          <w:lang w:val="en-US" w:eastAsia="zh-CN"/>
        </w:rPr>
      </w:pPr>
      <w:r>
        <w:rPr>
          <w:rFonts w:hint="eastAsia" w:ascii="宋体" w:hAnsi="宋体" w:eastAsia="宋体" w:cs="宋体"/>
          <w:kern w:val="2"/>
          <w:sz w:val="21"/>
          <w:szCs w:val="21"/>
          <w:highlight w:val="none"/>
          <w:lang w:val="en-US" w:eastAsia="zh-CN" w:bidi="ar-SA"/>
        </w:rPr>
        <w:t>（七）其他要求：单位负责人为同一人或者存在控股、管理关系的不同单位，不得同时参加同一合同项下的政府采购活动（提供“国家企业信用信息公示系统”网站（www.gsxt.gov.cn）”中公示的公司基本信息、主要人员信息、股东或投资人信息等内容，查询结果打印件或截图，加盖单位公章；非企业性质的供应商无法在该公示系统查询的，则针对此项做出书面承诺，格式自拟并加盖公章）</w:t>
      </w:r>
      <w:r>
        <w:rPr>
          <w:rFonts w:hint="eastAsia" w:ascii="宋体" w:hAnsi="宋体" w:eastAsia="宋体" w:cs="宋体"/>
          <w:b/>
          <w:bCs w:val="0"/>
          <w:color w:val="000000"/>
          <w:kern w:val="0"/>
          <w:szCs w:val="21"/>
          <w:highlight w:val="none"/>
          <w:lang w:val="en-US" w:eastAsia="zh-CN"/>
        </w:rPr>
        <w:br w:type="page"/>
      </w:r>
    </w:p>
    <w:p>
      <w:pPr>
        <w:pStyle w:val="3"/>
        <w:rPr>
          <w:rFonts w:hint="eastAsia" w:ascii="宋体" w:hAnsi="宋体" w:eastAsia="宋体" w:cs="宋体"/>
          <w:sz w:val="24"/>
          <w:szCs w:val="24"/>
          <w:highlight w:val="none"/>
        </w:rPr>
      </w:pPr>
      <w:bookmarkStart w:id="278" w:name="_Toc10024"/>
      <w:r>
        <w:rPr>
          <w:rFonts w:hint="eastAsia" w:ascii="宋体" w:hAnsi="宋体" w:eastAsia="宋体" w:cs="宋体"/>
          <w:sz w:val="24"/>
          <w:szCs w:val="24"/>
          <w:highlight w:val="none"/>
          <w:lang w:eastAsia="zh-CN"/>
        </w:rPr>
        <w:t>九</w:t>
      </w:r>
      <w:r>
        <w:rPr>
          <w:rFonts w:hint="eastAsia" w:ascii="宋体" w:hAnsi="宋体" w:eastAsia="宋体" w:cs="宋体"/>
          <w:sz w:val="24"/>
          <w:szCs w:val="24"/>
          <w:highlight w:val="none"/>
        </w:rPr>
        <w:t>、反商业贿赂承诺书</w:t>
      </w:r>
      <w:bookmarkEnd w:id="278"/>
    </w:p>
    <w:p>
      <w:pPr>
        <w:keepNext/>
        <w:keepLines/>
        <w:spacing w:line="360" w:lineRule="auto"/>
        <w:jc w:val="center"/>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w:t>
      </w:r>
    </w:p>
    <w:p>
      <w:pPr>
        <w:pStyle w:val="54"/>
        <w:rPr>
          <w:rFonts w:hint="eastAsia" w:ascii="宋体" w:hAnsi="宋体" w:eastAsia="宋体" w:cs="宋体"/>
          <w:sz w:val="21"/>
          <w:szCs w:val="21"/>
          <w:highlight w:val="none"/>
        </w:rPr>
      </w:pPr>
    </w:p>
    <w:p>
      <w:pPr>
        <w:spacing w:line="6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我公司承诺：</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在本次招标活动中，我公司保证做到：</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一、公平竞争参加本次招标活动。</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二、杜绝任何形式的商业贿赂行为。不向国家工作人员、</w:t>
      </w:r>
      <w:r>
        <w:rPr>
          <w:rFonts w:hint="eastAsia" w:ascii="宋体" w:hAnsi="宋体" w:eastAsia="宋体" w:cs="宋体"/>
          <w:sz w:val="21"/>
          <w:szCs w:val="21"/>
          <w:highlight w:val="none"/>
          <w:lang w:eastAsia="zh-CN"/>
        </w:rPr>
        <w:t>采购代理机构</w:t>
      </w:r>
      <w:r>
        <w:rPr>
          <w:rFonts w:hint="eastAsia" w:ascii="宋体" w:hAnsi="宋体" w:eastAsia="宋体" w:cs="宋体"/>
          <w:sz w:val="21"/>
          <w:szCs w:val="21"/>
          <w:highlight w:val="none"/>
        </w:rPr>
        <w:t>工作人员、评审专家及其亲属提供礼品礼金、有价证券、购物券、回扣、佣金、咨询费、劳务费、赞助费、宣传费、宴请；不为其报销各种消费凭证，不支付其旅游、娱乐等费用。</w:t>
      </w:r>
    </w:p>
    <w:p>
      <w:pPr>
        <w:spacing w:line="6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三、若出现上述行为，我公司及参与招标的工作人员愿意接受按照国家法律法规等有关规定给予的处罚。</w:t>
      </w:r>
    </w:p>
    <w:p>
      <w:pPr>
        <w:spacing w:line="600" w:lineRule="exact"/>
        <w:rPr>
          <w:rFonts w:hint="eastAsia" w:ascii="宋体" w:hAnsi="宋体" w:eastAsia="宋体" w:cs="宋体"/>
          <w:sz w:val="21"/>
          <w:szCs w:val="21"/>
          <w:highlight w:val="none"/>
        </w:rPr>
      </w:pPr>
    </w:p>
    <w:p>
      <w:pPr>
        <w:spacing w:line="6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spacing w:line="62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投标供应商：</w:t>
      </w:r>
      <w:r>
        <w:rPr>
          <w:rFonts w:hint="eastAsia" w:ascii="宋体" w:hAnsi="宋体" w:eastAsia="宋体" w:cs="宋体"/>
          <w:sz w:val="21"/>
          <w:szCs w:val="21"/>
          <w:highlight w:val="none"/>
          <w:u w:val="single"/>
        </w:rPr>
        <w:t xml:space="preserve">（盖章）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pPr>
        <w:spacing w:line="62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法定代表人或其委托代理人：</w:t>
      </w:r>
      <w:r>
        <w:rPr>
          <w:rFonts w:hint="eastAsia" w:ascii="宋体" w:hAnsi="宋体" w:eastAsia="宋体" w:cs="宋体"/>
          <w:sz w:val="21"/>
          <w:szCs w:val="21"/>
          <w:highlight w:val="none"/>
          <w:u w:val="single"/>
        </w:rPr>
        <w:t xml:space="preserve">（签字或盖章）            </w:t>
      </w:r>
    </w:p>
    <w:p>
      <w:pPr>
        <w:spacing w:line="620" w:lineRule="exact"/>
        <w:rPr>
          <w:rFonts w:hint="eastAsia" w:ascii="宋体" w:hAnsi="宋体" w:eastAsia="宋体" w:cs="宋体"/>
          <w:sz w:val="21"/>
          <w:szCs w:val="21"/>
          <w:highlight w:val="none"/>
          <w:u w:val="single"/>
        </w:rPr>
        <w:sectPr>
          <w:pgSz w:w="11920" w:h="16840"/>
          <w:pgMar w:top="1418" w:right="1418" w:bottom="1418" w:left="1418" w:header="794" w:footer="851" w:gutter="284"/>
          <w:pgBorders>
            <w:top w:val="none" w:sz="0" w:space="0"/>
            <w:left w:val="none" w:sz="0" w:space="0"/>
            <w:bottom w:val="none" w:sz="0" w:space="0"/>
            <w:right w:val="none" w:sz="0" w:space="0"/>
          </w:pgBorders>
          <w:pgNumType w:fmt="decimal"/>
          <w:cols w:space="720" w:num="1"/>
          <w:docGrid w:linePitch="286" w:charSpace="0"/>
        </w:sect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日</w:t>
      </w:r>
    </w:p>
    <w:p>
      <w:pPr>
        <w:pStyle w:val="32"/>
        <w:ind w:firstLine="240"/>
        <w:rPr>
          <w:rFonts w:hint="eastAsia" w:ascii="宋体" w:hAnsi="宋体" w:eastAsia="宋体" w:cs="宋体"/>
          <w:sz w:val="24"/>
          <w:highlight w:val="none"/>
        </w:rPr>
      </w:pPr>
    </w:p>
    <w:p>
      <w:pPr>
        <w:pStyle w:val="3"/>
        <w:rPr>
          <w:rFonts w:hint="eastAsia" w:ascii="宋体" w:hAnsi="宋体" w:eastAsia="宋体" w:cs="宋体"/>
          <w:sz w:val="24"/>
          <w:szCs w:val="24"/>
          <w:highlight w:val="none"/>
        </w:rPr>
      </w:pPr>
      <w:bookmarkStart w:id="279" w:name="_Toc23029"/>
      <w:r>
        <w:rPr>
          <w:rFonts w:hint="eastAsia" w:ascii="宋体" w:hAnsi="宋体" w:eastAsia="宋体" w:cs="宋体"/>
          <w:sz w:val="24"/>
          <w:szCs w:val="24"/>
          <w:highlight w:val="none"/>
        </w:rPr>
        <w:t>十、</w:t>
      </w:r>
      <w:bookmarkStart w:id="280" w:name="_Toc22545"/>
      <w:bookmarkStart w:id="281" w:name="_Toc11397"/>
      <w:bookmarkStart w:id="282" w:name="_Toc7341"/>
      <w:bookmarkStart w:id="283" w:name="_Toc12099"/>
      <w:r>
        <w:rPr>
          <w:rFonts w:hint="eastAsia" w:ascii="宋体" w:hAnsi="宋体" w:eastAsia="宋体" w:cs="宋体"/>
          <w:sz w:val="24"/>
          <w:szCs w:val="24"/>
          <w:highlight w:val="none"/>
        </w:rPr>
        <w:t>投标设备图片及投标供应商认为需要提交的其它证明资料</w:t>
      </w:r>
      <w:bookmarkEnd w:id="279"/>
      <w:bookmarkEnd w:id="280"/>
      <w:bookmarkEnd w:id="281"/>
      <w:bookmarkEnd w:id="282"/>
      <w:bookmarkEnd w:id="283"/>
    </w:p>
    <w:p>
      <w:pPr>
        <w:outlineLvl w:val="9"/>
        <w:rPr>
          <w:rFonts w:hint="eastAsia" w:ascii="宋体" w:hAnsi="宋体" w:eastAsia="宋体" w:cs="宋体"/>
          <w:sz w:val="24"/>
          <w:szCs w:val="24"/>
          <w:highlight w:val="none"/>
        </w:rPr>
      </w:pPr>
    </w:p>
    <w:p>
      <w:pPr>
        <w:pStyle w:val="3"/>
        <w:jc w:val="left"/>
        <w:rPr>
          <w:rFonts w:hint="eastAsia" w:ascii="宋体" w:hAnsi="宋体" w:eastAsia="宋体" w:cs="宋体"/>
          <w:sz w:val="24"/>
          <w:szCs w:val="24"/>
          <w:highlight w:val="none"/>
          <w:lang w:val="en-US" w:eastAsia="zh-CN"/>
        </w:rPr>
      </w:pPr>
      <w:r>
        <w:rPr>
          <w:rFonts w:hint="eastAsia" w:ascii="宋体" w:hAnsi="宋体" w:eastAsia="宋体" w:cs="宋体"/>
          <w:highlight w:val="none"/>
        </w:rPr>
        <w:br w:type="page"/>
      </w:r>
      <w:bookmarkStart w:id="284" w:name="_Toc9790"/>
      <w:r>
        <w:rPr>
          <w:rFonts w:hint="eastAsia" w:ascii="宋体" w:hAnsi="宋体" w:eastAsia="宋体" w:cs="宋体"/>
          <w:sz w:val="24"/>
          <w:szCs w:val="24"/>
          <w:highlight w:val="none"/>
          <w:lang w:val="en-US" w:eastAsia="zh-CN"/>
        </w:rPr>
        <w:t>附件</w:t>
      </w:r>
      <w:bookmarkEnd w:id="284"/>
    </w:p>
    <w:p>
      <w:pPr>
        <w:jc w:val="center"/>
        <w:outlineLvl w:val="1"/>
        <w:rPr>
          <w:rFonts w:hint="eastAsia" w:ascii="宋体" w:hAnsi="宋体" w:eastAsia="宋体" w:cs="宋体"/>
          <w:b/>
          <w:color w:val="auto"/>
          <w:sz w:val="24"/>
          <w:szCs w:val="24"/>
          <w:highlight w:val="none"/>
        </w:rPr>
      </w:pPr>
      <w:bookmarkStart w:id="285" w:name="_Hlk492844196"/>
      <w:bookmarkStart w:id="286" w:name="_Toc497920545"/>
      <w:bookmarkStart w:id="287" w:name="_Toc500170706"/>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）中小企业声明函（货物）</w:t>
      </w:r>
      <w:bookmarkStart w:id="288" w:name="_Hlk85100845"/>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（提醒：如果投标人</w:t>
      </w:r>
      <w:r>
        <w:rPr>
          <w:rFonts w:hint="eastAsia" w:ascii="宋体" w:hAnsi="宋体" w:eastAsia="宋体" w:cs="宋体"/>
          <w:b/>
          <w:color w:val="auto"/>
          <w:sz w:val="21"/>
          <w:szCs w:val="21"/>
          <w:highlight w:val="none"/>
          <w:lang w:eastAsia="zh-CN"/>
        </w:rPr>
        <w:t>所投货物</w:t>
      </w:r>
      <w:r>
        <w:rPr>
          <w:rFonts w:hint="eastAsia" w:ascii="宋体" w:hAnsi="宋体" w:eastAsia="宋体" w:cs="宋体"/>
          <w:b/>
          <w:color w:val="auto"/>
          <w:spacing w:val="10"/>
          <w:sz w:val="21"/>
          <w:szCs w:val="21"/>
          <w:highlight w:val="none"/>
        </w:rPr>
        <w:t>不是中小企业</w:t>
      </w:r>
      <w:r>
        <w:rPr>
          <w:rFonts w:hint="eastAsia" w:ascii="宋体" w:hAnsi="宋体" w:eastAsia="宋体" w:cs="宋体"/>
          <w:b/>
          <w:color w:val="auto"/>
          <w:spacing w:val="10"/>
          <w:sz w:val="21"/>
          <w:szCs w:val="21"/>
          <w:highlight w:val="none"/>
          <w:lang w:eastAsia="zh-CN"/>
        </w:rPr>
        <w:t>生产的</w:t>
      </w:r>
      <w:r>
        <w:rPr>
          <w:rFonts w:hint="eastAsia" w:ascii="宋体" w:hAnsi="宋体" w:eastAsia="宋体" w:cs="宋体"/>
          <w:b/>
          <w:color w:val="auto"/>
          <w:sz w:val="21"/>
          <w:szCs w:val="21"/>
          <w:highlight w:val="none"/>
        </w:rPr>
        <w:t>，则不需要提供《中小企业声明函》。否则，因此导致虚假投标的后果由投标人自行承担。）</w:t>
      </w:r>
    </w:p>
    <w:bookmarkEnd w:id="288"/>
    <w:p>
      <w:pPr>
        <w:pStyle w:val="30"/>
        <w:wordWrap w:val="0"/>
        <w:spacing w:beforeAutospacing="0" w:afterAutospacing="0" w:line="540" w:lineRule="exact"/>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本公司（联合体）郑重声明，</w:t>
      </w:r>
      <w:bookmarkStart w:id="289" w:name="_Hlk484015033"/>
      <w:r>
        <w:rPr>
          <w:rFonts w:hint="eastAsia" w:ascii="宋体" w:hAnsi="宋体" w:eastAsia="宋体" w:cs="宋体"/>
          <w:kern w:val="2"/>
          <w:sz w:val="21"/>
          <w:szCs w:val="21"/>
          <w:highlight w:val="none"/>
        </w:rPr>
        <w:t>根据《政府采购促进中小企业发展管理办法》（财库[2020]46号）</w:t>
      </w:r>
      <w:bookmarkEnd w:id="289"/>
      <w:r>
        <w:rPr>
          <w:rFonts w:hint="eastAsia" w:ascii="宋体" w:hAnsi="宋体" w:eastAsia="宋体" w:cs="宋体"/>
          <w:kern w:val="2"/>
          <w:sz w:val="21"/>
          <w:szCs w:val="21"/>
          <w:highlight w:val="none"/>
        </w:rPr>
        <w:t>的规定，本公司（联合体）参加</w:t>
      </w:r>
      <w:r>
        <w:rPr>
          <w:rFonts w:hint="eastAsia" w:ascii="宋体" w:hAnsi="宋体" w:eastAsia="宋体" w:cs="宋体"/>
          <w:kern w:val="2"/>
          <w:sz w:val="21"/>
          <w:szCs w:val="21"/>
          <w:highlight w:val="none"/>
          <w:u w:val="single"/>
        </w:rPr>
        <w:t xml:space="preserve"> （单位名称）  </w:t>
      </w:r>
      <w:r>
        <w:rPr>
          <w:rFonts w:hint="eastAsia" w:ascii="宋体" w:hAnsi="宋体" w:eastAsia="宋体" w:cs="宋体"/>
          <w:kern w:val="2"/>
          <w:sz w:val="21"/>
          <w:szCs w:val="21"/>
          <w:highlight w:val="none"/>
        </w:rPr>
        <w:t>的</w:t>
      </w:r>
      <w:r>
        <w:rPr>
          <w:rFonts w:hint="eastAsia" w:ascii="宋体" w:hAnsi="宋体" w:eastAsia="宋体" w:cs="宋体"/>
          <w:kern w:val="2"/>
          <w:sz w:val="21"/>
          <w:szCs w:val="21"/>
          <w:highlight w:val="none"/>
          <w:u w:val="single"/>
        </w:rPr>
        <w:t>（项目名称）</w:t>
      </w:r>
      <w:r>
        <w:rPr>
          <w:rFonts w:hint="eastAsia" w:ascii="宋体" w:hAnsi="宋体" w:eastAsia="宋体" w:cs="宋体"/>
          <w:kern w:val="2"/>
          <w:sz w:val="21"/>
          <w:szCs w:val="21"/>
          <w:highlight w:val="none"/>
        </w:rPr>
        <w:t>采购活动，提供的货物全部由符合政策要求的中小企业制造。相关企业（含联合体中的中小企业、签订分包意向协议的中小企业）的具体情况如下：</w:t>
      </w:r>
    </w:p>
    <w:p>
      <w:pPr>
        <w:pStyle w:val="30"/>
        <w:wordWrap w:val="0"/>
        <w:spacing w:beforeAutospacing="0" w:afterAutospacing="0" w:line="540" w:lineRule="exact"/>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r>
        <w:rPr>
          <w:rFonts w:hint="eastAsia" w:ascii="宋体" w:hAnsi="宋体" w:eastAsia="宋体" w:cs="宋体"/>
          <w:kern w:val="2"/>
          <w:sz w:val="21"/>
          <w:szCs w:val="21"/>
          <w:highlight w:val="none"/>
          <w:u w:val="single"/>
        </w:rPr>
        <w:t>（标的名称）</w:t>
      </w:r>
      <w:r>
        <w:rPr>
          <w:rFonts w:hint="eastAsia" w:ascii="宋体" w:hAnsi="宋体" w:eastAsia="宋体" w:cs="宋体"/>
          <w:kern w:val="2"/>
          <w:sz w:val="21"/>
          <w:szCs w:val="21"/>
          <w:highlight w:val="none"/>
        </w:rPr>
        <w:t>，属于</w:t>
      </w:r>
      <w:r>
        <w:rPr>
          <w:rFonts w:hint="eastAsia" w:ascii="宋体" w:hAnsi="宋体" w:eastAsia="宋体" w:cs="宋体"/>
          <w:kern w:val="2"/>
          <w:sz w:val="21"/>
          <w:szCs w:val="21"/>
          <w:highlight w:val="none"/>
          <w:u w:val="single"/>
        </w:rPr>
        <w:t>（采购文件中明确的所属行业）行业</w:t>
      </w:r>
      <w:r>
        <w:rPr>
          <w:rFonts w:hint="eastAsia" w:ascii="宋体" w:hAnsi="宋体" w:eastAsia="宋体" w:cs="宋体"/>
          <w:kern w:val="2"/>
          <w:sz w:val="21"/>
          <w:szCs w:val="21"/>
          <w:highlight w:val="none"/>
        </w:rPr>
        <w:t>；制造商为</w:t>
      </w:r>
      <w:r>
        <w:rPr>
          <w:rFonts w:hint="eastAsia" w:ascii="宋体" w:hAnsi="宋体" w:eastAsia="宋体" w:cs="宋体"/>
          <w:kern w:val="2"/>
          <w:sz w:val="21"/>
          <w:szCs w:val="21"/>
          <w:highlight w:val="none"/>
          <w:u w:val="single"/>
        </w:rPr>
        <w:t>（投标供应商名称）</w:t>
      </w:r>
      <w:r>
        <w:rPr>
          <w:rFonts w:hint="eastAsia" w:ascii="宋体" w:hAnsi="宋体" w:eastAsia="宋体" w:cs="宋体"/>
          <w:kern w:val="2"/>
          <w:sz w:val="21"/>
          <w:szCs w:val="21"/>
          <w:highlight w:val="none"/>
        </w:rPr>
        <w:t>，从业人员</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人，营业收入为</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万元，资产总额为</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万元</w:t>
      </w:r>
      <w:r>
        <w:rPr>
          <w:rFonts w:hint="eastAsia" w:ascii="宋体" w:hAnsi="宋体" w:eastAsia="宋体" w:cs="宋体"/>
          <w:kern w:val="2"/>
          <w:sz w:val="21"/>
          <w:szCs w:val="21"/>
          <w:highlight w:val="none"/>
          <w:vertAlign w:val="superscript"/>
        </w:rPr>
        <w:t>1</w:t>
      </w:r>
      <w:r>
        <w:rPr>
          <w:rFonts w:hint="eastAsia" w:ascii="宋体" w:hAnsi="宋体" w:eastAsia="宋体" w:cs="宋体"/>
          <w:kern w:val="2"/>
          <w:sz w:val="21"/>
          <w:szCs w:val="21"/>
          <w:highlight w:val="none"/>
        </w:rPr>
        <w:t>，属于</w:t>
      </w:r>
      <w:r>
        <w:rPr>
          <w:rFonts w:hint="eastAsia" w:ascii="宋体" w:hAnsi="宋体" w:eastAsia="宋体" w:cs="宋体"/>
          <w:kern w:val="2"/>
          <w:sz w:val="21"/>
          <w:szCs w:val="21"/>
          <w:highlight w:val="none"/>
          <w:u w:val="single"/>
        </w:rPr>
        <w:t>（中型企业、小型企业、微型企业）</w:t>
      </w:r>
      <w:r>
        <w:rPr>
          <w:rFonts w:hint="eastAsia" w:ascii="宋体" w:hAnsi="宋体" w:eastAsia="宋体" w:cs="宋体"/>
          <w:kern w:val="2"/>
          <w:sz w:val="21"/>
          <w:szCs w:val="21"/>
          <w:highlight w:val="none"/>
        </w:rPr>
        <w:t>；</w:t>
      </w:r>
    </w:p>
    <w:p>
      <w:pPr>
        <w:pStyle w:val="30"/>
        <w:wordWrap w:val="0"/>
        <w:spacing w:beforeAutospacing="0" w:afterAutospacing="0" w:line="540" w:lineRule="exact"/>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r>
        <w:rPr>
          <w:rFonts w:hint="eastAsia" w:ascii="宋体" w:hAnsi="宋体" w:eastAsia="宋体" w:cs="宋体"/>
          <w:kern w:val="2"/>
          <w:sz w:val="21"/>
          <w:szCs w:val="21"/>
          <w:highlight w:val="none"/>
          <w:u w:val="single"/>
        </w:rPr>
        <w:t>（标的名称）</w:t>
      </w:r>
      <w:r>
        <w:rPr>
          <w:rFonts w:hint="eastAsia" w:ascii="宋体" w:hAnsi="宋体" w:eastAsia="宋体" w:cs="宋体"/>
          <w:kern w:val="2"/>
          <w:sz w:val="21"/>
          <w:szCs w:val="21"/>
          <w:highlight w:val="none"/>
        </w:rPr>
        <w:t>，属于</w:t>
      </w:r>
      <w:r>
        <w:rPr>
          <w:rFonts w:hint="eastAsia" w:ascii="宋体" w:hAnsi="宋体" w:eastAsia="宋体" w:cs="宋体"/>
          <w:kern w:val="2"/>
          <w:sz w:val="21"/>
          <w:szCs w:val="21"/>
          <w:highlight w:val="none"/>
          <w:u w:val="single"/>
        </w:rPr>
        <w:t>（采购文件中明确的所属行业）行业</w:t>
      </w:r>
      <w:r>
        <w:rPr>
          <w:rFonts w:hint="eastAsia" w:ascii="宋体" w:hAnsi="宋体" w:eastAsia="宋体" w:cs="宋体"/>
          <w:kern w:val="2"/>
          <w:sz w:val="21"/>
          <w:szCs w:val="21"/>
          <w:highlight w:val="none"/>
        </w:rPr>
        <w:t>；制造商为</w:t>
      </w:r>
      <w:r>
        <w:rPr>
          <w:rFonts w:hint="eastAsia" w:ascii="宋体" w:hAnsi="宋体" w:eastAsia="宋体" w:cs="宋体"/>
          <w:kern w:val="2"/>
          <w:sz w:val="21"/>
          <w:szCs w:val="21"/>
          <w:highlight w:val="none"/>
          <w:u w:val="single"/>
        </w:rPr>
        <w:t>（投标供应商名称）</w:t>
      </w:r>
      <w:r>
        <w:rPr>
          <w:rFonts w:hint="eastAsia" w:ascii="宋体" w:hAnsi="宋体" w:eastAsia="宋体" w:cs="宋体"/>
          <w:kern w:val="2"/>
          <w:sz w:val="21"/>
          <w:szCs w:val="21"/>
          <w:highlight w:val="none"/>
        </w:rPr>
        <w:t>，从业人员</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人，营业收入为</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万元，资产总额为</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万元，属于</w:t>
      </w:r>
      <w:r>
        <w:rPr>
          <w:rFonts w:hint="eastAsia" w:ascii="宋体" w:hAnsi="宋体" w:eastAsia="宋体" w:cs="宋体"/>
          <w:kern w:val="2"/>
          <w:sz w:val="21"/>
          <w:szCs w:val="21"/>
          <w:highlight w:val="none"/>
          <w:u w:val="single"/>
        </w:rPr>
        <w:t>（中型企业、小型企业、微型企业）</w:t>
      </w:r>
      <w:r>
        <w:rPr>
          <w:rFonts w:hint="eastAsia" w:ascii="宋体" w:hAnsi="宋体" w:eastAsia="宋体" w:cs="宋体"/>
          <w:kern w:val="2"/>
          <w:sz w:val="21"/>
          <w:szCs w:val="21"/>
          <w:highlight w:val="none"/>
        </w:rPr>
        <w:t>；</w:t>
      </w:r>
    </w:p>
    <w:p>
      <w:pPr>
        <w:pStyle w:val="30"/>
        <w:wordWrap w:val="0"/>
        <w:spacing w:beforeAutospacing="0" w:afterAutospacing="0" w:line="540" w:lineRule="exact"/>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以上企业，不属于大企业的分支机构，不存在控股股东为大企业的情形，也不存在与大型企业负责人为同一人的情形。</w:t>
      </w:r>
    </w:p>
    <w:p>
      <w:pPr>
        <w:pStyle w:val="30"/>
        <w:wordWrap w:val="0"/>
        <w:spacing w:beforeAutospacing="0" w:afterAutospacing="0" w:line="540" w:lineRule="exact"/>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本企业对上述声明内容的真实性负责。如有虚假，将依法承担相应责任。</w:t>
      </w:r>
    </w:p>
    <w:p>
      <w:pPr>
        <w:pStyle w:val="30"/>
        <w:wordWrap w:val="0"/>
        <w:spacing w:beforeAutospacing="0" w:afterAutospacing="0" w:line="540" w:lineRule="exact"/>
        <w:ind w:firstLine="420" w:firstLineChars="20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                 投标供应商名称（盖章）：</w:t>
      </w:r>
    </w:p>
    <w:p>
      <w:pPr>
        <w:pStyle w:val="30"/>
        <w:wordWrap w:val="0"/>
        <w:spacing w:beforeAutospacing="0" w:afterAutospacing="0" w:line="540" w:lineRule="exact"/>
        <w:ind w:firstLine="420" w:firstLineChars="20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日 期：</w:t>
      </w:r>
    </w:p>
    <w:bookmarkEnd w:id="285"/>
    <w:bookmarkEnd w:id="286"/>
    <w:bookmarkEnd w:id="287"/>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p>
      <w:pPr>
        <w:numPr>
          <w:ilvl w:val="0"/>
          <w:numId w:val="14"/>
        </w:num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从业人员、营业收入、资产总额填报上一年度数据，无上一年度数据的新企业可不填报。</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bCs/>
          <w:sz w:val="21"/>
          <w:szCs w:val="21"/>
          <w:highlight w:val="none"/>
        </w:rPr>
        <w:t>中标人如为小型和微型企业的，随中标结果公开中标人的《中小企业声明函》。</w:t>
      </w:r>
      <w:r>
        <w:rPr>
          <w:rFonts w:hint="eastAsia" w:ascii="宋体" w:hAnsi="宋体" w:eastAsia="宋体" w:cs="宋体"/>
          <w:sz w:val="21"/>
          <w:szCs w:val="21"/>
          <w:highlight w:val="none"/>
        </w:rPr>
        <w:t>投标供应商提供声明函内容不实的，属于提供虚假材料谋取中标。</w:t>
      </w:r>
    </w:p>
    <w:p>
      <w:pPr>
        <w:pStyle w:val="72"/>
        <w:spacing w:line="400" w:lineRule="exact"/>
        <w:ind w:firstLine="0" w:firstLineChars="0"/>
        <w:rPr>
          <w:rFonts w:hint="eastAsia" w:ascii="宋体" w:hAnsi="宋体" w:eastAsia="宋体" w:cs="宋体"/>
          <w:bCs/>
          <w:sz w:val="21"/>
          <w:szCs w:val="21"/>
          <w:highlight w:val="none"/>
        </w:rPr>
      </w:pPr>
      <w:r>
        <w:rPr>
          <w:rFonts w:hint="eastAsia" w:ascii="宋体" w:hAnsi="宋体" w:eastAsia="宋体" w:cs="宋体"/>
          <w:sz w:val="21"/>
          <w:szCs w:val="21"/>
          <w:highlight w:val="none"/>
        </w:rPr>
        <w:t>3、</w:t>
      </w:r>
      <w:r>
        <w:rPr>
          <w:rFonts w:hint="eastAsia" w:ascii="宋体" w:hAnsi="宋体" w:eastAsia="宋体" w:cs="宋体"/>
          <w:bCs/>
          <w:sz w:val="21"/>
          <w:szCs w:val="21"/>
          <w:highlight w:val="none"/>
        </w:rPr>
        <w:t>投标供应商提供的货物既有中小企业制造货物，也有大型企业制造货物的，不享受《政府采购促进中小企业发展管理办法》(财库[2020]46 号)规定的中小企业扶持政策。依据《政府采购促进中小企业发展管理办法》(财库[2020]46 号)规定享受扶持政策获得政府采购合同的，小微企业不得将合同分包给大中型企业，中型企业不得将合同分包给大型企业。</w:t>
      </w:r>
    </w:p>
    <w:p>
      <w:pPr>
        <w:pStyle w:val="32"/>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bCs/>
          <w:sz w:val="21"/>
          <w:szCs w:val="21"/>
          <w:highlight w:val="none"/>
        </w:rPr>
        <w:t>本次采购标的对应的中小企业划分标准所属行业均为</w:t>
      </w:r>
      <w:r>
        <w:rPr>
          <w:rFonts w:hint="eastAsia" w:ascii="宋体" w:hAnsi="宋体" w:eastAsia="宋体" w:cs="宋体"/>
          <w:bCs/>
          <w:color w:val="auto"/>
          <w:sz w:val="21"/>
          <w:szCs w:val="21"/>
          <w:highlight w:val="none"/>
        </w:rPr>
        <w:t>工业</w:t>
      </w:r>
      <w:r>
        <w:rPr>
          <w:rFonts w:hint="eastAsia" w:ascii="宋体" w:hAnsi="宋体" w:eastAsia="宋体" w:cs="宋体"/>
          <w:bCs/>
          <w:sz w:val="21"/>
          <w:szCs w:val="21"/>
          <w:highlight w:val="none"/>
        </w:rPr>
        <w:t>。</w:t>
      </w:r>
    </w:p>
    <w:p>
      <w:pPr>
        <w:spacing w:line="460" w:lineRule="exact"/>
        <w:rPr>
          <w:rFonts w:hint="eastAsia" w:ascii="宋体" w:hAnsi="宋体" w:eastAsia="宋体" w:cs="宋体"/>
          <w:sz w:val="21"/>
          <w:szCs w:val="21"/>
          <w:highlight w:val="none"/>
        </w:rPr>
        <w:sectPr>
          <w:pgSz w:w="11910" w:h="16840"/>
          <w:pgMar w:top="1520" w:right="1380" w:bottom="1380" w:left="1580" w:header="1135" w:footer="841" w:gutter="0"/>
          <w:pgBorders>
            <w:top w:val="none" w:sz="0" w:space="0"/>
            <w:left w:val="none" w:sz="0" w:space="0"/>
            <w:bottom w:val="none" w:sz="0" w:space="0"/>
            <w:right w:val="none" w:sz="0" w:space="0"/>
          </w:pgBorders>
          <w:pgNumType w:fmt="decimal"/>
          <w:cols w:space="720" w:num="1"/>
        </w:sectPr>
      </w:pPr>
    </w:p>
    <w:p>
      <w:pPr>
        <w:numPr>
          <w:ilvl w:val="0"/>
          <w:numId w:val="0"/>
        </w:numPr>
        <w:jc w:val="center"/>
        <w:outlineLvl w:val="1"/>
        <w:rPr>
          <w:rFonts w:hint="eastAsia" w:ascii="宋体" w:hAnsi="宋体" w:eastAsia="宋体" w:cs="宋体"/>
          <w:b/>
          <w:sz w:val="21"/>
          <w:szCs w:val="21"/>
          <w:highlight w:val="none"/>
        </w:rPr>
      </w:pP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二</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残疾人福利企业</w:t>
      </w:r>
    </w:p>
    <w:p>
      <w:pPr>
        <w:spacing w:line="360" w:lineRule="auto"/>
        <w:rPr>
          <w:rFonts w:hint="eastAsia" w:ascii="宋体" w:hAnsi="宋体" w:eastAsia="宋体" w:cs="宋体"/>
          <w:b/>
          <w:color w:val="auto"/>
          <w:sz w:val="21"/>
          <w:szCs w:val="21"/>
          <w:highlight w:val="none"/>
        </w:rPr>
      </w:pPr>
      <w:bookmarkStart w:id="290" w:name="_Hlk84944905"/>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（提醒：如果投标人</w:t>
      </w:r>
      <w:r>
        <w:rPr>
          <w:rFonts w:hint="eastAsia" w:ascii="宋体" w:hAnsi="宋体" w:eastAsia="宋体" w:cs="宋体"/>
          <w:b/>
          <w:color w:val="auto"/>
          <w:spacing w:val="10"/>
          <w:sz w:val="21"/>
          <w:szCs w:val="21"/>
          <w:highlight w:val="none"/>
        </w:rPr>
        <w:t>不是残疾人福利性单位</w:t>
      </w:r>
      <w:r>
        <w:rPr>
          <w:rFonts w:hint="eastAsia" w:ascii="宋体" w:hAnsi="宋体" w:eastAsia="宋体" w:cs="宋体"/>
          <w:b/>
          <w:color w:val="auto"/>
          <w:sz w:val="21"/>
          <w:szCs w:val="21"/>
          <w:highlight w:val="none"/>
        </w:rPr>
        <w:t>，则不需要提供《残疾人福利性单位声明函》。否则，因此导致虚假投标的后果由投标人自行承担。）</w:t>
      </w:r>
    </w:p>
    <w:bookmarkEnd w:id="290"/>
    <w:p>
      <w:pPr>
        <w:pStyle w:val="11"/>
        <w:spacing w:line="360" w:lineRule="auto"/>
        <w:rPr>
          <w:rFonts w:hint="eastAsia" w:ascii="宋体" w:hAnsi="宋体" w:eastAsia="宋体" w:cs="宋体"/>
          <w:sz w:val="21"/>
          <w:szCs w:val="21"/>
          <w:highlight w:val="none"/>
        </w:rPr>
      </w:pPr>
    </w:p>
    <w:p>
      <w:pPr>
        <w:spacing w:line="360" w:lineRule="auto"/>
        <w:ind w:firstLine="444"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本单位郑重声明，根据《财政部民政部中国残疾人联合会关于促进残疾人就业政府采购政策的通知》（财库</w:t>
      </w:r>
      <w:r>
        <w:rPr>
          <w:rFonts w:hint="eastAsia" w:ascii="宋体" w:hAnsi="宋体" w:eastAsia="宋体" w:cs="宋体"/>
          <w:sz w:val="21"/>
          <w:szCs w:val="21"/>
          <w:highlight w:val="none"/>
        </w:rPr>
        <w:t>〔2017〕141</w:t>
      </w:r>
      <w:r>
        <w:rPr>
          <w:rFonts w:hint="eastAsia" w:ascii="宋体" w:hAnsi="宋体" w:eastAsia="宋体" w:cs="宋体"/>
          <w:spacing w:val="6"/>
          <w:sz w:val="21"/>
          <w:szCs w:val="21"/>
          <w:highlight w:val="none"/>
        </w:rPr>
        <w:t>号）的规定，本单位为符合条件的残疾人福利性单位，且本单位参加</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单位的</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项目采购活动提供本单位制造的货物</w:t>
      </w:r>
      <w:r>
        <w:rPr>
          <w:rFonts w:hint="eastAsia" w:ascii="宋体" w:hAnsi="宋体" w:eastAsia="宋体" w:cs="宋体"/>
          <w:spacing w:val="6"/>
          <w:sz w:val="21"/>
          <w:szCs w:val="21"/>
          <w:highlight w:val="none"/>
          <w:u w:val="single"/>
        </w:rPr>
        <w:t>（由本单位承担工程/提供服务）</w:t>
      </w:r>
      <w:r>
        <w:rPr>
          <w:rFonts w:hint="eastAsia" w:ascii="宋体" w:hAnsi="宋体" w:eastAsia="宋体" w:cs="宋体"/>
          <w:spacing w:val="6"/>
          <w:sz w:val="21"/>
          <w:szCs w:val="21"/>
          <w:highlight w:val="none"/>
        </w:rPr>
        <w:t>，或者提供其他残疾人福利性单位制造的货物</w:t>
      </w:r>
      <w:r>
        <w:rPr>
          <w:rFonts w:hint="eastAsia" w:ascii="宋体" w:hAnsi="宋体" w:eastAsia="宋体" w:cs="宋体"/>
          <w:spacing w:val="6"/>
          <w:sz w:val="21"/>
          <w:szCs w:val="21"/>
          <w:highlight w:val="none"/>
          <w:u w:val="single"/>
        </w:rPr>
        <w:t>（不包括使用非残疾人福利性单位注册商标的货物）</w:t>
      </w:r>
      <w:r>
        <w:rPr>
          <w:rFonts w:hint="eastAsia" w:ascii="宋体" w:hAnsi="宋体" w:eastAsia="宋体" w:cs="宋体"/>
          <w:spacing w:val="6"/>
          <w:sz w:val="21"/>
          <w:szCs w:val="21"/>
          <w:highlight w:val="none"/>
        </w:rPr>
        <w:t>。</w:t>
      </w:r>
    </w:p>
    <w:p>
      <w:pPr>
        <w:spacing w:line="360" w:lineRule="auto"/>
        <w:ind w:firstLine="444"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本单位对上述声明的真实性负责。如有虚假，将依法承担相应责任。</w:t>
      </w:r>
    </w:p>
    <w:p>
      <w:pPr>
        <w:spacing w:line="360" w:lineRule="auto"/>
        <w:ind w:firstLine="444" w:firstLineChars="200"/>
        <w:rPr>
          <w:rFonts w:hint="eastAsia" w:ascii="宋体" w:hAnsi="宋体" w:eastAsia="宋体" w:cs="宋体"/>
          <w:spacing w:val="6"/>
          <w:sz w:val="21"/>
          <w:szCs w:val="21"/>
          <w:highlight w:val="none"/>
        </w:rPr>
      </w:pPr>
    </w:p>
    <w:p>
      <w:pPr>
        <w:tabs>
          <w:tab w:val="left" w:pos="4860"/>
        </w:tabs>
        <w:spacing w:line="360" w:lineRule="auto"/>
        <w:ind w:right="1560" w:firstLine="444" w:firstLineChars="200"/>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 xml:space="preserve">              </w:t>
      </w:r>
      <w:r>
        <w:rPr>
          <w:rFonts w:hint="eastAsia" w:ascii="宋体" w:hAnsi="宋体" w:eastAsia="宋体" w:cs="宋体"/>
          <w:kern w:val="2"/>
          <w:sz w:val="21"/>
          <w:szCs w:val="21"/>
          <w:highlight w:val="none"/>
        </w:rPr>
        <w:t xml:space="preserve"> 投标供应商名称</w:t>
      </w:r>
      <w:r>
        <w:rPr>
          <w:rFonts w:hint="eastAsia" w:ascii="宋体" w:hAnsi="宋体" w:eastAsia="宋体" w:cs="宋体"/>
          <w:spacing w:val="6"/>
          <w:sz w:val="21"/>
          <w:szCs w:val="21"/>
          <w:highlight w:val="none"/>
        </w:rPr>
        <w:t>（盖章）：</w:t>
      </w:r>
    </w:p>
    <w:p>
      <w:pPr>
        <w:tabs>
          <w:tab w:val="left" w:pos="4860"/>
        </w:tabs>
        <w:spacing w:line="360" w:lineRule="auto"/>
        <w:ind w:right="1560" w:firstLine="444" w:firstLineChars="200"/>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 xml:space="preserve"> 日  期：</w:t>
      </w:r>
    </w:p>
    <w:p>
      <w:pPr>
        <w:tabs>
          <w:tab w:val="left" w:pos="840"/>
        </w:tabs>
        <w:autoSpaceDE w:val="0"/>
        <w:autoSpaceDN w:val="0"/>
        <w:adjustRightInd w:val="0"/>
        <w:spacing w:line="360" w:lineRule="auto"/>
        <w:jc w:val="center"/>
        <w:rPr>
          <w:rFonts w:hint="eastAsia" w:ascii="宋体" w:hAnsi="宋体" w:eastAsia="宋体" w:cs="宋体"/>
          <w:b/>
          <w:sz w:val="21"/>
          <w:szCs w:val="21"/>
          <w:highlight w:val="none"/>
        </w:rPr>
      </w:pP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《财政部民政部中国残疾人联合会关于促进残疾人就业政府采购政策的通知》（财库（2017〔141〕号）的规定：</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 享受政府采购支持政策的残疾人福利性单位应当同时满足以下条件：</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（1）安置的残疾人占本单位在职职工人数的比例不低于25%（含25%），并且安置的残疾人人数不少于10人（含10人）；</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（2）依法与安置的每位残疾人签订了一年以上（含一年）的劳动合同或服务协议；</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（3）为安置的每位残疾人按月足额缴纳了基本养老保险、基本医疗保险、失业保险、工伤保险和生育保险等社会保险费；</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（4）通过银行等金融机构向安置的每位残疾人，按月支付了不低于单位所在区县适用的经省级人民政府批准的月最低工资标准的工资；</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（5）提供本单位制造的货物、承担的工程或者服务（以下简称产品），或者提供其他残疾人福利性单位制造的货物（不包括使用非残疾人福利性单位注册商标的货物）。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 中标人为残疾人福利性单位的，采购人或者其委托的</w:t>
      </w:r>
      <w:r>
        <w:rPr>
          <w:rFonts w:hint="eastAsia" w:ascii="宋体" w:hAnsi="宋体" w:eastAsia="宋体" w:cs="宋体"/>
          <w:sz w:val="21"/>
          <w:szCs w:val="21"/>
          <w:highlight w:val="none"/>
          <w:lang w:eastAsia="zh-CN"/>
        </w:rPr>
        <w:t>采购代理机构</w:t>
      </w:r>
      <w:r>
        <w:rPr>
          <w:rFonts w:hint="eastAsia" w:ascii="宋体" w:hAnsi="宋体" w:eastAsia="宋体" w:cs="宋体"/>
          <w:sz w:val="21"/>
          <w:szCs w:val="21"/>
          <w:highlight w:val="none"/>
        </w:rPr>
        <w:t>应当随中标、成交结果同时公告其《残疾人福利性单位声明函》，接受社会监督。</w:t>
      </w: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3、残疾人福利性单位属于小型、微型企业的，不重复享受政策。</w:t>
      </w:r>
    </w:p>
    <w:p>
      <w:pPr>
        <w:pStyle w:val="3"/>
        <w:spacing w:before="120" w:after="120" w:line="240" w:lineRule="auto"/>
        <w:jc w:val="center"/>
        <w:outlineLvl w:val="1"/>
        <w:rPr>
          <w:rFonts w:hint="eastAsia" w:ascii="宋体" w:hAnsi="宋体" w:eastAsia="宋体" w:cs="宋体"/>
          <w:sz w:val="21"/>
          <w:szCs w:val="21"/>
          <w:highlight w:val="none"/>
        </w:rPr>
      </w:pPr>
      <w:r>
        <w:rPr>
          <w:rFonts w:hint="eastAsia" w:ascii="宋体" w:hAnsi="宋体" w:eastAsia="宋体" w:cs="宋体"/>
          <w:color w:val="FF0000"/>
          <w:highlight w:val="none"/>
        </w:rPr>
        <w:br w:type="page"/>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）监狱企业证明文件</w:t>
      </w:r>
    </w:p>
    <w:p>
      <w:pPr>
        <w:spacing w:line="360" w:lineRule="auto"/>
        <w:rPr>
          <w:rFonts w:hint="eastAsia" w:ascii="宋体" w:hAnsi="宋体" w:eastAsia="宋体" w:cs="宋体"/>
          <w:b/>
          <w:color w:val="auto"/>
          <w:sz w:val="21"/>
          <w:szCs w:val="21"/>
          <w:highlight w:val="none"/>
        </w:rPr>
      </w:pPr>
      <w:bookmarkStart w:id="291" w:name="_Hlk84944920"/>
      <w:r>
        <w:rPr>
          <w:rFonts w:hint="eastAsia" w:ascii="宋体" w:hAnsi="宋体" w:eastAsia="宋体" w:cs="宋体"/>
          <w:b/>
          <w:color w:val="auto"/>
          <w:sz w:val="21"/>
          <w:szCs w:val="21"/>
          <w:highlight w:val="none"/>
        </w:rPr>
        <w:t>（提醒：如果投标人</w:t>
      </w:r>
      <w:r>
        <w:rPr>
          <w:rFonts w:hint="eastAsia" w:ascii="宋体" w:hAnsi="宋体" w:eastAsia="宋体" w:cs="宋体"/>
          <w:b/>
          <w:color w:val="auto"/>
          <w:spacing w:val="10"/>
          <w:sz w:val="21"/>
          <w:szCs w:val="21"/>
          <w:highlight w:val="none"/>
        </w:rPr>
        <w:t>不是监狱企业</w:t>
      </w:r>
      <w:r>
        <w:rPr>
          <w:rFonts w:hint="eastAsia" w:ascii="宋体" w:hAnsi="宋体" w:eastAsia="宋体" w:cs="宋体"/>
          <w:b/>
          <w:color w:val="auto"/>
          <w:sz w:val="21"/>
          <w:szCs w:val="21"/>
          <w:highlight w:val="none"/>
        </w:rPr>
        <w:t>，则不需要提供《监狱企业证明文件》。否则，因此导致虚假投标的后果由投标人自行承担。）</w:t>
      </w:r>
    </w:p>
    <w:bookmarkEnd w:id="291"/>
    <w:p>
      <w:pPr>
        <w:rPr>
          <w:rFonts w:hint="eastAsia" w:ascii="宋体" w:hAnsi="宋体" w:eastAsia="宋体" w:cs="宋体"/>
          <w:sz w:val="21"/>
          <w:szCs w:val="21"/>
          <w:highlight w:val="none"/>
        </w:rPr>
      </w:pPr>
    </w:p>
    <w:p>
      <w:pPr>
        <w:spacing w:line="460" w:lineRule="exact"/>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监狱企业参加政府采购活动时，应当提供由省级以上监狱管理局、戒毒管理局（含新疆生产建设兵团）出具的属于监狱企业的证明文件，视同小型、微型企业，享受评审中价格扣除等政府采购促进中小企业发展的政府采购政策。</w:t>
      </w:r>
    </w:p>
    <w:p>
      <w:pPr>
        <w:spacing w:line="460" w:lineRule="exact"/>
        <w:ind w:firstLine="630" w:firstLineChars="300"/>
        <w:rPr>
          <w:rFonts w:hint="eastAsia" w:ascii="宋体" w:hAnsi="宋体" w:eastAsia="宋体" w:cs="宋体"/>
          <w:sz w:val="21"/>
          <w:szCs w:val="21"/>
          <w:highlight w:val="none"/>
        </w:rPr>
      </w:pPr>
    </w:p>
    <w:p>
      <w:pPr>
        <w:pStyle w:val="11"/>
        <w:spacing w:line="360" w:lineRule="auto"/>
        <w:ind w:firstLine="3570" w:firstLineChars="1700"/>
        <w:rPr>
          <w:rFonts w:hint="eastAsia" w:ascii="宋体" w:hAnsi="宋体" w:eastAsia="宋体" w:cs="宋体"/>
          <w:sz w:val="21"/>
          <w:szCs w:val="21"/>
          <w:highlight w:val="none"/>
        </w:rPr>
      </w:pPr>
      <w:r>
        <w:rPr>
          <w:rFonts w:hint="eastAsia" w:ascii="宋体" w:hAnsi="宋体" w:eastAsia="宋体" w:cs="宋体"/>
          <w:sz w:val="21"/>
          <w:szCs w:val="21"/>
          <w:highlight w:val="none"/>
        </w:rPr>
        <w:t>投标供应商（公章）：</w:t>
      </w:r>
    </w:p>
    <w:p>
      <w:pPr>
        <w:spacing w:line="460" w:lineRule="exact"/>
        <w:ind w:firstLine="5040" w:firstLineChars="2400"/>
        <w:rPr>
          <w:rFonts w:hint="eastAsia" w:ascii="宋体" w:hAnsi="宋体" w:eastAsia="宋体" w:cs="宋体"/>
          <w:sz w:val="21"/>
          <w:szCs w:val="21"/>
          <w:highlight w:val="none"/>
        </w:rPr>
      </w:pPr>
      <w:r>
        <w:rPr>
          <w:rFonts w:hint="eastAsia" w:ascii="宋体" w:hAnsi="宋体" w:eastAsia="宋体" w:cs="宋体"/>
          <w:sz w:val="21"/>
          <w:szCs w:val="21"/>
          <w:highlight w:val="none"/>
        </w:rPr>
        <w:t>日   期：</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备注： </w:t>
      </w:r>
    </w:p>
    <w:p>
      <w:pPr>
        <w:spacing w:line="360" w:lineRule="auto"/>
        <w:rPr>
          <w:rFonts w:hint="eastAsia" w:ascii="宋体" w:hAnsi="宋体" w:eastAsia="宋体" w:cs="宋体"/>
          <w:sz w:val="21"/>
          <w:szCs w:val="21"/>
          <w:highlight w:val="none"/>
        </w:rPr>
      </w:pPr>
    </w:p>
    <w:p>
      <w:pPr>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1、监狱企业属于小型、微型企业的，不重复享受政策。</w:t>
      </w:r>
    </w:p>
    <w:p>
      <w:pPr>
        <w:pStyle w:val="11"/>
        <w:spacing w:line="360" w:lineRule="auto"/>
        <w:rPr>
          <w:rFonts w:hint="eastAsia" w:ascii="宋体" w:hAnsi="宋体" w:eastAsia="宋体" w:cs="宋体"/>
          <w:sz w:val="21"/>
          <w:szCs w:val="21"/>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eastAsia" w:ascii="宋体" w:hAnsi="宋体" w:eastAsia="宋体" w:cs="宋体"/>
          <w:b/>
          <w:sz w:val="28"/>
          <w:szCs w:val="28"/>
          <w:highlight w:val="none"/>
        </w:rPr>
      </w:pPr>
      <w:bookmarkStart w:id="292" w:name="_Toc2876"/>
    </w:p>
    <w:p>
      <w:pPr>
        <w:spacing w:line="360" w:lineRule="auto"/>
        <w:jc w:val="center"/>
        <w:outlineLvl w:val="1"/>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w:t>
      </w:r>
      <w:r>
        <w:rPr>
          <w:rFonts w:hint="eastAsia" w:ascii="宋体" w:hAnsi="宋体" w:eastAsia="宋体" w:cs="宋体"/>
          <w:b/>
          <w:bCs w:val="0"/>
          <w:sz w:val="24"/>
          <w:szCs w:val="24"/>
          <w:highlight w:val="none"/>
          <w:lang w:val="en-US" w:eastAsia="zh-CN"/>
        </w:rPr>
        <w:t>四</w:t>
      </w:r>
      <w:r>
        <w:rPr>
          <w:rFonts w:hint="eastAsia" w:ascii="宋体" w:hAnsi="宋体" w:eastAsia="宋体" w:cs="宋体"/>
          <w:b/>
          <w:bCs w:val="0"/>
          <w:sz w:val="24"/>
          <w:szCs w:val="24"/>
          <w:highlight w:val="none"/>
        </w:rPr>
        <w:t>）节能产品、环境标志产品明细表</w:t>
      </w:r>
      <w:bookmarkEnd w:id="292"/>
    </w:p>
    <w:p>
      <w:pPr>
        <w:pStyle w:val="11"/>
        <w:spacing w:line="360" w:lineRule="auto"/>
        <w:ind w:firstLine="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节能产品明细表</w:t>
      </w:r>
    </w:p>
    <w:p>
      <w:pPr>
        <w:pStyle w:val="11"/>
        <w:spacing w:line="360" w:lineRule="auto"/>
        <w:ind w:firstLine="0"/>
        <w:rPr>
          <w:rFonts w:hint="eastAsia" w:ascii="宋体" w:hAnsi="宋体" w:eastAsia="宋体" w:cs="宋体"/>
          <w:sz w:val="24"/>
          <w:szCs w:val="24"/>
          <w:highlight w:val="none"/>
        </w:rPr>
      </w:pPr>
    </w:p>
    <w:tbl>
      <w:tblPr>
        <w:tblStyle w:val="34"/>
        <w:tblW w:w="8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916"/>
        <w:gridCol w:w="916"/>
        <w:gridCol w:w="916"/>
        <w:gridCol w:w="917"/>
        <w:gridCol w:w="917"/>
        <w:gridCol w:w="917"/>
        <w:gridCol w:w="91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adjustRightInd w:val="0"/>
              <w:snapToGrid w:val="0"/>
              <w:jc w:val="center"/>
              <w:rPr>
                <w:rFonts w:hint="eastAsia" w:ascii="宋体" w:hAnsi="宋体" w:eastAsia="宋体" w:cs="宋体"/>
                <w:b/>
                <w:szCs w:val="21"/>
                <w:highlight w:val="none"/>
              </w:rPr>
            </w:pPr>
            <w:r>
              <w:rPr>
                <w:rFonts w:hint="eastAsia" w:ascii="宋体" w:hAnsi="宋体" w:eastAsia="宋体" w:cs="宋体"/>
                <w:szCs w:val="21"/>
                <w:highlight w:val="none"/>
              </w:rPr>
              <w:t>序号</w:t>
            </w:r>
          </w:p>
        </w:tc>
        <w:tc>
          <w:tcPr>
            <w:tcW w:w="916" w:type="dxa"/>
            <w:vAlign w:val="center"/>
          </w:tcPr>
          <w:p>
            <w:pPr>
              <w:adjustRightInd w:val="0"/>
              <w:snapToGrid w:val="0"/>
              <w:jc w:val="center"/>
              <w:rPr>
                <w:rFonts w:hint="eastAsia" w:ascii="宋体" w:hAnsi="宋体" w:eastAsia="宋体" w:cs="宋体"/>
                <w:b/>
                <w:szCs w:val="21"/>
                <w:highlight w:val="none"/>
              </w:rPr>
            </w:pPr>
            <w:r>
              <w:rPr>
                <w:rFonts w:hint="eastAsia" w:ascii="宋体" w:hAnsi="宋体" w:eastAsia="宋体" w:cs="宋体"/>
                <w:szCs w:val="21"/>
                <w:highlight w:val="none"/>
              </w:rPr>
              <w:t>设备名称</w:t>
            </w:r>
          </w:p>
        </w:tc>
        <w:tc>
          <w:tcPr>
            <w:tcW w:w="916"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品牌</w:t>
            </w:r>
          </w:p>
          <w:p>
            <w:pPr>
              <w:adjustRightInd w:val="0"/>
              <w:snapToGrid w:val="0"/>
              <w:jc w:val="center"/>
              <w:rPr>
                <w:rFonts w:hint="eastAsia" w:ascii="宋体" w:hAnsi="宋体" w:eastAsia="宋体" w:cs="宋体"/>
                <w:b/>
                <w:szCs w:val="21"/>
                <w:highlight w:val="none"/>
              </w:rPr>
            </w:pPr>
            <w:r>
              <w:rPr>
                <w:rFonts w:hint="eastAsia" w:ascii="宋体" w:hAnsi="宋体" w:eastAsia="宋体" w:cs="宋体"/>
                <w:szCs w:val="21"/>
                <w:highlight w:val="none"/>
              </w:rPr>
              <w:t>型号</w:t>
            </w:r>
          </w:p>
        </w:tc>
        <w:tc>
          <w:tcPr>
            <w:tcW w:w="916" w:type="dxa"/>
            <w:vAlign w:val="center"/>
          </w:tcPr>
          <w:p>
            <w:pPr>
              <w:adjustRightInd w:val="0"/>
              <w:snapToGrid w:val="0"/>
              <w:jc w:val="center"/>
              <w:rPr>
                <w:rFonts w:hint="eastAsia" w:ascii="宋体" w:hAnsi="宋体" w:eastAsia="宋体" w:cs="宋体"/>
                <w:b/>
                <w:szCs w:val="21"/>
                <w:highlight w:val="none"/>
              </w:rPr>
            </w:pPr>
            <w:r>
              <w:rPr>
                <w:rFonts w:hint="eastAsia" w:ascii="宋体" w:hAnsi="宋体" w:eastAsia="宋体" w:cs="宋体"/>
                <w:szCs w:val="21"/>
                <w:highlight w:val="none"/>
              </w:rPr>
              <w:t>制造商名称</w:t>
            </w:r>
          </w:p>
        </w:tc>
        <w:tc>
          <w:tcPr>
            <w:tcW w:w="917" w:type="dxa"/>
            <w:vAlign w:val="center"/>
          </w:tcPr>
          <w:p>
            <w:pPr>
              <w:adjustRightInd w:val="0"/>
              <w:snapToGrid w:val="0"/>
              <w:jc w:val="center"/>
              <w:rPr>
                <w:rFonts w:hint="eastAsia" w:ascii="宋体" w:hAnsi="宋体" w:eastAsia="宋体" w:cs="宋体"/>
                <w:b/>
                <w:szCs w:val="21"/>
                <w:highlight w:val="none"/>
              </w:rPr>
            </w:pPr>
            <w:r>
              <w:rPr>
                <w:rFonts w:hint="eastAsia" w:ascii="宋体" w:hAnsi="宋体" w:eastAsia="宋体" w:cs="宋体"/>
                <w:szCs w:val="21"/>
                <w:highlight w:val="none"/>
              </w:rPr>
              <w:t>节字标志认证证书号</w:t>
            </w:r>
          </w:p>
        </w:tc>
        <w:tc>
          <w:tcPr>
            <w:tcW w:w="917" w:type="dxa"/>
            <w:vAlign w:val="center"/>
          </w:tcPr>
          <w:p>
            <w:pPr>
              <w:adjustRightInd w:val="0"/>
              <w:snapToGrid w:val="0"/>
              <w:jc w:val="center"/>
              <w:rPr>
                <w:rFonts w:hint="eastAsia" w:ascii="宋体" w:hAnsi="宋体" w:eastAsia="宋体" w:cs="宋体"/>
                <w:b/>
                <w:szCs w:val="21"/>
                <w:highlight w:val="none"/>
              </w:rPr>
            </w:pPr>
            <w:r>
              <w:rPr>
                <w:rFonts w:hint="eastAsia" w:ascii="宋体" w:hAnsi="宋体" w:eastAsia="宋体" w:cs="宋体"/>
                <w:szCs w:val="21"/>
                <w:highlight w:val="none"/>
              </w:rPr>
              <w:t>国家节能产品认证证书有效截止日期</w:t>
            </w:r>
          </w:p>
        </w:tc>
        <w:tc>
          <w:tcPr>
            <w:tcW w:w="917" w:type="dxa"/>
            <w:vAlign w:val="center"/>
          </w:tcPr>
          <w:p>
            <w:pPr>
              <w:adjustRightInd w:val="0"/>
              <w:snapToGrid w:val="0"/>
              <w:jc w:val="center"/>
              <w:rPr>
                <w:rFonts w:hint="eastAsia" w:ascii="宋体" w:hAnsi="宋体" w:eastAsia="宋体" w:cs="宋体"/>
                <w:b/>
                <w:szCs w:val="21"/>
                <w:highlight w:val="none"/>
              </w:rPr>
            </w:pPr>
            <w:r>
              <w:rPr>
                <w:rFonts w:hint="eastAsia" w:ascii="宋体" w:hAnsi="宋体" w:eastAsia="宋体" w:cs="宋体"/>
                <w:szCs w:val="21"/>
                <w:highlight w:val="none"/>
              </w:rPr>
              <w:t>数量</w:t>
            </w:r>
          </w:p>
        </w:tc>
        <w:tc>
          <w:tcPr>
            <w:tcW w:w="917" w:type="dxa"/>
            <w:vAlign w:val="center"/>
          </w:tcPr>
          <w:p>
            <w:pPr>
              <w:adjustRightInd w:val="0"/>
              <w:snapToGrid w:val="0"/>
              <w:jc w:val="center"/>
              <w:rPr>
                <w:rFonts w:hint="eastAsia" w:ascii="宋体" w:hAnsi="宋体" w:eastAsia="宋体" w:cs="宋体"/>
                <w:b/>
                <w:szCs w:val="21"/>
                <w:highlight w:val="none"/>
              </w:rPr>
            </w:pPr>
            <w:r>
              <w:rPr>
                <w:rFonts w:hint="eastAsia" w:ascii="宋体" w:hAnsi="宋体" w:eastAsia="宋体" w:cs="宋体"/>
                <w:szCs w:val="21"/>
                <w:highlight w:val="none"/>
              </w:rPr>
              <w:t>单价</w:t>
            </w:r>
          </w:p>
        </w:tc>
        <w:tc>
          <w:tcPr>
            <w:tcW w:w="917" w:type="dxa"/>
            <w:vAlign w:val="center"/>
          </w:tcPr>
          <w:p>
            <w:pPr>
              <w:adjustRightInd w:val="0"/>
              <w:snapToGrid w:val="0"/>
              <w:jc w:val="center"/>
              <w:rPr>
                <w:rFonts w:hint="eastAsia" w:ascii="宋体" w:hAnsi="宋体" w:eastAsia="宋体" w:cs="宋体"/>
                <w:b/>
                <w:szCs w:val="21"/>
                <w:highlight w:val="none"/>
              </w:rPr>
            </w:pPr>
            <w:r>
              <w:rPr>
                <w:rFonts w:hint="eastAsia" w:ascii="宋体" w:hAnsi="宋体" w:eastAsia="宋体" w:cs="宋体"/>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r>
    </w:tbl>
    <w:p>
      <w:pPr>
        <w:rPr>
          <w:rFonts w:hint="eastAsia" w:ascii="宋体" w:hAnsi="宋体" w:eastAsia="宋体" w:cs="宋体"/>
          <w:szCs w:val="21"/>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t>法定代表人或被授权人（签字或盖章）：</w:t>
      </w:r>
    </w:p>
    <w:p>
      <w:pPr>
        <w:rPr>
          <w:rFonts w:hint="eastAsia" w:ascii="宋体" w:hAnsi="宋体" w:eastAsia="宋体" w:cs="宋体"/>
          <w:szCs w:val="21"/>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t>投标供应商（盖章）：</w:t>
      </w:r>
    </w:p>
    <w:p>
      <w:pPr>
        <w:rPr>
          <w:rFonts w:hint="eastAsia" w:ascii="宋体" w:hAnsi="宋体" w:eastAsia="宋体" w:cs="宋体"/>
          <w:szCs w:val="21"/>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t>日期：</w:t>
      </w:r>
    </w:p>
    <w:p>
      <w:pPr>
        <w:tabs>
          <w:tab w:val="left" w:pos="840"/>
        </w:tabs>
        <w:autoSpaceDE w:val="0"/>
        <w:autoSpaceDN w:val="0"/>
        <w:adjustRightInd w:val="0"/>
        <w:spacing w:line="360" w:lineRule="auto"/>
        <w:rPr>
          <w:rFonts w:hint="eastAsia" w:ascii="宋体" w:hAnsi="宋体" w:eastAsia="宋体" w:cs="宋体"/>
          <w:b/>
          <w:szCs w:val="21"/>
          <w:highlight w:val="none"/>
        </w:rPr>
      </w:pPr>
    </w:p>
    <w:p>
      <w:pPr>
        <w:tabs>
          <w:tab w:val="left" w:pos="840"/>
        </w:tabs>
        <w:autoSpaceDE w:val="0"/>
        <w:autoSpaceDN w:val="0"/>
        <w:adjustRightInd w:val="0"/>
        <w:spacing w:line="360" w:lineRule="auto"/>
        <w:jc w:val="center"/>
        <w:rPr>
          <w:rFonts w:hint="eastAsia" w:ascii="宋体" w:hAnsi="宋体" w:eastAsia="宋体" w:cs="宋体"/>
          <w:b/>
          <w:szCs w:val="21"/>
          <w:highlight w:val="none"/>
        </w:rPr>
      </w:pPr>
      <w:r>
        <w:rPr>
          <w:rFonts w:hint="eastAsia" w:ascii="宋体" w:hAnsi="宋体" w:eastAsia="宋体" w:cs="宋体"/>
          <w:b/>
          <w:sz w:val="24"/>
          <w:highlight w:val="none"/>
        </w:rPr>
        <w:t>环境标志产品明细表</w:t>
      </w:r>
    </w:p>
    <w:tbl>
      <w:tblPr>
        <w:tblStyle w:val="34"/>
        <w:tblW w:w="8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916"/>
        <w:gridCol w:w="916"/>
        <w:gridCol w:w="916"/>
        <w:gridCol w:w="917"/>
        <w:gridCol w:w="917"/>
        <w:gridCol w:w="917"/>
        <w:gridCol w:w="91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adjustRightInd w:val="0"/>
              <w:snapToGrid w:val="0"/>
              <w:jc w:val="center"/>
              <w:rPr>
                <w:rFonts w:hint="eastAsia" w:ascii="宋体" w:hAnsi="宋体" w:eastAsia="宋体" w:cs="宋体"/>
                <w:b/>
                <w:szCs w:val="21"/>
                <w:highlight w:val="none"/>
              </w:rPr>
            </w:pPr>
            <w:r>
              <w:rPr>
                <w:rFonts w:hint="eastAsia" w:ascii="宋体" w:hAnsi="宋体" w:eastAsia="宋体" w:cs="宋体"/>
                <w:szCs w:val="21"/>
                <w:highlight w:val="none"/>
              </w:rPr>
              <w:t>序号</w:t>
            </w:r>
          </w:p>
        </w:tc>
        <w:tc>
          <w:tcPr>
            <w:tcW w:w="916" w:type="dxa"/>
            <w:vAlign w:val="center"/>
          </w:tcPr>
          <w:p>
            <w:pPr>
              <w:adjustRightInd w:val="0"/>
              <w:snapToGrid w:val="0"/>
              <w:jc w:val="center"/>
              <w:rPr>
                <w:rFonts w:hint="eastAsia" w:ascii="宋体" w:hAnsi="宋体" w:eastAsia="宋体" w:cs="宋体"/>
                <w:b/>
                <w:szCs w:val="21"/>
                <w:highlight w:val="none"/>
              </w:rPr>
            </w:pPr>
            <w:r>
              <w:rPr>
                <w:rFonts w:hint="eastAsia" w:ascii="宋体" w:hAnsi="宋体" w:eastAsia="宋体" w:cs="宋体"/>
                <w:szCs w:val="21"/>
                <w:highlight w:val="none"/>
              </w:rPr>
              <w:t>设备名称</w:t>
            </w:r>
          </w:p>
        </w:tc>
        <w:tc>
          <w:tcPr>
            <w:tcW w:w="916"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品牌</w:t>
            </w:r>
          </w:p>
          <w:p>
            <w:pPr>
              <w:adjustRightInd w:val="0"/>
              <w:snapToGrid w:val="0"/>
              <w:jc w:val="center"/>
              <w:rPr>
                <w:rFonts w:hint="eastAsia" w:ascii="宋体" w:hAnsi="宋体" w:eastAsia="宋体" w:cs="宋体"/>
                <w:b/>
                <w:szCs w:val="21"/>
                <w:highlight w:val="none"/>
              </w:rPr>
            </w:pPr>
            <w:r>
              <w:rPr>
                <w:rFonts w:hint="eastAsia" w:ascii="宋体" w:hAnsi="宋体" w:eastAsia="宋体" w:cs="宋体"/>
                <w:szCs w:val="21"/>
                <w:highlight w:val="none"/>
              </w:rPr>
              <w:t>型号</w:t>
            </w:r>
          </w:p>
        </w:tc>
        <w:tc>
          <w:tcPr>
            <w:tcW w:w="916" w:type="dxa"/>
            <w:vAlign w:val="center"/>
          </w:tcPr>
          <w:p>
            <w:pPr>
              <w:adjustRightInd w:val="0"/>
              <w:snapToGrid w:val="0"/>
              <w:jc w:val="center"/>
              <w:rPr>
                <w:rFonts w:hint="eastAsia" w:ascii="宋体" w:hAnsi="宋体" w:eastAsia="宋体" w:cs="宋体"/>
                <w:b/>
                <w:szCs w:val="21"/>
                <w:highlight w:val="none"/>
              </w:rPr>
            </w:pPr>
            <w:r>
              <w:rPr>
                <w:rFonts w:hint="eastAsia" w:ascii="宋体" w:hAnsi="宋体" w:eastAsia="宋体" w:cs="宋体"/>
                <w:szCs w:val="21"/>
                <w:highlight w:val="none"/>
              </w:rPr>
              <w:t>制造商名称</w:t>
            </w:r>
          </w:p>
        </w:tc>
        <w:tc>
          <w:tcPr>
            <w:tcW w:w="917" w:type="dxa"/>
            <w:vAlign w:val="center"/>
          </w:tcPr>
          <w:p>
            <w:pPr>
              <w:adjustRightInd w:val="0"/>
              <w:snapToGrid w:val="0"/>
              <w:jc w:val="center"/>
              <w:rPr>
                <w:rFonts w:hint="eastAsia" w:ascii="宋体" w:hAnsi="宋体" w:eastAsia="宋体" w:cs="宋体"/>
                <w:b/>
                <w:szCs w:val="21"/>
                <w:highlight w:val="none"/>
              </w:rPr>
            </w:pPr>
            <w:r>
              <w:rPr>
                <w:rFonts w:hint="eastAsia" w:ascii="宋体" w:hAnsi="宋体" w:eastAsia="宋体" w:cs="宋体"/>
                <w:szCs w:val="21"/>
                <w:highlight w:val="none"/>
              </w:rPr>
              <w:t>中国环境标志认证证书编号</w:t>
            </w:r>
          </w:p>
        </w:tc>
        <w:tc>
          <w:tcPr>
            <w:tcW w:w="91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认证证书有效</w:t>
            </w:r>
          </w:p>
          <w:p>
            <w:pPr>
              <w:adjustRightInd w:val="0"/>
              <w:snapToGrid w:val="0"/>
              <w:jc w:val="center"/>
              <w:rPr>
                <w:rFonts w:hint="eastAsia" w:ascii="宋体" w:hAnsi="宋体" w:eastAsia="宋体" w:cs="宋体"/>
                <w:b/>
                <w:szCs w:val="21"/>
                <w:highlight w:val="none"/>
              </w:rPr>
            </w:pPr>
            <w:r>
              <w:rPr>
                <w:rFonts w:hint="eastAsia" w:ascii="宋体" w:hAnsi="宋体" w:eastAsia="宋体" w:cs="宋体"/>
                <w:szCs w:val="21"/>
                <w:highlight w:val="none"/>
              </w:rPr>
              <w:t>截止日期</w:t>
            </w:r>
          </w:p>
        </w:tc>
        <w:tc>
          <w:tcPr>
            <w:tcW w:w="917" w:type="dxa"/>
            <w:vAlign w:val="center"/>
          </w:tcPr>
          <w:p>
            <w:pPr>
              <w:adjustRightInd w:val="0"/>
              <w:snapToGrid w:val="0"/>
              <w:jc w:val="center"/>
              <w:rPr>
                <w:rFonts w:hint="eastAsia" w:ascii="宋体" w:hAnsi="宋体" w:eastAsia="宋体" w:cs="宋体"/>
                <w:b/>
                <w:szCs w:val="21"/>
                <w:highlight w:val="none"/>
              </w:rPr>
            </w:pPr>
            <w:r>
              <w:rPr>
                <w:rFonts w:hint="eastAsia" w:ascii="宋体" w:hAnsi="宋体" w:eastAsia="宋体" w:cs="宋体"/>
                <w:szCs w:val="21"/>
                <w:highlight w:val="none"/>
              </w:rPr>
              <w:t>数量</w:t>
            </w:r>
          </w:p>
        </w:tc>
        <w:tc>
          <w:tcPr>
            <w:tcW w:w="917" w:type="dxa"/>
            <w:vAlign w:val="center"/>
          </w:tcPr>
          <w:p>
            <w:pPr>
              <w:adjustRightInd w:val="0"/>
              <w:snapToGrid w:val="0"/>
              <w:jc w:val="center"/>
              <w:rPr>
                <w:rFonts w:hint="eastAsia" w:ascii="宋体" w:hAnsi="宋体" w:eastAsia="宋体" w:cs="宋体"/>
                <w:b/>
                <w:szCs w:val="21"/>
                <w:highlight w:val="none"/>
              </w:rPr>
            </w:pPr>
            <w:r>
              <w:rPr>
                <w:rFonts w:hint="eastAsia" w:ascii="宋体" w:hAnsi="宋体" w:eastAsia="宋体" w:cs="宋体"/>
                <w:szCs w:val="21"/>
                <w:highlight w:val="none"/>
              </w:rPr>
              <w:t>单价</w:t>
            </w:r>
          </w:p>
        </w:tc>
        <w:tc>
          <w:tcPr>
            <w:tcW w:w="917" w:type="dxa"/>
            <w:vAlign w:val="center"/>
          </w:tcPr>
          <w:p>
            <w:pPr>
              <w:adjustRightInd w:val="0"/>
              <w:snapToGrid w:val="0"/>
              <w:jc w:val="center"/>
              <w:rPr>
                <w:rFonts w:hint="eastAsia" w:ascii="宋体" w:hAnsi="宋体" w:eastAsia="宋体" w:cs="宋体"/>
                <w:b/>
                <w:szCs w:val="21"/>
                <w:highlight w:val="none"/>
              </w:rPr>
            </w:pPr>
            <w:r>
              <w:rPr>
                <w:rFonts w:hint="eastAsia" w:ascii="宋体" w:hAnsi="宋体" w:eastAsia="宋体" w:cs="宋体"/>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6"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c>
          <w:tcPr>
            <w:tcW w:w="917" w:type="dxa"/>
          </w:tcPr>
          <w:p>
            <w:pPr>
              <w:tabs>
                <w:tab w:val="left" w:pos="840"/>
              </w:tabs>
              <w:autoSpaceDE w:val="0"/>
              <w:autoSpaceDN w:val="0"/>
              <w:adjustRightInd w:val="0"/>
              <w:spacing w:line="360" w:lineRule="auto"/>
              <w:rPr>
                <w:rFonts w:hint="eastAsia" w:ascii="宋体" w:hAnsi="宋体" w:eastAsia="宋体" w:cs="宋体"/>
                <w:b/>
                <w:szCs w:val="21"/>
                <w:highlight w:val="none"/>
              </w:rPr>
            </w:pPr>
          </w:p>
        </w:tc>
      </w:tr>
    </w:tbl>
    <w:p>
      <w:pPr>
        <w:tabs>
          <w:tab w:val="left" w:pos="840"/>
        </w:tabs>
        <w:autoSpaceDE w:val="0"/>
        <w:autoSpaceDN w:val="0"/>
        <w:adjustRightInd w:val="0"/>
        <w:spacing w:line="360" w:lineRule="auto"/>
        <w:rPr>
          <w:rFonts w:hint="eastAsia" w:ascii="宋体" w:hAnsi="宋体" w:eastAsia="宋体" w:cs="宋体"/>
          <w:b/>
          <w:szCs w:val="21"/>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t>法定代表人或被授权人（签字或盖章）：</w:t>
      </w:r>
    </w:p>
    <w:p>
      <w:pPr>
        <w:rPr>
          <w:rFonts w:hint="eastAsia" w:ascii="宋体" w:hAnsi="宋体" w:eastAsia="宋体" w:cs="宋体"/>
          <w:szCs w:val="21"/>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t>投标供应商（盖章）：</w:t>
      </w:r>
    </w:p>
    <w:p>
      <w:pPr>
        <w:rPr>
          <w:rFonts w:hint="eastAsia" w:ascii="宋体" w:hAnsi="宋体" w:eastAsia="宋体" w:cs="宋体"/>
          <w:szCs w:val="21"/>
          <w:highlight w:val="none"/>
        </w:rPr>
      </w:pPr>
    </w:p>
    <w:p>
      <w:pPr>
        <w:rPr>
          <w:rFonts w:hint="eastAsia" w:ascii="宋体" w:hAnsi="宋体" w:eastAsia="宋体" w:cs="宋体"/>
          <w:szCs w:val="21"/>
          <w:highlight w:val="none"/>
        </w:rPr>
      </w:pPr>
      <w:r>
        <w:rPr>
          <w:rFonts w:hint="eastAsia" w:ascii="宋体" w:hAnsi="宋体" w:eastAsia="宋体" w:cs="宋体"/>
          <w:szCs w:val="21"/>
          <w:highlight w:val="none"/>
        </w:rPr>
        <w:t>日期：</w:t>
      </w:r>
    </w:p>
    <w:p>
      <w:pPr>
        <w:pStyle w:val="74"/>
        <w:spacing w:line="360" w:lineRule="auto"/>
        <w:ind w:left="718" w:hanging="718" w:hangingChars="342"/>
        <w:rPr>
          <w:rFonts w:hint="eastAsia" w:ascii="宋体" w:hAnsi="宋体" w:eastAsia="宋体" w:cs="宋体"/>
          <w:highlight w:val="none"/>
        </w:rPr>
      </w:pPr>
    </w:p>
    <w:p>
      <w:pPr>
        <w:pStyle w:val="74"/>
        <w:spacing w:line="360" w:lineRule="auto"/>
        <w:ind w:left="718" w:hanging="718" w:hangingChars="342"/>
        <w:rPr>
          <w:rFonts w:hint="eastAsia" w:ascii="宋体" w:hAnsi="宋体" w:eastAsia="宋体" w:cs="宋体"/>
          <w:highlight w:val="none"/>
        </w:rPr>
      </w:pPr>
      <w:r>
        <w:rPr>
          <w:rFonts w:hint="eastAsia" w:ascii="宋体" w:hAnsi="宋体" w:eastAsia="宋体" w:cs="宋体"/>
          <w:highlight w:val="none"/>
        </w:rPr>
        <w:t>填报要求：</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 本表的设备名称、品牌型号、金额应与</w:t>
      </w:r>
      <w:r>
        <w:rPr>
          <w:rFonts w:hint="eastAsia" w:ascii="宋体" w:hAnsi="宋体" w:eastAsia="宋体" w:cs="宋体"/>
          <w:bCs/>
          <w:szCs w:val="21"/>
          <w:highlight w:val="none"/>
        </w:rPr>
        <w:t>货物分项报价一览表</w:t>
      </w:r>
      <w:r>
        <w:rPr>
          <w:rFonts w:hint="eastAsia" w:ascii="宋体" w:hAnsi="宋体" w:eastAsia="宋体" w:cs="宋体"/>
          <w:szCs w:val="21"/>
          <w:highlight w:val="none"/>
        </w:rPr>
        <w:t>一致。</w:t>
      </w:r>
    </w:p>
    <w:p>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rPr>
        <w:t>2. 节能产品是指财政部和国家发展改革委员会公布的《节能产品政府采购品目清单》中的产品，可在中华人民共和国财政部网站（http://www.mof.gov.cn）、中国政府采购网（http://www.ccgp.gov.cn/）查阅。</w:t>
      </w:r>
      <w:r>
        <w:rPr>
          <w:rFonts w:hint="eastAsia" w:ascii="宋体" w:hAnsi="宋体" w:eastAsia="宋体" w:cs="宋体"/>
          <w:b/>
          <w:szCs w:val="21"/>
          <w:highlight w:val="none"/>
        </w:rPr>
        <w:t>投标供应商须在投标文件中附该产品经国家确定的认证机构出具的、处于有效期之内的《国家节能产品认证证书》</w:t>
      </w:r>
      <w:r>
        <w:rPr>
          <w:rFonts w:hint="eastAsia" w:ascii="宋体" w:hAnsi="宋体" w:eastAsia="宋体" w:cs="宋体"/>
          <w:b/>
          <w:szCs w:val="21"/>
          <w:highlight w:val="none"/>
          <w:lang w:eastAsia="zh-CN"/>
        </w:rPr>
        <w:t>扫描件</w:t>
      </w:r>
      <w:r>
        <w:rPr>
          <w:rFonts w:hint="eastAsia" w:ascii="宋体" w:hAnsi="宋体" w:eastAsia="宋体" w:cs="宋体"/>
          <w:b/>
          <w:szCs w:val="21"/>
          <w:highlight w:val="none"/>
        </w:rPr>
        <w:t>，否则评标委员会有权不予认可。</w:t>
      </w:r>
    </w:p>
    <w:p>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rPr>
        <w:t>3. 环境标志产品是指财政部、环境保护部发布的《环境标志产品政府采购品目清单》中的产品，可在中华人民共和国财政部网站（http://www.mof.gov.cn）、中国政府采购网（http://www.ccgp.gov.cn/）查阅。</w:t>
      </w:r>
      <w:r>
        <w:rPr>
          <w:rFonts w:hint="eastAsia" w:ascii="宋体" w:hAnsi="宋体" w:eastAsia="宋体" w:cs="宋体"/>
          <w:b/>
          <w:szCs w:val="21"/>
          <w:highlight w:val="none"/>
        </w:rPr>
        <w:t>投标供应商须在投标文件中附该产品经国家确定的认证机构出具的、处于有效期之内的《中国环境标志产品认证证书》</w:t>
      </w:r>
      <w:r>
        <w:rPr>
          <w:rFonts w:hint="eastAsia" w:ascii="宋体" w:hAnsi="宋体" w:eastAsia="宋体" w:cs="宋体"/>
          <w:b/>
          <w:szCs w:val="21"/>
          <w:highlight w:val="none"/>
          <w:lang w:eastAsia="zh-CN"/>
        </w:rPr>
        <w:t>扫描件</w:t>
      </w:r>
      <w:r>
        <w:rPr>
          <w:rFonts w:hint="eastAsia" w:ascii="宋体" w:hAnsi="宋体" w:eastAsia="宋体" w:cs="宋体"/>
          <w:b/>
          <w:szCs w:val="21"/>
          <w:highlight w:val="none"/>
        </w:rPr>
        <w:t>，否则评委委员会有权不予认可。</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 请投标供应商正确填写本表，所填内容将作为评审的依据。其内容或数据应与对应的证明资料相符。</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 没有相关产品可不提供本表。</w:t>
      </w:r>
    </w:p>
    <w:p>
      <w:pPr>
        <w:rPr>
          <w:rFonts w:hint="eastAsia" w:ascii="宋体" w:hAnsi="宋体" w:eastAsia="宋体" w:cs="宋体"/>
          <w:highlight w:val="none"/>
        </w:rPr>
      </w:pPr>
      <w:r>
        <w:rPr>
          <w:rFonts w:hint="eastAsia" w:ascii="宋体" w:hAnsi="宋体" w:eastAsia="宋体" w:cs="宋体"/>
          <w:b/>
          <w:sz w:val="28"/>
          <w:szCs w:val="28"/>
          <w:highlight w:val="none"/>
        </w:rPr>
        <w:br w:type="page"/>
      </w:r>
      <w:bookmarkEnd w:id="265"/>
      <w:bookmarkEnd w:id="268"/>
      <w:bookmarkEnd w:id="269"/>
      <w:bookmarkEnd w:id="270"/>
      <w:bookmarkEnd w:id="271"/>
      <w:bookmarkEnd w:id="272"/>
      <w:bookmarkEnd w:id="273"/>
      <w:bookmarkEnd w:id="274"/>
      <w:bookmarkEnd w:id="275"/>
      <w:bookmarkEnd w:id="276"/>
      <w:bookmarkStart w:id="293" w:name="_Toc26940"/>
    </w:p>
    <w:p>
      <w:pPr>
        <w:pStyle w:val="3"/>
        <w:rPr>
          <w:rFonts w:hint="eastAsia" w:ascii="宋体" w:hAnsi="宋体" w:eastAsia="宋体" w:cs="宋体"/>
          <w:sz w:val="24"/>
          <w:szCs w:val="24"/>
          <w:highlight w:val="none"/>
        </w:rPr>
      </w:pPr>
      <w:bookmarkStart w:id="294" w:name="_Toc5548"/>
      <w:bookmarkStart w:id="295" w:name="_Toc28676"/>
      <w:bookmarkStart w:id="296" w:name="_Toc7230"/>
      <w:bookmarkStart w:id="297" w:name="_Toc15520"/>
      <w:bookmarkStart w:id="298" w:name="_Toc30400"/>
      <w:bookmarkStart w:id="299" w:name="_Toc25925"/>
      <w:bookmarkStart w:id="300" w:name="_Toc69464162"/>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河南省政府采购合同融资政策告知函</w:t>
      </w:r>
      <w:bookmarkEnd w:id="294"/>
      <w:bookmarkEnd w:id="295"/>
      <w:bookmarkEnd w:id="296"/>
      <w:bookmarkEnd w:id="297"/>
      <w:bookmarkEnd w:id="298"/>
      <w:bookmarkEnd w:id="299"/>
      <w:bookmarkEnd w:id="300"/>
    </w:p>
    <w:p>
      <w:pPr>
        <w:spacing w:line="6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各投标供应商：</w:t>
      </w:r>
    </w:p>
    <w:p>
      <w:pPr>
        <w:spacing w:line="6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欢迎贵公司参与河南省政府采购活动！</w:t>
      </w:r>
    </w:p>
    <w:p>
      <w:pPr>
        <w:spacing w:line="6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政府采购合同融资是河南省财政厅支持中小微企业发展，针对参与政府采购活动的投标供应商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pPr>
        <w:spacing w:line="6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贷款渠道和提供贷款的金融机构，可在河南省政府采购网“河南省政府采购合同融资平台”查询联系。</w:t>
      </w:r>
    </w:p>
    <w:p>
      <w:pPr>
        <w:pStyle w:val="2"/>
        <w:numPr>
          <w:ilvl w:val="0"/>
          <w:numId w:val="4"/>
        </w:numPr>
        <w:ind w:leftChars="0"/>
        <w:jc w:val="center"/>
        <w:rPr>
          <w:rFonts w:hint="eastAsia" w:ascii="宋体" w:hAnsi="宋体" w:eastAsia="宋体" w:cs="宋体"/>
          <w:b/>
          <w:sz w:val="24"/>
          <w:szCs w:val="24"/>
          <w:highlight w:val="none"/>
        </w:rPr>
      </w:pPr>
      <w:r>
        <w:rPr>
          <w:rFonts w:hint="eastAsia" w:ascii="宋体" w:hAnsi="宋体" w:eastAsia="宋体" w:cs="宋体"/>
          <w:sz w:val="21"/>
          <w:szCs w:val="21"/>
          <w:highlight w:val="none"/>
        </w:rPr>
        <w:br w:type="page"/>
      </w:r>
      <w:bookmarkEnd w:id="293"/>
      <w:bookmarkStart w:id="301" w:name="_Toc12478"/>
      <w:bookmarkStart w:id="302" w:name="_Toc12007"/>
      <w:r>
        <w:rPr>
          <w:rFonts w:hint="eastAsia" w:ascii="宋体" w:hAnsi="宋体" w:eastAsia="宋体" w:cs="宋体"/>
          <w:b/>
          <w:kern w:val="44"/>
          <w:sz w:val="24"/>
          <w:szCs w:val="24"/>
          <w:highlight w:val="none"/>
          <w:lang w:val="en-US" w:eastAsia="zh-CN" w:bidi="ar-SA"/>
        </w:rPr>
        <w:t>政府采购政策</w:t>
      </w:r>
      <w:bookmarkEnd w:id="301"/>
      <w:bookmarkEnd w:id="302"/>
    </w:p>
    <w:p>
      <w:pPr>
        <w:widowControl/>
        <w:spacing w:line="500" w:lineRule="exact"/>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一、关于小微企业及产品</w:t>
      </w:r>
    </w:p>
    <w:p>
      <w:pPr>
        <w:widowControl/>
        <w:spacing w:line="500" w:lineRule="exact"/>
        <w:jc w:val="left"/>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rPr>
        <w:t xml:space="preserve">1、政府采购政策： </w:t>
      </w:r>
    </w:p>
    <w:p>
      <w:pPr>
        <w:widowControl/>
        <w:spacing w:line="500" w:lineRule="exact"/>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 xml:space="preserve">1.1《政府采购促进中小企业发展管理办法》（财库﹝2020﹞46 号） </w:t>
      </w:r>
    </w:p>
    <w:p>
      <w:pPr>
        <w:widowControl/>
        <w:spacing w:line="50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1.2《关于印发中小企业划型标准规定的通知》（工信部联企业[2011]300 号） </w:t>
      </w:r>
    </w:p>
    <w:p>
      <w:pPr>
        <w:widowControl/>
        <w:spacing w:line="500" w:lineRule="exact"/>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2、证明材料</w:t>
      </w:r>
    </w:p>
    <w:p>
      <w:pPr>
        <w:widowControl/>
        <w:spacing w:line="500" w:lineRule="exact"/>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提供《中小企业声明函》。</w:t>
      </w:r>
      <w:r>
        <w:rPr>
          <w:rFonts w:hint="eastAsia" w:ascii="宋体" w:hAnsi="宋体" w:eastAsia="宋体" w:cs="宋体"/>
          <w:b/>
          <w:bCs/>
          <w:color w:val="000000"/>
          <w:kern w:val="0"/>
          <w:sz w:val="21"/>
          <w:szCs w:val="21"/>
          <w:highlight w:val="none"/>
        </w:rPr>
        <w:t xml:space="preserve"> </w:t>
      </w:r>
    </w:p>
    <w:p>
      <w:pPr>
        <w:widowControl/>
        <w:spacing w:line="500" w:lineRule="exact"/>
        <w:jc w:val="left"/>
        <w:rPr>
          <w:rFonts w:hint="eastAsia" w:ascii="宋体" w:hAnsi="宋体" w:eastAsia="宋体" w:cs="宋体"/>
          <w:b/>
          <w:bCs/>
          <w:color w:val="000000"/>
          <w:kern w:val="0"/>
          <w:sz w:val="21"/>
          <w:szCs w:val="21"/>
          <w:highlight w:val="none"/>
        </w:rPr>
      </w:pPr>
    </w:p>
    <w:p>
      <w:pPr>
        <w:widowControl/>
        <w:spacing w:line="50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二、关于监狱企业</w:t>
      </w:r>
    </w:p>
    <w:p>
      <w:pPr>
        <w:widowControl/>
        <w:spacing w:line="500" w:lineRule="exact"/>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 xml:space="preserve">1、政府采购政策 </w:t>
      </w:r>
    </w:p>
    <w:p>
      <w:pPr>
        <w:widowControl/>
        <w:spacing w:line="50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《财政部、司法部关于政府采购支持监狱企业发展有关问题的通知》（财库【2014】68号） </w:t>
      </w:r>
    </w:p>
    <w:p>
      <w:pPr>
        <w:widowControl/>
        <w:spacing w:line="50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关于监狱企业：视同小微企业。 </w:t>
      </w:r>
    </w:p>
    <w:p>
      <w:pPr>
        <w:widowControl/>
        <w:spacing w:line="500" w:lineRule="exact"/>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 xml:space="preserve">2、证明材料 </w:t>
      </w:r>
    </w:p>
    <w:p>
      <w:pPr>
        <w:widowControl/>
        <w:spacing w:line="50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提供由省级以上监狱管理局、戒毒管理局（含新疆生产建设兵团）出具的属于监狱企业的证明文件。 </w:t>
      </w:r>
    </w:p>
    <w:p>
      <w:pPr>
        <w:widowControl/>
        <w:spacing w:line="500" w:lineRule="exact"/>
        <w:jc w:val="center"/>
        <w:rPr>
          <w:rFonts w:hint="eastAsia" w:ascii="宋体" w:hAnsi="宋体" w:eastAsia="宋体" w:cs="宋体"/>
          <w:color w:val="000000"/>
          <w:kern w:val="0"/>
          <w:sz w:val="21"/>
          <w:szCs w:val="21"/>
          <w:highlight w:val="none"/>
        </w:rPr>
      </w:pPr>
    </w:p>
    <w:p>
      <w:pPr>
        <w:spacing w:line="500" w:lineRule="exact"/>
        <w:rPr>
          <w:rFonts w:hint="eastAsia" w:ascii="宋体" w:hAnsi="宋体" w:eastAsia="宋体" w:cs="宋体"/>
          <w:color w:val="000000"/>
          <w:kern w:val="0"/>
          <w:sz w:val="21"/>
          <w:szCs w:val="21"/>
          <w:highlight w:val="none"/>
        </w:rPr>
      </w:pPr>
    </w:p>
    <w:p>
      <w:pPr>
        <w:widowControl/>
        <w:spacing w:line="50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三、关于促进残疾人就业</w:t>
      </w:r>
    </w:p>
    <w:p>
      <w:pPr>
        <w:widowControl/>
        <w:spacing w:line="500" w:lineRule="exact"/>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 xml:space="preserve">1、政府采购政策 </w:t>
      </w:r>
    </w:p>
    <w:p>
      <w:pPr>
        <w:widowControl/>
        <w:spacing w:line="50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《关于促进残疾人就业政府采购政策的通知》（财库〔2017〕141 号） </w:t>
      </w:r>
    </w:p>
    <w:p>
      <w:pPr>
        <w:widowControl/>
        <w:spacing w:line="50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关于残疾人福利性单位：视同小微企业。残疾人福利性单位属于小型、微型企业的，不重复享受政策。</w:t>
      </w:r>
    </w:p>
    <w:p>
      <w:pPr>
        <w:widowControl/>
        <w:spacing w:line="500" w:lineRule="exact"/>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2、证明材料</w:t>
      </w:r>
    </w:p>
    <w:p>
      <w:pPr>
        <w:widowControl/>
        <w:spacing w:line="50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提供《残疾人福利性单位声明函》。</w:t>
      </w:r>
    </w:p>
    <w:p>
      <w:pPr>
        <w:widowControl/>
        <w:spacing w:line="500" w:lineRule="exact"/>
        <w:jc w:val="center"/>
        <w:rPr>
          <w:rFonts w:hint="eastAsia" w:ascii="宋体" w:hAnsi="宋体" w:eastAsia="宋体" w:cs="宋体"/>
          <w:color w:val="000000"/>
          <w:kern w:val="0"/>
          <w:sz w:val="21"/>
          <w:szCs w:val="21"/>
          <w:highlight w:val="none"/>
        </w:rPr>
      </w:pPr>
    </w:p>
    <w:p>
      <w:pPr>
        <w:widowControl/>
        <w:spacing w:line="500" w:lineRule="exact"/>
        <w:jc w:val="center"/>
        <w:rPr>
          <w:rFonts w:hint="eastAsia" w:ascii="宋体" w:hAnsi="宋体" w:eastAsia="宋体" w:cs="宋体"/>
          <w:color w:val="000000"/>
          <w:kern w:val="0"/>
          <w:sz w:val="21"/>
          <w:szCs w:val="21"/>
          <w:highlight w:val="none"/>
        </w:rPr>
      </w:pPr>
    </w:p>
    <w:p>
      <w:pPr>
        <w:pStyle w:val="32"/>
        <w:ind w:firstLine="210"/>
        <w:rPr>
          <w:rFonts w:hint="eastAsia" w:ascii="宋体" w:hAnsi="宋体" w:eastAsia="宋体" w:cs="宋体"/>
          <w:sz w:val="21"/>
          <w:szCs w:val="21"/>
          <w:highlight w:val="none"/>
        </w:rPr>
      </w:pPr>
    </w:p>
    <w:p>
      <w:pPr>
        <w:widowControl/>
        <w:spacing w:line="50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四、关于节能产品</w:t>
      </w:r>
    </w:p>
    <w:p>
      <w:pPr>
        <w:widowControl/>
        <w:spacing w:line="500" w:lineRule="exact"/>
        <w:jc w:val="left"/>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rPr>
        <w:t xml:space="preserve">1、政府采购政策： </w:t>
      </w:r>
    </w:p>
    <w:p>
      <w:pPr>
        <w:widowControl/>
        <w:spacing w:line="500" w:lineRule="exact"/>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 xml:space="preserve">1.1《关于调整优化节能产品环境标志产品政府采购执行机制的通知》（财库〔2019〕9号） </w:t>
      </w:r>
    </w:p>
    <w:p>
      <w:pPr>
        <w:widowControl/>
        <w:spacing w:line="500" w:lineRule="exact"/>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 xml:space="preserve">1.2《关于印发节能产品政府采购品目清单的通知》（财库〔2019〕19号） </w:t>
      </w:r>
    </w:p>
    <w:p>
      <w:pPr>
        <w:widowControl/>
        <w:spacing w:line="500" w:lineRule="exact"/>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2、证明材料</w:t>
      </w:r>
    </w:p>
    <w:p>
      <w:pPr>
        <w:pStyle w:val="12"/>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2.1品目清单中“</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”标注的为政府强制采购产品，如采购人所采购产品为政府强制采购节能产品的，投标人应提供国家确定的认证机构出具的、处于有效期之内的节能产品认证证书，否则其投标将被认定为投标无效。</w:t>
      </w:r>
    </w:p>
    <w:p>
      <w:pPr>
        <w:pStyle w:val="12"/>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2.2品目清单中非“</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”标注的为政府优先采购产品，如采购人所采购产品为政府优先采购节能产品的，投标人应提供国家确定的认证机构出具的、处于有效期之内的节能产品认证证书，否则将不给于优先采购体现。</w:t>
      </w:r>
    </w:p>
    <w:p>
      <w:pPr>
        <w:pStyle w:val="12"/>
        <w:spacing w:line="500" w:lineRule="exact"/>
        <w:rPr>
          <w:rFonts w:hint="eastAsia" w:ascii="宋体" w:hAnsi="宋体" w:eastAsia="宋体" w:cs="宋体"/>
          <w:sz w:val="21"/>
          <w:szCs w:val="21"/>
          <w:highlight w:val="none"/>
        </w:rPr>
      </w:pPr>
    </w:p>
    <w:p>
      <w:pPr>
        <w:pStyle w:val="12"/>
        <w:spacing w:line="500" w:lineRule="exact"/>
        <w:rPr>
          <w:rFonts w:hint="eastAsia" w:ascii="宋体" w:hAnsi="宋体" w:eastAsia="宋体" w:cs="宋体"/>
          <w:sz w:val="21"/>
          <w:szCs w:val="21"/>
          <w:highlight w:val="none"/>
        </w:rPr>
      </w:pPr>
    </w:p>
    <w:p>
      <w:pPr>
        <w:widowControl/>
        <w:spacing w:line="50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五、关于环境标志产品</w:t>
      </w:r>
    </w:p>
    <w:p>
      <w:pPr>
        <w:widowControl/>
        <w:spacing w:line="500" w:lineRule="exact"/>
        <w:jc w:val="left"/>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rPr>
        <w:t xml:space="preserve">1、政府采购政策： </w:t>
      </w:r>
    </w:p>
    <w:p>
      <w:pPr>
        <w:widowControl/>
        <w:spacing w:line="500" w:lineRule="exact"/>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 xml:space="preserve">1.1《关于调整优化节能产品环境标志产品政府采购执行机制的通知》（财库〔2019〕9号） </w:t>
      </w:r>
    </w:p>
    <w:p>
      <w:pPr>
        <w:widowControl/>
        <w:spacing w:line="500" w:lineRule="exact"/>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 xml:space="preserve">1.2《关于印发环境标志产品政府采购品目清单的通知》（财库〔2019〕18号） </w:t>
      </w:r>
    </w:p>
    <w:p>
      <w:pPr>
        <w:widowControl/>
        <w:spacing w:line="500" w:lineRule="exact"/>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2、证明材料</w:t>
      </w:r>
    </w:p>
    <w:p>
      <w:pPr>
        <w:pStyle w:val="12"/>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2.1品目清单中“</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”标注的为政府强制采购产品，如采购人所采购产品为政府强制采购环境标志产品的，投标人应提供国家确定的认证机构出具的、处于有效期之内的环境标志产品认证证书，否则其投标将被认定为投标无效。</w:t>
      </w:r>
    </w:p>
    <w:p>
      <w:pPr>
        <w:pStyle w:val="12"/>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2.2品目清单中非“</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”标注的为政府优先采购产品，如采购人所采购产品为政府优先采购环境标志产品的，投标人应提供国家确定的认证机构出具的、处于有效期之内的环境标志产品认证证书，否则将不给于优先采购体现。</w:t>
      </w:r>
    </w:p>
    <w:sectPr>
      <w:footerReference r:id="rId7" w:type="even"/>
      <w:pgSz w:w="11920" w:h="16840"/>
      <w:pgMar w:top="1418" w:right="1418" w:bottom="1418" w:left="1418" w:header="794" w:footer="851" w:gutter="284"/>
      <w:pgBorders>
        <w:top w:val="none" w:sz="0" w:space="0"/>
        <w:left w:val="none" w:sz="0" w:space="0"/>
        <w:bottom w:val="none" w:sz="0" w:space="0"/>
        <w:right w:val="none" w:sz="0" w:space="0"/>
      </w:pgBorders>
      <w:pgNumType w:fmt="decimal"/>
      <w:cols w:space="720" w:num="1"/>
      <w:docGrid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Courier New"/>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10002FF" w:usb1="4000FCFF" w:usb2="00000009" w:usb3="00000000" w:csb0="6000019F" w:csb1="DFD70000"/>
  </w:font>
  <w:font w:name="仿宋_GB2312">
    <w:altName w:val="仿宋"/>
    <w:panose1 w:val="02010609030101010101"/>
    <w:charset w:val="86"/>
    <w:family w:val="roma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8"/>
      </w:rPr>
    </w:pPr>
    <w:r>
      <w:rPr>
        <w:rStyle w:val="38"/>
      </w:rPr>
      <w:fldChar w:fldCharType="begin"/>
    </w:r>
    <w:r>
      <w:rPr>
        <w:rStyle w:val="38"/>
      </w:rPr>
      <w:instrText xml:space="preserve">PAGE  </w:instrText>
    </w:r>
    <w:r>
      <w:rPr>
        <w:rStyle w:val="38"/>
      </w:rP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EAE26"/>
    <w:multiLevelType w:val="singleLevel"/>
    <w:tmpl w:val="8C3EAE26"/>
    <w:lvl w:ilvl="0" w:tentative="0">
      <w:start w:val="1"/>
      <w:numFmt w:val="decimal"/>
      <w:suff w:val="nothing"/>
      <w:lvlText w:val="%1）"/>
      <w:lvlJc w:val="left"/>
    </w:lvl>
  </w:abstractNum>
  <w:abstractNum w:abstractNumId="1">
    <w:nsid w:val="8ED872E6"/>
    <w:multiLevelType w:val="singleLevel"/>
    <w:tmpl w:val="8ED872E6"/>
    <w:lvl w:ilvl="0" w:tentative="0">
      <w:start w:val="1"/>
      <w:numFmt w:val="decimal"/>
      <w:suff w:val="nothing"/>
      <w:lvlText w:val="%1、"/>
      <w:lvlJc w:val="left"/>
    </w:lvl>
  </w:abstractNum>
  <w:abstractNum w:abstractNumId="2">
    <w:nsid w:val="98C4F70D"/>
    <w:multiLevelType w:val="singleLevel"/>
    <w:tmpl w:val="98C4F70D"/>
    <w:lvl w:ilvl="0" w:tentative="0">
      <w:start w:val="17"/>
      <w:numFmt w:val="decimal"/>
      <w:suff w:val="nothing"/>
      <w:lvlText w:val="%1）"/>
      <w:lvlJc w:val="left"/>
    </w:lvl>
  </w:abstractNum>
  <w:abstractNum w:abstractNumId="3">
    <w:nsid w:val="A29F6738"/>
    <w:multiLevelType w:val="singleLevel"/>
    <w:tmpl w:val="A29F6738"/>
    <w:lvl w:ilvl="0" w:tentative="0">
      <w:start w:val="5"/>
      <w:numFmt w:val="chineseCounting"/>
      <w:suff w:val="space"/>
      <w:lvlText w:val="第%1章"/>
      <w:lvlJc w:val="left"/>
      <w:rPr>
        <w:rFonts w:hint="eastAsia"/>
      </w:rPr>
    </w:lvl>
  </w:abstractNum>
  <w:abstractNum w:abstractNumId="4">
    <w:nsid w:val="A6743BC3"/>
    <w:multiLevelType w:val="singleLevel"/>
    <w:tmpl w:val="A6743BC3"/>
    <w:lvl w:ilvl="0" w:tentative="0">
      <w:start w:val="1"/>
      <w:numFmt w:val="decimal"/>
      <w:suff w:val="nothing"/>
      <w:lvlText w:val="%1）"/>
      <w:lvlJc w:val="left"/>
    </w:lvl>
  </w:abstractNum>
  <w:abstractNum w:abstractNumId="5">
    <w:nsid w:val="D0F6F5F8"/>
    <w:multiLevelType w:val="singleLevel"/>
    <w:tmpl w:val="D0F6F5F8"/>
    <w:lvl w:ilvl="0" w:tentative="0">
      <w:start w:val="1"/>
      <w:numFmt w:val="decimal"/>
      <w:suff w:val="nothing"/>
      <w:lvlText w:val="%1）"/>
      <w:lvlJc w:val="left"/>
    </w:lvl>
  </w:abstractNum>
  <w:abstractNum w:abstractNumId="6">
    <w:nsid w:val="D141D3A6"/>
    <w:multiLevelType w:val="singleLevel"/>
    <w:tmpl w:val="D141D3A6"/>
    <w:lvl w:ilvl="0" w:tentative="0">
      <w:start w:val="2"/>
      <w:numFmt w:val="chineseCounting"/>
      <w:suff w:val="nothing"/>
      <w:lvlText w:val="%1、"/>
      <w:lvlJc w:val="left"/>
      <w:rPr>
        <w:rFonts w:hint="eastAsia"/>
      </w:rPr>
    </w:lvl>
  </w:abstractNum>
  <w:abstractNum w:abstractNumId="7">
    <w:nsid w:val="ED6D50AC"/>
    <w:multiLevelType w:val="singleLevel"/>
    <w:tmpl w:val="ED6D50AC"/>
    <w:lvl w:ilvl="0" w:tentative="0">
      <w:start w:val="1"/>
      <w:numFmt w:val="decimal"/>
      <w:suff w:val="nothing"/>
      <w:lvlText w:val="%1）"/>
      <w:lvlJc w:val="left"/>
    </w:lvl>
  </w:abstractNum>
  <w:abstractNum w:abstractNumId="8">
    <w:nsid w:val="FFFFFFFB"/>
    <w:multiLevelType w:val="multilevel"/>
    <w:tmpl w:val="FFFFFFFB"/>
    <w:lvl w:ilvl="0" w:tentative="0">
      <w:start w:val="1"/>
      <w:numFmt w:val="chineseCountingThousand"/>
      <w:pStyle w:val="2"/>
      <w:lvlText w:val="%1."/>
      <w:legacy w:legacy="1" w:legacySpace="113" w:legacyIndent="425"/>
      <w:lvlJc w:val="left"/>
      <w:pPr>
        <w:ind w:left="425" w:hanging="425"/>
      </w:pPr>
      <w:rPr>
        <w:rFonts w:cs="Times New Roman"/>
      </w:rPr>
    </w:lvl>
    <w:lvl w:ilvl="1" w:tentative="0">
      <w:start w:val="1"/>
      <w:numFmt w:val="decimal"/>
      <w:lvlText w:val="%2."/>
      <w:legacy w:legacy="1" w:legacySpace="0" w:legacyIndent="425"/>
      <w:lvlJc w:val="left"/>
      <w:pPr>
        <w:ind w:left="851" w:hanging="425"/>
      </w:pPr>
      <w:rPr>
        <w:rFonts w:cs="Times New Roman"/>
      </w:rPr>
    </w:lvl>
    <w:lvl w:ilvl="2" w:tentative="0">
      <w:start w:val="1"/>
      <w:numFmt w:val="none"/>
      <w:pStyle w:val="4"/>
      <w:suff w:val="nothing"/>
      <w:lvlText w:val=""/>
      <w:lvlJc w:val="left"/>
      <w:pPr>
        <w:ind w:left="851" w:hanging="425"/>
      </w:pPr>
      <w:rPr>
        <w:rFonts w:cs="Times New Roman"/>
      </w:rPr>
    </w:lvl>
    <w:lvl w:ilvl="3" w:tentative="0">
      <w:start w:val="1"/>
      <w:numFmt w:val="lowerLetter"/>
      <w:pStyle w:val="5"/>
      <w:lvlText w:val="%4)"/>
      <w:legacy w:legacy="1" w:legacySpace="0" w:legacyIndent="425"/>
      <w:lvlJc w:val="left"/>
      <w:pPr>
        <w:ind w:left="1700" w:hanging="425"/>
      </w:pPr>
      <w:rPr>
        <w:rFonts w:cs="Times New Roman"/>
      </w:rPr>
    </w:lvl>
    <w:lvl w:ilvl="4" w:tentative="0">
      <w:start w:val="1"/>
      <w:numFmt w:val="decimal"/>
      <w:pStyle w:val="6"/>
      <w:lvlText w:val="(%5)"/>
      <w:legacy w:legacy="1" w:legacySpace="0" w:legacyIndent="425"/>
      <w:lvlJc w:val="left"/>
      <w:pPr>
        <w:ind w:left="2125" w:hanging="425"/>
      </w:pPr>
      <w:rPr>
        <w:rFonts w:cs="Times New Roman"/>
      </w:rPr>
    </w:lvl>
    <w:lvl w:ilvl="5" w:tentative="0">
      <w:start w:val="1"/>
      <w:numFmt w:val="lowerLetter"/>
      <w:pStyle w:val="7"/>
      <w:lvlText w:val="(%6)"/>
      <w:legacy w:legacy="1" w:legacySpace="0" w:legacyIndent="425"/>
      <w:lvlJc w:val="left"/>
      <w:pPr>
        <w:ind w:left="2550" w:hanging="425"/>
      </w:pPr>
      <w:rPr>
        <w:rFonts w:cs="Times New Roman"/>
      </w:rPr>
    </w:lvl>
    <w:lvl w:ilvl="6" w:tentative="0">
      <w:start w:val="1"/>
      <w:numFmt w:val="lowerRoman"/>
      <w:pStyle w:val="8"/>
      <w:lvlText w:val="(%7)"/>
      <w:legacy w:legacy="1" w:legacySpace="0" w:legacyIndent="425"/>
      <w:lvlJc w:val="left"/>
      <w:pPr>
        <w:ind w:left="2975" w:hanging="425"/>
      </w:pPr>
      <w:rPr>
        <w:rFonts w:cs="Times New Roman"/>
      </w:rPr>
    </w:lvl>
    <w:lvl w:ilvl="7" w:tentative="0">
      <w:start w:val="1"/>
      <w:numFmt w:val="lowerLetter"/>
      <w:pStyle w:val="9"/>
      <w:lvlText w:val="(%8)"/>
      <w:legacy w:legacy="1" w:legacySpace="0" w:legacyIndent="425"/>
      <w:lvlJc w:val="left"/>
      <w:pPr>
        <w:ind w:left="3400" w:hanging="425"/>
      </w:pPr>
      <w:rPr>
        <w:rFonts w:cs="Times New Roman"/>
      </w:rPr>
    </w:lvl>
    <w:lvl w:ilvl="8" w:tentative="0">
      <w:start w:val="1"/>
      <w:numFmt w:val="lowerRoman"/>
      <w:pStyle w:val="10"/>
      <w:lvlText w:val="(%9)"/>
      <w:legacy w:legacy="1" w:legacySpace="0" w:legacyIndent="425"/>
      <w:lvlJc w:val="left"/>
      <w:pPr>
        <w:ind w:left="3825" w:hanging="425"/>
      </w:pPr>
      <w:rPr>
        <w:rFonts w:cs="Times New Roman"/>
      </w:rPr>
    </w:lvl>
  </w:abstractNum>
  <w:abstractNum w:abstractNumId="9">
    <w:nsid w:val="469A683E"/>
    <w:multiLevelType w:val="singleLevel"/>
    <w:tmpl w:val="469A683E"/>
    <w:lvl w:ilvl="0" w:tentative="0">
      <w:start w:val="1"/>
      <w:numFmt w:val="decimal"/>
      <w:suff w:val="nothing"/>
      <w:lvlText w:val="%1）"/>
      <w:lvlJc w:val="left"/>
    </w:lvl>
  </w:abstractNum>
  <w:abstractNum w:abstractNumId="10">
    <w:nsid w:val="4A4BAD4C"/>
    <w:multiLevelType w:val="singleLevel"/>
    <w:tmpl w:val="4A4BAD4C"/>
    <w:lvl w:ilvl="0" w:tentative="0">
      <w:start w:val="1"/>
      <w:numFmt w:val="decimal"/>
      <w:lvlText w:val="%1."/>
      <w:lvlJc w:val="left"/>
      <w:pPr>
        <w:tabs>
          <w:tab w:val="left" w:pos="312"/>
        </w:tabs>
      </w:pPr>
    </w:lvl>
  </w:abstractNum>
  <w:abstractNum w:abstractNumId="11">
    <w:nsid w:val="4C7F0939"/>
    <w:multiLevelType w:val="singleLevel"/>
    <w:tmpl w:val="4C7F0939"/>
    <w:lvl w:ilvl="0" w:tentative="0">
      <w:start w:val="1"/>
      <w:numFmt w:val="decimal"/>
      <w:suff w:val="nothing"/>
      <w:lvlText w:val="%1）"/>
      <w:lvlJc w:val="left"/>
    </w:lvl>
  </w:abstractNum>
  <w:abstractNum w:abstractNumId="12">
    <w:nsid w:val="5BE77DB2"/>
    <w:multiLevelType w:val="singleLevel"/>
    <w:tmpl w:val="5BE77DB2"/>
    <w:lvl w:ilvl="0" w:tentative="0">
      <w:start w:val="7"/>
      <w:numFmt w:val="chineseCounting"/>
      <w:suff w:val="space"/>
      <w:lvlText w:val="第%1章"/>
      <w:lvlJc w:val="left"/>
      <w:rPr>
        <w:rFonts w:hint="eastAsia"/>
      </w:rPr>
    </w:lvl>
  </w:abstractNum>
  <w:abstractNum w:abstractNumId="13">
    <w:nsid w:val="7F1DB373"/>
    <w:multiLevelType w:val="singleLevel"/>
    <w:tmpl w:val="7F1DB373"/>
    <w:lvl w:ilvl="0" w:tentative="0">
      <w:start w:val="2"/>
      <w:numFmt w:val="chineseCounting"/>
      <w:suff w:val="nothing"/>
      <w:lvlText w:val="%1、"/>
      <w:lvlJc w:val="left"/>
      <w:rPr>
        <w:rFonts w:hint="eastAsia"/>
      </w:rPr>
    </w:lvl>
  </w:abstractNum>
  <w:num w:numId="1">
    <w:abstractNumId w:val="8"/>
  </w:num>
  <w:num w:numId="2">
    <w:abstractNumId w:val="10"/>
  </w:num>
  <w:num w:numId="3">
    <w:abstractNumId w:val="3"/>
  </w:num>
  <w:num w:numId="4">
    <w:abstractNumId w:val="12"/>
  </w:num>
  <w:num w:numId="5">
    <w:abstractNumId w:val="6"/>
  </w:num>
  <w:num w:numId="6">
    <w:abstractNumId w:val="5"/>
  </w:num>
  <w:num w:numId="7">
    <w:abstractNumId w:val="2"/>
  </w:num>
  <w:num w:numId="8">
    <w:abstractNumId w:val="11"/>
  </w:num>
  <w:num w:numId="9">
    <w:abstractNumId w:val="0"/>
  </w:num>
  <w:num w:numId="10">
    <w:abstractNumId w:val="9"/>
  </w:num>
  <w:num w:numId="11">
    <w:abstractNumId w:val="4"/>
  </w:num>
  <w:num w:numId="12">
    <w:abstractNumId w:val="7"/>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YjhlMWE3NjAwMDlhOGE3NzQzZTU4NTkyOGRhYWEifQ=="/>
  </w:docVars>
  <w:rsids>
    <w:rsidRoot w:val="00A633CF"/>
    <w:rsid w:val="00017EFC"/>
    <w:rsid w:val="0005617D"/>
    <w:rsid w:val="000A4D37"/>
    <w:rsid w:val="000E3725"/>
    <w:rsid w:val="0013496C"/>
    <w:rsid w:val="001539B0"/>
    <w:rsid w:val="001B3916"/>
    <w:rsid w:val="002559E5"/>
    <w:rsid w:val="002C7610"/>
    <w:rsid w:val="002F611A"/>
    <w:rsid w:val="00366F1F"/>
    <w:rsid w:val="00377E95"/>
    <w:rsid w:val="003E16F9"/>
    <w:rsid w:val="003E508B"/>
    <w:rsid w:val="004E0DFB"/>
    <w:rsid w:val="0052652C"/>
    <w:rsid w:val="005634CB"/>
    <w:rsid w:val="00564FFD"/>
    <w:rsid w:val="005A2D64"/>
    <w:rsid w:val="005F037B"/>
    <w:rsid w:val="006078F7"/>
    <w:rsid w:val="006258E3"/>
    <w:rsid w:val="00631ED5"/>
    <w:rsid w:val="0066514F"/>
    <w:rsid w:val="006901BD"/>
    <w:rsid w:val="006A7C7C"/>
    <w:rsid w:val="006C3353"/>
    <w:rsid w:val="00703535"/>
    <w:rsid w:val="00744B09"/>
    <w:rsid w:val="00771D0C"/>
    <w:rsid w:val="008878D1"/>
    <w:rsid w:val="008A75B0"/>
    <w:rsid w:val="00922254"/>
    <w:rsid w:val="009D4DD5"/>
    <w:rsid w:val="009F65E7"/>
    <w:rsid w:val="00A27975"/>
    <w:rsid w:val="00A35D5E"/>
    <w:rsid w:val="00A5130E"/>
    <w:rsid w:val="00A633CF"/>
    <w:rsid w:val="00A64B3E"/>
    <w:rsid w:val="00A73910"/>
    <w:rsid w:val="00AD228F"/>
    <w:rsid w:val="00B21F08"/>
    <w:rsid w:val="00BE6513"/>
    <w:rsid w:val="00C528CE"/>
    <w:rsid w:val="00CD143B"/>
    <w:rsid w:val="00CD79DA"/>
    <w:rsid w:val="00D43F45"/>
    <w:rsid w:val="00D77693"/>
    <w:rsid w:val="00D776D5"/>
    <w:rsid w:val="00DF19DB"/>
    <w:rsid w:val="00DF51CA"/>
    <w:rsid w:val="00E60AA3"/>
    <w:rsid w:val="00EC168C"/>
    <w:rsid w:val="00EC16B2"/>
    <w:rsid w:val="00F619A2"/>
    <w:rsid w:val="00FA4F2E"/>
    <w:rsid w:val="010A478A"/>
    <w:rsid w:val="011E3D92"/>
    <w:rsid w:val="01AA1AC9"/>
    <w:rsid w:val="01BE7323"/>
    <w:rsid w:val="01D37272"/>
    <w:rsid w:val="01D548DA"/>
    <w:rsid w:val="01D86637"/>
    <w:rsid w:val="01EE19B6"/>
    <w:rsid w:val="023868B8"/>
    <w:rsid w:val="024141DC"/>
    <w:rsid w:val="02415D8B"/>
    <w:rsid w:val="028E4F47"/>
    <w:rsid w:val="02C31095"/>
    <w:rsid w:val="02D04989"/>
    <w:rsid w:val="03323E00"/>
    <w:rsid w:val="036363D4"/>
    <w:rsid w:val="036C3ECC"/>
    <w:rsid w:val="0370464D"/>
    <w:rsid w:val="03822CFE"/>
    <w:rsid w:val="03856B03"/>
    <w:rsid w:val="03990047"/>
    <w:rsid w:val="03AA4003"/>
    <w:rsid w:val="03D270B5"/>
    <w:rsid w:val="03E2554B"/>
    <w:rsid w:val="03EC63C9"/>
    <w:rsid w:val="03F51722"/>
    <w:rsid w:val="040556DD"/>
    <w:rsid w:val="04114082"/>
    <w:rsid w:val="042C4A18"/>
    <w:rsid w:val="043F0BEF"/>
    <w:rsid w:val="04504BAA"/>
    <w:rsid w:val="04735740"/>
    <w:rsid w:val="047A5783"/>
    <w:rsid w:val="048C3708"/>
    <w:rsid w:val="049727D9"/>
    <w:rsid w:val="04B05649"/>
    <w:rsid w:val="04B5675F"/>
    <w:rsid w:val="04B75381"/>
    <w:rsid w:val="04EF43C3"/>
    <w:rsid w:val="052D4EEB"/>
    <w:rsid w:val="05452235"/>
    <w:rsid w:val="056106F1"/>
    <w:rsid w:val="05792692"/>
    <w:rsid w:val="058D14E6"/>
    <w:rsid w:val="05915845"/>
    <w:rsid w:val="05B2719F"/>
    <w:rsid w:val="05C313AC"/>
    <w:rsid w:val="06145C5B"/>
    <w:rsid w:val="061B2F96"/>
    <w:rsid w:val="063D2F0C"/>
    <w:rsid w:val="064918B1"/>
    <w:rsid w:val="06DA4BFF"/>
    <w:rsid w:val="06DD649D"/>
    <w:rsid w:val="06F2019A"/>
    <w:rsid w:val="06FC4B75"/>
    <w:rsid w:val="072D5EC8"/>
    <w:rsid w:val="0747652F"/>
    <w:rsid w:val="07655F06"/>
    <w:rsid w:val="076B1CFB"/>
    <w:rsid w:val="07B022CE"/>
    <w:rsid w:val="07C05BA3"/>
    <w:rsid w:val="07CC279A"/>
    <w:rsid w:val="07DB478B"/>
    <w:rsid w:val="07DC15D4"/>
    <w:rsid w:val="07F27D26"/>
    <w:rsid w:val="07F910B5"/>
    <w:rsid w:val="082031D3"/>
    <w:rsid w:val="0822060B"/>
    <w:rsid w:val="082779D0"/>
    <w:rsid w:val="08404202"/>
    <w:rsid w:val="08404AA8"/>
    <w:rsid w:val="08420CAE"/>
    <w:rsid w:val="084542FA"/>
    <w:rsid w:val="084F4760"/>
    <w:rsid w:val="089406EA"/>
    <w:rsid w:val="089A26E0"/>
    <w:rsid w:val="08A93D49"/>
    <w:rsid w:val="08B17BE1"/>
    <w:rsid w:val="08B576D2"/>
    <w:rsid w:val="08BD20E2"/>
    <w:rsid w:val="08D538D0"/>
    <w:rsid w:val="08DB6A0C"/>
    <w:rsid w:val="08E02B28"/>
    <w:rsid w:val="08E92ED7"/>
    <w:rsid w:val="08F1073B"/>
    <w:rsid w:val="090D4716"/>
    <w:rsid w:val="093933A6"/>
    <w:rsid w:val="09415935"/>
    <w:rsid w:val="09664528"/>
    <w:rsid w:val="098B3F8E"/>
    <w:rsid w:val="09A129E2"/>
    <w:rsid w:val="09B4225C"/>
    <w:rsid w:val="09B94F9F"/>
    <w:rsid w:val="09D92F4C"/>
    <w:rsid w:val="09E162A4"/>
    <w:rsid w:val="09F558AC"/>
    <w:rsid w:val="0A002BCE"/>
    <w:rsid w:val="0A195A3E"/>
    <w:rsid w:val="0A1F6408"/>
    <w:rsid w:val="0A200B7B"/>
    <w:rsid w:val="0A2F5262"/>
    <w:rsid w:val="0A4E6B4D"/>
    <w:rsid w:val="0A586566"/>
    <w:rsid w:val="0A911A78"/>
    <w:rsid w:val="0A9B6453"/>
    <w:rsid w:val="0ABB08A3"/>
    <w:rsid w:val="0ADC0886"/>
    <w:rsid w:val="0AEC4F01"/>
    <w:rsid w:val="0AEE0C79"/>
    <w:rsid w:val="0B077F8D"/>
    <w:rsid w:val="0B0B7F7B"/>
    <w:rsid w:val="0B13248D"/>
    <w:rsid w:val="0B29385D"/>
    <w:rsid w:val="0B3C19E4"/>
    <w:rsid w:val="0B6251C3"/>
    <w:rsid w:val="0B7C44D7"/>
    <w:rsid w:val="0B970E43"/>
    <w:rsid w:val="0B971310"/>
    <w:rsid w:val="0BA47589"/>
    <w:rsid w:val="0BAD45F8"/>
    <w:rsid w:val="0BB21CA6"/>
    <w:rsid w:val="0BE65DF4"/>
    <w:rsid w:val="0C05627A"/>
    <w:rsid w:val="0C3E79DE"/>
    <w:rsid w:val="0C692CAD"/>
    <w:rsid w:val="0C782EF0"/>
    <w:rsid w:val="0C7D22B4"/>
    <w:rsid w:val="0CA43CE5"/>
    <w:rsid w:val="0CAA6E21"/>
    <w:rsid w:val="0CBE28CD"/>
    <w:rsid w:val="0D0522AA"/>
    <w:rsid w:val="0D2070E4"/>
    <w:rsid w:val="0D215336"/>
    <w:rsid w:val="0D3B5CCB"/>
    <w:rsid w:val="0D4769DB"/>
    <w:rsid w:val="0D5A43A4"/>
    <w:rsid w:val="0D5B011C"/>
    <w:rsid w:val="0D7418F4"/>
    <w:rsid w:val="0D7F205C"/>
    <w:rsid w:val="0D9C051F"/>
    <w:rsid w:val="0DC363ED"/>
    <w:rsid w:val="0DCB34F3"/>
    <w:rsid w:val="0DF748F5"/>
    <w:rsid w:val="0DF77E44"/>
    <w:rsid w:val="0E2844A2"/>
    <w:rsid w:val="0E440BB0"/>
    <w:rsid w:val="0E5D4333"/>
    <w:rsid w:val="0EA12B90"/>
    <w:rsid w:val="0EC248F6"/>
    <w:rsid w:val="0EC67B6E"/>
    <w:rsid w:val="0ED27AE6"/>
    <w:rsid w:val="0EDD2542"/>
    <w:rsid w:val="0EFB1BB6"/>
    <w:rsid w:val="0F0A1DF9"/>
    <w:rsid w:val="0F22252D"/>
    <w:rsid w:val="0F346E76"/>
    <w:rsid w:val="0F4075C9"/>
    <w:rsid w:val="0F517A28"/>
    <w:rsid w:val="0F953DB9"/>
    <w:rsid w:val="0FA062BA"/>
    <w:rsid w:val="0FA250E1"/>
    <w:rsid w:val="0FD31CC6"/>
    <w:rsid w:val="0FE12B5A"/>
    <w:rsid w:val="0FF505A0"/>
    <w:rsid w:val="10216BF5"/>
    <w:rsid w:val="102173FB"/>
    <w:rsid w:val="1037079D"/>
    <w:rsid w:val="104650B3"/>
    <w:rsid w:val="1053332C"/>
    <w:rsid w:val="105552F6"/>
    <w:rsid w:val="105C6FA6"/>
    <w:rsid w:val="105E2D2F"/>
    <w:rsid w:val="10BB784F"/>
    <w:rsid w:val="10CA1840"/>
    <w:rsid w:val="10DF6C30"/>
    <w:rsid w:val="11005262"/>
    <w:rsid w:val="116972AB"/>
    <w:rsid w:val="11CB3AC2"/>
    <w:rsid w:val="11F33019"/>
    <w:rsid w:val="11FD5C45"/>
    <w:rsid w:val="12105979"/>
    <w:rsid w:val="12137217"/>
    <w:rsid w:val="121C256F"/>
    <w:rsid w:val="12422527"/>
    <w:rsid w:val="127E28E2"/>
    <w:rsid w:val="12A10CC7"/>
    <w:rsid w:val="12C0114D"/>
    <w:rsid w:val="12D40754"/>
    <w:rsid w:val="12E82452"/>
    <w:rsid w:val="12F64B6E"/>
    <w:rsid w:val="12F77E1B"/>
    <w:rsid w:val="13054DB2"/>
    <w:rsid w:val="13076A3A"/>
    <w:rsid w:val="13177405"/>
    <w:rsid w:val="133B6A25"/>
    <w:rsid w:val="134358DA"/>
    <w:rsid w:val="13482EF0"/>
    <w:rsid w:val="137141F5"/>
    <w:rsid w:val="137912FC"/>
    <w:rsid w:val="13DF3855"/>
    <w:rsid w:val="140137CB"/>
    <w:rsid w:val="142179C9"/>
    <w:rsid w:val="143B02AF"/>
    <w:rsid w:val="144E60BD"/>
    <w:rsid w:val="147616FF"/>
    <w:rsid w:val="14A10B0A"/>
    <w:rsid w:val="14BE16BC"/>
    <w:rsid w:val="14DC5FE6"/>
    <w:rsid w:val="14E31122"/>
    <w:rsid w:val="14E54E9B"/>
    <w:rsid w:val="14F95E2C"/>
    <w:rsid w:val="14FC0436"/>
    <w:rsid w:val="14FF4C46"/>
    <w:rsid w:val="1526084C"/>
    <w:rsid w:val="15565D98"/>
    <w:rsid w:val="15AA7E92"/>
    <w:rsid w:val="15B66837"/>
    <w:rsid w:val="15F27379"/>
    <w:rsid w:val="15FA2BC8"/>
    <w:rsid w:val="16227A29"/>
    <w:rsid w:val="16392D84"/>
    <w:rsid w:val="16443E43"/>
    <w:rsid w:val="164717FA"/>
    <w:rsid w:val="16585B40"/>
    <w:rsid w:val="16985F3D"/>
    <w:rsid w:val="169D2929"/>
    <w:rsid w:val="16C15493"/>
    <w:rsid w:val="16F616C8"/>
    <w:rsid w:val="16F70EB5"/>
    <w:rsid w:val="16FD0D05"/>
    <w:rsid w:val="17017F86"/>
    <w:rsid w:val="173B6FF4"/>
    <w:rsid w:val="17594C02"/>
    <w:rsid w:val="17681DB3"/>
    <w:rsid w:val="17732C32"/>
    <w:rsid w:val="178F10EE"/>
    <w:rsid w:val="17946704"/>
    <w:rsid w:val="179C2B76"/>
    <w:rsid w:val="179C380B"/>
    <w:rsid w:val="17B86896"/>
    <w:rsid w:val="17C214C3"/>
    <w:rsid w:val="17D21C1D"/>
    <w:rsid w:val="17E10D8A"/>
    <w:rsid w:val="17ED620D"/>
    <w:rsid w:val="18003D99"/>
    <w:rsid w:val="180E4708"/>
    <w:rsid w:val="183150FC"/>
    <w:rsid w:val="185F31B6"/>
    <w:rsid w:val="18653C56"/>
    <w:rsid w:val="18763F46"/>
    <w:rsid w:val="187C5B16"/>
    <w:rsid w:val="187F1162"/>
    <w:rsid w:val="189015C1"/>
    <w:rsid w:val="18C05280"/>
    <w:rsid w:val="18D314AE"/>
    <w:rsid w:val="18E86CED"/>
    <w:rsid w:val="18EB31C6"/>
    <w:rsid w:val="18F27B86"/>
    <w:rsid w:val="190478B9"/>
    <w:rsid w:val="19081158"/>
    <w:rsid w:val="19277699"/>
    <w:rsid w:val="193A152D"/>
    <w:rsid w:val="198A6011"/>
    <w:rsid w:val="198D3D53"/>
    <w:rsid w:val="19A03A86"/>
    <w:rsid w:val="19A05834"/>
    <w:rsid w:val="19A60971"/>
    <w:rsid w:val="19D83220"/>
    <w:rsid w:val="1A0062D3"/>
    <w:rsid w:val="1A8E1B30"/>
    <w:rsid w:val="1AA43102"/>
    <w:rsid w:val="1AB86BAD"/>
    <w:rsid w:val="1B1C538E"/>
    <w:rsid w:val="1B414DF5"/>
    <w:rsid w:val="1B4A3CA9"/>
    <w:rsid w:val="1B612DA1"/>
    <w:rsid w:val="1BF34341"/>
    <w:rsid w:val="1BF51C32"/>
    <w:rsid w:val="1BFD436D"/>
    <w:rsid w:val="1C0D4CD7"/>
    <w:rsid w:val="1C112A19"/>
    <w:rsid w:val="1C3109C5"/>
    <w:rsid w:val="1C35495A"/>
    <w:rsid w:val="1C3A3A8C"/>
    <w:rsid w:val="1C4306F9"/>
    <w:rsid w:val="1C486913"/>
    <w:rsid w:val="1C6E7E6B"/>
    <w:rsid w:val="1CD83537"/>
    <w:rsid w:val="1CDF0421"/>
    <w:rsid w:val="1CE67A02"/>
    <w:rsid w:val="1CEC2B3E"/>
    <w:rsid w:val="1D09272C"/>
    <w:rsid w:val="1D2F75FB"/>
    <w:rsid w:val="1D3F5364"/>
    <w:rsid w:val="1D4D722F"/>
    <w:rsid w:val="1D526E45"/>
    <w:rsid w:val="1D554B87"/>
    <w:rsid w:val="1D595A4A"/>
    <w:rsid w:val="1D81111E"/>
    <w:rsid w:val="1D991287"/>
    <w:rsid w:val="1D9A07EC"/>
    <w:rsid w:val="1DA578BD"/>
    <w:rsid w:val="1DAA6C81"/>
    <w:rsid w:val="1DB01DBE"/>
    <w:rsid w:val="1DBA2C3C"/>
    <w:rsid w:val="1DC74A9A"/>
    <w:rsid w:val="1DCD2970"/>
    <w:rsid w:val="1E256308"/>
    <w:rsid w:val="1E340C41"/>
    <w:rsid w:val="1E631EED"/>
    <w:rsid w:val="1E733517"/>
    <w:rsid w:val="1E803E86"/>
    <w:rsid w:val="1E9516DF"/>
    <w:rsid w:val="1EA60DF3"/>
    <w:rsid w:val="1EB3600A"/>
    <w:rsid w:val="1EC75611"/>
    <w:rsid w:val="1ED00720"/>
    <w:rsid w:val="1F136AA8"/>
    <w:rsid w:val="1F2B5BA0"/>
    <w:rsid w:val="1F3709E9"/>
    <w:rsid w:val="1F3A5DE3"/>
    <w:rsid w:val="1F4153C3"/>
    <w:rsid w:val="1F560DE9"/>
    <w:rsid w:val="1F6711E3"/>
    <w:rsid w:val="1F770DE5"/>
    <w:rsid w:val="1F775129"/>
    <w:rsid w:val="1F7C63FB"/>
    <w:rsid w:val="1FB75686"/>
    <w:rsid w:val="1FC35DD8"/>
    <w:rsid w:val="1FF266BE"/>
    <w:rsid w:val="1FF468DA"/>
    <w:rsid w:val="2009466C"/>
    <w:rsid w:val="20210D51"/>
    <w:rsid w:val="203155A4"/>
    <w:rsid w:val="20491AFF"/>
    <w:rsid w:val="20670E5A"/>
    <w:rsid w:val="209E05F3"/>
    <w:rsid w:val="209E23A2"/>
    <w:rsid w:val="20A91472"/>
    <w:rsid w:val="20D12777"/>
    <w:rsid w:val="20DB53A4"/>
    <w:rsid w:val="20E54030"/>
    <w:rsid w:val="20EF2BFD"/>
    <w:rsid w:val="210944F0"/>
    <w:rsid w:val="21537630"/>
    <w:rsid w:val="21902632"/>
    <w:rsid w:val="21AB746C"/>
    <w:rsid w:val="21B24356"/>
    <w:rsid w:val="21D00C81"/>
    <w:rsid w:val="21EF4546"/>
    <w:rsid w:val="21F66939"/>
    <w:rsid w:val="21FC0048"/>
    <w:rsid w:val="22235254"/>
    <w:rsid w:val="22347461"/>
    <w:rsid w:val="22A87507"/>
    <w:rsid w:val="22C32593"/>
    <w:rsid w:val="22C97BAA"/>
    <w:rsid w:val="22EA5D72"/>
    <w:rsid w:val="22F4099F"/>
    <w:rsid w:val="22FA4207"/>
    <w:rsid w:val="23114FA8"/>
    <w:rsid w:val="231E495D"/>
    <w:rsid w:val="23337719"/>
    <w:rsid w:val="236B1107"/>
    <w:rsid w:val="237B69CA"/>
    <w:rsid w:val="237F295E"/>
    <w:rsid w:val="23906919"/>
    <w:rsid w:val="239301B8"/>
    <w:rsid w:val="23ED5B1A"/>
    <w:rsid w:val="240F5A90"/>
    <w:rsid w:val="242F7EE0"/>
    <w:rsid w:val="2472601F"/>
    <w:rsid w:val="2492221D"/>
    <w:rsid w:val="24A63F87"/>
    <w:rsid w:val="24E05525"/>
    <w:rsid w:val="24F133E8"/>
    <w:rsid w:val="24FE5B05"/>
    <w:rsid w:val="251B1B19"/>
    <w:rsid w:val="251D242F"/>
    <w:rsid w:val="251E0098"/>
    <w:rsid w:val="25227A45"/>
    <w:rsid w:val="253357AE"/>
    <w:rsid w:val="254C061E"/>
    <w:rsid w:val="254F5060"/>
    <w:rsid w:val="25755DC7"/>
    <w:rsid w:val="25781413"/>
    <w:rsid w:val="25853B30"/>
    <w:rsid w:val="25983863"/>
    <w:rsid w:val="25A641D2"/>
    <w:rsid w:val="25C91C6F"/>
    <w:rsid w:val="25DC4098"/>
    <w:rsid w:val="25E60A73"/>
    <w:rsid w:val="2604714B"/>
    <w:rsid w:val="260B55DD"/>
    <w:rsid w:val="261B5FFE"/>
    <w:rsid w:val="2650413E"/>
    <w:rsid w:val="26630315"/>
    <w:rsid w:val="266D4CF0"/>
    <w:rsid w:val="26A14222"/>
    <w:rsid w:val="26A30712"/>
    <w:rsid w:val="26C64400"/>
    <w:rsid w:val="26D1527F"/>
    <w:rsid w:val="26E320E4"/>
    <w:rsid w:val="27005B64"/>
    <w:rsid w:val="270218DC"/>
    <w:rsid w:val="272F1FA5"/>
    <w:rsid w:val="2746390C"/>
    <w:rsid w:val="27595274"/>
    <w:rsid w:val="276D1B4F"/>
    <w:rsid w:val="27710810"/>
    <w:rsid w:val="27B92C6D"/>
    <w:rsid w:val="27D537E2"/>
    <w:rsid w:val="27EC7954"/>
    <w:rsid w:val="27EE00B2"/>
    <w:rsid w:val="28043432"/>
    <w:rsid w:val="28610884"/>
    <w:rsid w:val="2890116A"/>
    <w:rsid w:val="28E3573D"/>
    <w:rsid w:val="28F9286B"/>
    <w:rsid w:val="29143B49"/>
    <w:rsid w:val="29192F0D"/>
    <w:rsid w:val="29253660"/>
    <w:rsid w:val="295B658C"/>
    <w:rsid w:val="2973086F"/>
    <w:rsid w:val="29842A7C"/>
    <w:rsid w:val="29A44ECD"/>
    <w:rsid w:val="2A0C65CE"/>
    <w:rsid w:val="2A104310"/>
    <w:rsid w:val="2A111E36"/>
    <w:rsid w:val="2A3F4BF5"/>
    <w:rsid w:val="2A495A74"/>
    <w:rsid w:val="2A5A1A2F"/>
    <w:rsid w:val="2AB729DE"/>
    <w:rsid w:val="2AD0799A"/>
    <w:rsid w:val="2AF23A16"/>
    <w:rsid w:val="2B011EAB"/>
    <w:rsid w:val="2B3653F3"/>
    <w:rsid w:val="2B481AA5"/>
    <w:rsid w:val="2B7D59D5"/>
    <w:rsid w:val="2BAA0794"/>
    <w:rsid w:val="2BE84159"/>
    <w:rsid w:val="2BF8505C"/>
    <w:rsid w:val="2BFB4172"/>
    <w:rsid w:val="2C071743"/>
    <w:rsid w:val="2C077995"/>
    <w:rsid w:val="2C3F0EDD"/>
    <w:rsid w:val="2C471B3F"/>
    <w:rsid w:val="2C4958B7"/>
    <w:rsid w:val="2C5A783C"/>
    <w:rsid w:val="2C830311"/>
    <w:rsid w:val="2C8D7E9A"/>
    <w:rsid w:val="2CA60216"/>
    <w:rsid w:val="2CCD64E8"/>
    <w:rsid w:val="2CEA1FC1"/>
    <w:rsid w:val="2D095047"/>
    <w:rsid w:val="2D104627"/>
    <w:rsid w:val="2D214A86"/>
    <w:rsid w:val="2D276A03"/>
    <w:rsid w:val="2D3227EF"/>
    <w:rsid w:val="2D4529E9"/>
    <w:rsid w:val="2D510EC7"/>
    <w:rsid w:val="2D6230D5"/>
    <w:rsid w:val="2D6A01DB"/>
    <w:rsid w:val="2D9A1DAD"/>
    <w:rsid w:val="2DB15E62"/>
    <w:rsid w:val="2DB94CBF"/>
    <w:rsid w:val="2DD218DC"/>
    <w:rsid w:val="2E3D58F0"/>
    <w:rsid w:val="2EA414CB"/>
    <w:rsid w:val="2EAE2349"/>
    <w:rsid w:val="2EC35DF5"/>
    <w:rsid w:val="2EE63891"/>
    <w:rsid w:val="2EE8585B"/>
    <w:rsid w:val="2EFC30B5"/>
    <w:rsid w:val="2F0A3A24"/>
    <w:rsid w:val="2F4F7689"/>
    <w:rsid w:val="2F661B66"/>
    <w:rsid w:val="2F740E9D"/>
    <w:rsid w:val="2F8337D6"/>
    <w:rsid w:val="2FA432A0"/>
    <w:rsid w:val="2FAF45CB"/>
    <w:rsid w:val="2FB15C4D"/>
    <w:rsid w:val="2FC516F9"/>
    <w:rsid w:val="2FC8743B"/>
    <w:rsid w:val="2FF358CF"/>
    <w:rsid w:val="302208F9"/>
    <w:rsid w:val="30285F91"/>
    <w:rsid w:val="302E54F0"/>
    <w:rsid w:val="30360848"/>
    <w:rsid w:val="30820B1F"/>
    <w:rsid w:val="30894E1C"/>
    <w:rsid w:val="30C41C15"/>
    <w:rsid w:val="30D53BBD"/>
    <w:rsid w:val="30DD6F16"/>
    <w:rsid w:val="30DF4A3C"/>
    <w:rsid w:val="31210BB1"/>
    <w:rsid w:val="313C1E8F"/>
    <w:rsid w:val="314D19A6"/>
    <w:rsid w:val="31741628"/>
    <w:rsid w:val="317C672F"/>
    <w:rsid w:val="318555E4"/>
    <w:rsid w:val="31A35A6A"/>
    <w:rsid w:val="31B9528D"/>
    <w:rsid w:val="31C0661C"/>
    <w:rsid w:val="31D75713"/>
    <w:rsid w:val="31F61B87"/>
    <w:rsid w:val="320D55D9"/>
    <w:rsid w:val="32642098"/>
    <w:rsid w:val="32676A97"/>
    <w:rsid w:val="3271107D"/>
    <w:rsid w:val="32AE0B6A"/>
    <w:rsid w:val="32B72BDE"/>
    <w:rsid w:val="32D65321"/>
    <w:rsid w:val="33900270"/>
    <w:rsid w:val="33921C9C"/>
    <w:rsid w:val="33923FE8"/>
    <w:rsid w:val="339B7340"/>
    <w:rsid w:val="33A855B9"/>
    <w:rsid w:val="33B9559D"/>
    <w:rsid w:val="33D75E9F"/>
    <w:rsid w:val="343E7CCC"/>
    <w:rsid w:val="345179FF"/>
    <w:rsid w:val="345C4AB5"/>
    <w:rsid w:val="34757B91"/>
    <w:rsid w:val="34782920"/>
    <w:rsid w:val="34963664"/>
    <w:rsid w:val="3498084D"/>
    <w:rsid w:val="34B34216"/>
    <w:rsid w:val="34CC177B"/>
    <w:rsid w:val="34DD6BFF"/>
    <w:rsid w:val="350137AB"/>
    <w:rsid w:val="35101E10"/>
    <w:rsid w:val="35330690"/>
    <w:rsid w:val="35411821"/>
    <w:rsid w:val="35507CB7"/>
    <w:rsid w:val="356B2D42"/>
    <w:rsid w:val="356D4AB1"/>
    <w:rsid w:val="358D0F0B"/>
    <w:rsid w:val="3592207D"/>
    <w:rsid w:val="35DA3A24"/>
    <w:rsid w:val="3600792F"/>
    <w:rsid w:val="36107446"/>
    <w:rsid w:val="36513CE6"/>
    <w:rsid w:val="366A4DA8"/>
    <w:rsid w:val="36836B71"/>
    <w:rsid w:val="36853990"/>
    <w:rsid w:val="369E2CA4"/>
    <w:rsid w:val="36F31241"/>
    <w:rsid w:val="37407074"/>
    <w:rsid w:val="37465815"/>
    <w:rsid w:val="37517D16"/>
    <w:rsid w:val="375A6BCB"/>
    <w:rsid w:val="377759CE"/>
    <w:rsid w:val="37A8202C"/>
    <w:rsid w:val="37B81B43"/>
    <w:rsid w:val="37E1553E"/>
    <w:rsid w:val="37E40B8A"/>
    <w:rsid w:val="37FC5ED4"/>
    <w:rsid w:val="38397BD2"/>
    <w:rsid w:val="386046B4"/>
    <w:rsid w:val="38804D57"/>
    <w:rsid w:val="3889174B"/>
    <w:rsid w:val="388A1731"/>
    <w:rsid w:val="3890759E"/>
    <w:rsid w:val="38997BC6"/>
    <w:rsid w:val="38B53D17"/>
    <w:rsid w:val="38D17360"/>
    <w:rsid w:val="38E54BBA"/>
    <w:rsid w:val="38EE1CC0"/>
    <w:rsid w:val="38F245D4"/>
    <w:rsid w:val="39047736"/>
    <w:rsid w:val="391A2AB5"/>
    <w:rsid w:val="393D67A4"/>
    <w:rsid w:val="39484E09"/>
    <w:rsid w:val="399D36E6"/>
    <w:rsid w:val="39B50A30"/>
    <w:rsid w:val="39D61D44"/>
    <w:rsid w:val="39E3559D"/>
    <w:rsid w:val="39F54863"/>
    <w:rsid w:val="3A192D6D"/>
    <w:rsid w:val="3A1D3A7F"/>
    <w:rsid w:val="3A5E23D3"/>
    <w:rsid w:val="3A7E0E22"/>
    <w:rsid w:val="3A810912"/>
    <w:rsid w:val="3A865F28"/>
    <w:rsid w:val="3AA50AA5"/>
    <w:rsid w:val="3AC86541"/>
    <w:rsid w:val="3ADB0022"/>
    <w:rsid w:val="3ADF0317"/>
    <w:rsid w:val="3AFC0CAA"/>
    <w:rsid w:val="3AFF6407"/>
    <w:rsid w:val="3B251BE5"/>
    <w:rsid w:val="3B2A5086"/>
    <w:rsid w:val="3B2C626B"/>
    <w:rsid w:val="3B585B17"/>
    <w:rsid w:val="3B5878C5"/>
    <w:rsid w:val="3B60677A"/>
    <w:rsid w:val="3B7F30A4"/>
    <w:rsid w:val="3BFA097C"/>
    <w:rsid w:val="3C19541D"/>
    <w:rsid w:val="3C21415B"/>
    <w:rsid w:val="3C37572C"/>
    <w:rsid w:val="3C3D7615"/>
    <w:rsid w:val="3C4936B2"/>
    <w:rsid w:val="3C4D31A2"/>
    <w:rsid w:val="3C591B47"/>
    <w:rsid w:val="3C75741A"/>
    <w:rsid w:val="3C795D45"/>
    <w:rsid w:val="3C836BC3"/>
    <w:rsid w:val="3C8F5568"/>
    <w:rsid w:val="3C926E07"/>
    <w:rsid w:val="3CC571DC"/>
    <w:rsid w:val="3CD25455"/>
    <w:rsid w:val="3CEA279F"/>
    <w:rsid w:val="3CFE624A"/>
    <w:rsid w:val="3D127F47"/>
    <w:rsid w:val="3D2C1BD1"/>
    <w:rsid w:val="3D4A148F"/>
    <w:rsid w:val="3DAA0180"/>
    <w:rsid w:val="3DB1150E"/>
    <w:rsid w:val="3DB8289D"/>
    <w:rsid w:val="3E38578C"/>
    <w:rsid w:val="3E3916A1"/>
    <w:rsid w:val="3E545E69"/>
    <w:rsid w:val="3E815385"/>
    <w:rsid w:val="3EBC460F"/>
    <w:rsid w:val="3EC25923"/>
    <w:rsid w:val="3EDE27D7"/>
    <w:rsid w:val="3EE14075"/>
    <w:rsid w:val="3F0B2EA0"/>
    <w:rsid w:val="3F406FEE"/>
    <w:rsid w:val="3FCF358C"/>
    <w:rsid w:val="3FF83425"/>
    <w:rsid w:val="3FF9504A"/>
    <w:rsid w:val="3FFB2F15"/>
    <w:rsid w:val="400C6ED0"/>
    <w:rsid w:val="4021297B"/>
    <w:rsid w:val="405C1C05"/>
    <w:rsid w:val="407707ED"/>
    <w:rsid w:val="407A1E37"/>
    <w:rsid w:val="407D392A"/>
    <w:rsid w:val="40856C3D"/>
    <w:rsid w:val="40D63F13"/>
    <w:rsid w:val="40F57964"/>
    <w:rsid w:val="40FB2EE6"/>
    <w:rsid w:val="41055DF9"/>
    <w:rsid w:val="412A5860"/>
    <w:rsid w:val="412D70FE"/>
    <w:rsid w:val="412F2E76"/>
    <w:rsid w:val="41831414"/>
    <w:rsid w:val="41A75102"/>
    <w:rsid w:val="42010CB6"/>
    <w:rsid w:val="42022339"/>
    <w:rsid w:val="42134546"/>
    <w:rsid w:val="42246753"/>
    <w:rsid w:val="42312DF9"/>
    <w:rsid w:val="42352545"/>
    <w:rsid w:val="42452000"/>
    <w:rsid w:val="424566C9"/>
    <w:rsid w:val="4249440B"/>
    <w:rsid w:val="42526F39"/>
    <w:rsid w:val="42644DA1"/>
    <w:rsid w:val="42672AE3"/>
    <w:rsid w:val="42713B25"/>
    <w:rsid w:val="42770F78"/>
    <w:rsid w:val="427B20EB"/>
    <w:rsid w:val="427C658F"/>
    <w:rsid w:val="428C60A6"/>
    <w:rsid w:val="429107C7"/>
    <w:rsid w:val="42B20202"/>
    <w:rsid w:val="42D57A4D"/>
    <w:rsid w:val="42D75573"/>
    <w:rsid w:val="42EE546B"/>
    <w:rsid w:val="43473EF4"/>
    <w:rsid w:val="436314FD"/>
    <w:rsid w:val="438356FB"/>
    <w:rsid w:val="43E31A3B"/>
    <w:rsid w:val="43FB67B4"/>
    <w:rsid w:val="443F72D5"/>
    <w:rsid w:val="444A7FC7"/>
    <w:rsid w:val="445C6678"/>
    <w:rsid w:val="446A2417"/>
    <w:rsid w:val="447119F7"/>
    <w:rsid w:val="4480058F"/>
    <w:rsid w:val="4497571C"/>
    <w:rsid w:val="44C61D43"/>
    <w:rsid w:val="44D501D8"/>
    <w:rsid w:val="44EC107E"/>
    <w:rsid w:val="44ED5830"/>
    <w:rsid w:val="45060392"/>
    <w:rsid w:val="451E45B7"/>
    <w:rsid w:val="451E56DB"/>
    <w:rsid w:val="452A22D2"/>
    <w:rsid w:val="45554E75"/>
    <w:rsid w:val="457A48DC"/>
    <w:rsid w:val="45A71B75"/>
    <w:rsid w:val="45D43FEC"/>
    <w:rsid w:val="45D60A2D"/>
    <w:rsid w:val="45E737A4"/>
    <w:rsid w:val="45F75F2C"/>
    <w:rsid w:val="45FE72BB"/>
    <w:rsid w:val="4609638B"/>
    <w:rsid w:val="460A5C60"/>
    <w:rsid w:val="46136735"/>
    <w:rsid w:val="46462CD6"/>
    <w:rsid w:val="46756273"/>
    <w:rsid w:val="46A00372"/>
    <w:rsid w:val="46AB11F1"/>
    <w:rsid w:val="46AC4F69"/>
    <w:rsid w:val="46B06807"/>
    <w:rsid w:val="46C663AB"/>
    <w:rsid w:val="46DA4B3C"/>
    <w:rsid w:val="46E44703"/>
    <w:rsid w:val="46E6047B"/>
    <w:rsid w:val="46E82445"/>
    <w:rsid w:val="46E91D19"/>
    <w:rsid w:val="46EC35B7"/>
    <w:rsid w:val="46EE732F"/>
    <w:rsid w:val="47797541"/>
    <w:rsid w:val="47925F0D"/>
    <w:rsid w:val="47BC742D"/>
    <w:rsid w:val="47D227AD"/>
    <w:rsid w:val="47EC7D13"/>
    <w:rsid w:val="47FB1D04"/>
    <w:rsid w:val="4803505C"/>
    <w:rsid w:val="480F1C53"/>
    <w:rsid w:val="48180B08"/>
    <w:rsid w:val="481E3C44"/>
    <w:rsid w:val="48223734"/>
    <w:rsid w:val="482C45B3"/>
    <w:rsid w:val="482F7BFF"/>
    <w:rsid w:val="48362D3C"/>
    <w:rsid w:val="485D651B"/>
    <w:rsid w:val="48965ED0"/>
    <w:rsid w:val="48A83CA1"/>
    <w:rsid w:val="48E768C7"/>
    <w:rsid w:val="49042E3A"/>
    <w:rsid w:val="492F3277"/>
    <w:rsid w:val="495711BC"/>
    <w:rsid w:val="496164DE"/>
    <w:rsid w:val="49A63EF1"/>
    <w:rsid w:val="49A90533"/>
    <w:rsid w:val="49B225AF"/>
    <w:rsid w:val="4A084BAC"/>
    <w:rsid w:val="4A0F7CE8"/>
    <w:rsid w:val="4A190B67"/>
    <w:rsid w:val="4A192915"/>
    <w:rsid w:val="4A5266F1"/>
    <w:rsid w:val="4A6B3739"/>
    <w:rsid w:val="4AA06B93"/>
    <w:rsid w:val="4AC02575"/>
    <w:rsid w:val="4ADD3943"/>
    <w:rsid w:val="4AEC627C"/>
    <w:rsid w:val="4AF34F14"/>
    <w:rsid w:val="4B155F2B"/>
    <w:rsid w:val="4B241572"/>
    <w:rsid w:val="4B4C2876"/>
    <w:rsid w:val="4B5D2CD5"/>
    <w:rsid w:val="4B7E5126"/>
    <w:rsid w:val="4BBB0D5F"/>
    <w:rsid w:val="4BD034A7"/>
    <w:rsid w:val="4C0D0258"/>
    <w:rsid w:val="4C4B0D80"/>
    <w:rsid w:val="4C7A73D7"/>
    <w:rsid w:val="4C7E1155"/>
    <w:rsid w:val="4C8673E4"/>
    <w:rsid w:val="4C997D3D"/>
    <w:rsid w:val="4C9B1D07"/>
    <w:rsid w:val="4CD62D3F"/>
    <w:rsid w:val="4CD928A1"/>
    <w:rsid w:val="4CE4545C"/>
    <w:rsid w:val="4CE95658"/>
    <w:rsid w:val="4CFE5DF2"/>
    <w:rsid w:val="4D0C6761"/>
    <w:rsid w:val="4D1B4BF6"/>
    <w:rsid w:val="4D553C64"/>
    <w:rsid w:val="4D5D520F"/>
    <w:rsid w:val="4D770B5F"/>
    <w:rsid w:val="4DA1334D"/>
    <w:rsid w:val="4DC808DA"/>
    <w:rsid w:val="4DDA060D"/>
    <w:rsid w:val="4DDD3C5A"/>
    <w:rsid w:val="4DE60D60"/>
    <w:rsid w:val="4E0C3CA1"/>
    <w:rsid w:val="4E1C29D4"/>
    <w:rsid w:val="4E261AA5"/>
    <w:rsid w:val="4E4C150B"/>
    <w:rsid w:val="4E577EB0"/>
    <w:rsid w:val="4E712D20"/>
    <w:rsid w:val="4E7520E4"/>
    <w:rsid w:val="4EA12ED9"/>
    <w:rsid w:val="4EA74993"/>
    <w:rsid w:val="4EB726FD"/>
    <w:rsid w:val="4EC55B2F"/>
    <w:rsid w:val="4ED35788"/>
    <w:rsid w:val="4ED6632E"/>
    <w:rsid w:val="4EDC7DA3"/>
    <w:rsid w:val="4EF851EF"/>
    <w:rsid w:val="4F3124AF"/>
    <w:rsid w:val="4F381A8F"/>
    <w:rsid w:val="4F3A75B6"/>
    <w:rsid w:val="4F5F0DCA"/>
    <w:rsid w:val="4F895E47"/>
    <w:rsid w:val="4FA17635"/>
    <w:rsid w:val="4FD035BF"/>
    <w:rsid w:val="4FDF3051"/>
    <w:rsid w:val="50334005"/>
    <w:rsid w:val="503D1E33"/>
    <w:rsid w:val="5060129E"/>
    <w:rsid w:val="506A3ECB"/>
    <w:rsid w:val="507116CC"/>
    <w:rsid w:val="50A13664"/>
    <w:rsid w:val="50C64E79"/>
    <w:rsid w:val="50E21CB3"/>
    <w:rsid w:val="50ED0658"/>
    <w:rsid w:val="510F6820"/>
    <w:rsid w:val="5139564B"/>
    <w:rsid w:val="514612C4"/>
    <w:rsid w:val="51477D68"/>
    <w:rsid w:val="516D3625"/>
    <w:rsid w:val="516E1798"/>
    <w:rsid w:val="516E3507"/>
    <w:rsid w:val="518A5EA7"/>
    <w:rsid w:val="51AC406F"/>
    <w:rsid w:val="51BA49DE"/>
    <w:rsid w:val="520B6FE7"/>
    <w:rsid w:val="520E6AD8"/>
    <w:rsid w:val="523A167B"/>
    <w:rsid w:val="524466F4"/>
    <w:rsid w:val="52483D98"/>
    <w:rsid w:val="528943B0"/>
    <w:rsid w:val="52AB07CA"/>
    <w:rsid w:val="52B07B8F"/>
    <w:rsid w:val="52B70F1D"/>
    <w:rsid w:val="52F7756C"/>
    <w:rsid w:val="5311310C"/>
    <w:rsid w:val="534F55FA"/>
    <w:rsid w:val="53675FC8"/>
    <w:rsid w:val="536C7F5A"/>
    <w:rsid w:val="539179C0"/>
    <w:rsid w:val="53A56FC8"/>
    <w:rsid w:val="53BF62DB"/>
    <w:rsid w:val="53E77B0A"/>
    <w:rsid w:val="53E977FC"/>
    <w:rsid w:val="54180F40"/>
    <w:rsid w:val="547075D6"/>
    <w:rsid w:val="548B2661"/>
    <w:rsid w:val="548D0188"/>
    <w:rsid w:val="54D9161F"/>
    <w:rsid w:val="54F14BBA"/>
    <w:rsid w:val="54F16968"/>
    <w:rsid w:val="54FA3343"/>
    <w:rsid w:val="55684751"/>
    <w:rsid w:val="5574072D"/>
    <w:rsid w:val="55915A56"/>
    <w:rsid w:val="55B55BE8"/>
    <w:rsid w:val="55B61960"/>
    <w:rsid w:val="56026953"/>
    <w:rsid w:val="56130B60"/>
    <w:rsid w:val="56350AD7"/>
    <w:rsid w:val="568B6E11"/>
    <w:rsid w:val="56905D0D"/>
    <w:rsid w:val="56AB6FEB"/>
    <w:rsid w:val="56B37C4E"/>
    <w:rsid w:val="56C06025"/>
    <w:rsid w:val="56CB143B"/>
    <w:rsid w:val="56D46542"/>
    <w:rsid w:val="56DB2F39"/>
    <w:rsid w:val="56DC53F6"/>
    <w:rsid w:val="570C57CE"/>
    <w:rsid w:val="571D1821"/>
    <w:rsid w:val="571E77BD"/>
    <w:rsid w:val="572052E3"/>
    <w:rsid w:val="57713D91"/>
    <w:rsid w:val="578507C0"/>
    <w:rsid w:val="578E03E2"/>
    <w:rsid w:val="57D61E46"/>
    <w:rsid w:val="57E00F16"/>
    <w:rsid w:val="57F505AB"/>
    <w:rsid w:val="58022C3B"/>
    <w:rsid w:val="580764A3"/>
    <w:rsid w:val="581565D5"/>
    <w:rsid w:val="58490869"/>
    <w:rsid w:val="58513777"/>
    <w:rsid w:val="58613E05"/>
    <w:rsid w:val="58647451"/>
    <w:rsid w:val="58727DC0"/>
    <w:rsid w:val="58AB5080"/>
    <w:rsid w:val="58AF078F"/>
    <w:rsid w:val="58B81CB3"/>
    <w:rsid w:val="58D968E6"/>
    <w:rsid w:val="58E14F46"/>
    <w:rsid w:val="590B3D71"/>
    <w:rsid w:val="59140E77"/>
    <w:rsid w:val="59725B9E"/>
    <w:rsid w:val="59814033"/>
    <w:rsid w:val="59975605"/>
    <w:rsid w:val="59981EC8"/>
    <w:rsid w:val="599975CF"/>
    <w:rsid w:val="599B6EA3"/>
    <w:rsid w:val="59A0270B"/>
    <w:rsid w:val="59A652AA"/>
    <w:rsid w:val="59C20FC6"/>
    <w:rsid w:val="59C503C4"/>
    <w:rsid w:val="59D423B5"/>
    <w:rsid w:val="59DD395F"/>
    <w:rsid w:val="59EC5950"/>
    <w:rsid w:val="5A160C1F"/>
    <w:rsid w:val="5A3B2A7A"/>
    <w:rsid w:val="5A3C3F0A"/>
    <w:rsid w:val="5A436E66"/>
    <w:rsid w:val="5A5A4FB0"/>
    <w:rsid w:val="5A6710A2"/>
    <w:rsid w:val="5A696FA1"/>
    <w:rsid w:val="5AA004E9"/>
    <w:rsid w:val="5AA4447D"/>
    <w:rsid w:val="5AAB75B9"/>
    <w:rsid w:val="5AD54636"/>
    <w:rsid w:val="5AE91E90"/>
    <w:rsid w:val="5AEE56F8"/>
    <w:rsid w:val="5AF46A4D"/>
    <w:rsid w:val="5AFC1BC3"/>
    <w:rsid w:val="5B2D6220"/>
    <w:rsid w:val="5B5C08B4"/>
    <w:rsid w:val="5B6339F0"/>
    <w:rsid w:val="5B726329"/>
    <w:rsid w:val="5C643023"/>
    <w:rsid w:val="5C71213D"/>
    <w:rsid w:val="5C902F0B"/>
    <w:rsid w:val="5C950521"/>
    <w:rsid w:val="5CAE2661"/>
    <w:rsid w:val="5CB57A01"/>
    <w:rsid w:val="5CC311B1"/>
    <w:rsid w:val="5CD556C8"/>
    <w:rsid w:val="5D26561D"/>
    <w:rsid w:val="5D2B6790"/>
    <w:rsid w:val="5D3C5980"/>
    <w:rsid w:val="5D4B0BE0"/>
    <w:rsid w:val="5D7243BE"/>
    <w:rsid w:val="5D814602"/>
    <w:rsid w:val="5D9407D9"/>
    <w:rsid w:val="5DA65EFA"/>
    <w:rsid w:val="5DC0337C"/>
    <w:rsid w:val="5E14191A"/>
    <w:rsid w:val="5E39312E"/>
    <w:rsid w:val="5E3E6996"/>
    <w:rsid w:val="5E447E83"/>
    <w:rsid w:val="5E4F64AE"/>
    <w:rsid w:val="5E525F9E"/>
    <w:rsid w:val="5E536B69"/>
    <w:rsid w:val="5E655CD1"/>
    <w:rsid w:val="5E893C25"/>
    <w:rsid w:val="5F002C5F"/>
    <w:rsid w:val="5F0059FA"/>
    <w:rsid w:val="5F2913F5"/>
    <w:rsid w:val="5F443B39"/>
    <w:rsid w:val="5F510F8A"/>
    <w:rsid w:val="5F61120F"/>
    <w:rsid w:val="5F64242D"/>
    <w:rsid w:val="5F6661A5"/>
    <w:rsid w:val="5F7956B1"/>
    <w:rsid w:val="5F7D4849"/>
    <w:rsid w:val="5F8E3006"/>
    <w:rsid w:val="5F8E477B"/>
    <w:rsid w:val="5F944AC0"/>
    <w:rsid w:val="5FA665A1"/>
    <w:rsid w:val="5FAE5A31"/>
    <w:rsid w:val="5FB94527"/>
    <w:rsid w:val="5FBE38EB"/>
    <w:rsid w:val="5FC829BC"/>
    <w:rsid w:val="5FF81680"/>
    <w:rsid w:val="60147621"/>
    <w:rsid w:val="60661D15"/>
    <w:rsid w:val="606F2E37"/>
    <w:rsid w:val="608D150F"/>
    <w:rsid w:val="60A46A9C"/>
    <w:rsid w:val="60F03F78"/>
    <w:rsid w:val="612105D5"/>
    <w:rsid w:val="61477910"/>
    <w:rsid w:val="61750921"/>
    <w:rsid w:val="61897F29"/>
    <w:rsid w:val="61B054B5"/>
    <w:rsid w:val="61E0223F"/>
    <w:rsid w:val="61F401C1"/>
    <w:rsid w:val="62145A44"/>
    <w:rsid w:val="623F6839"/>
    <w:rsid w:val="624668D5"/>
    <w:rsid w:val="625C44F7"/>
    <w:rsid w:val="6260512D"/>
    <w:rsid w:val="6283706E"/>
    <w:rsid w:val="62BC7E8A"/>
    <w:rsid w:val="62D13935"/>
    <w:rsid w:val="630025F6"/>
    <w:rsid w:val="63065CD5"/>
    <w:rsid w:val="63310878"/>
    <w:rsid w:val="63473BF7"/>
    <w:rsid w:val="634F66F6"/>
    <w:rsid w:val="63AE2F89"/>
    <w:rsid w:val="63E87188"/>
    <w:rsid w:val="63FE69AC"/>
    <w:rsid w:val="64175CC0"/>
    <w:rsid w:val="645B3DFE"/>
    <w:rsid w:val="64634A61"/>
    <w:rsid w:val="64712FBB"/>
    <w:rsid w:val="64AA08E2"/>
    <w:rsid w:val="64C00105"/>
    <w:rsid w:val="64ED6D90"/>
    <w:rsid w:val="64EE0533"/>
    <w:rsid w:val="64F14763"/>
    <w:rsid w:val="64F97173"/>
    <w:rsid w:val="65031DA0"/>
    <w:rsid w:val="65222B6E"/>
    <w:rsid w:val="654C1999"/>
    <w:rsid w:val="654C7BEB"/>
    <w:rsid w:val="65613696"/>
    <w:rsid w:val="659D3FA3"/>
    <w:rsid w:val="659F7D1B"/>
    <w:rsid w:val="65E63B9C"/>
    <w:rsid w:val="65EB11B2"/>
    <w:rsid w:val="65EE0CA2"/>
    <w:rsid w:val="6630281B"/>
    <w:rsid w:val="663277E7"/>
    <w:rsid w:val="66544FA9"/>
    <w:rsid w:val="66944C0C"/>
    <w:rsid w:val="66B07D06"/>
    <w:rsid w:val="66C20165"/>
    <w:rsid w:val="66C33EDD"/>
    <w:rsid w:val="66C9311D"/>
    <w:rsid w:val="66CC62DF"/>
    <w:rsid w:val="66E815AD"/>
    <w:rsid w:val="66F10A4A"/>
    <w:rsid w:val="66FC2F4B"/>
    <w:rsid w:val="6703077D"/>
    <w:rsid w:val="67206C39"/>
    <w:rsid w:val="67264670"/>
    <w:rsid w:val="67341693"/>
    <w:rsid w:val="67452B44"/>
    <w:rsid w:val="674566A0"/>
    <w:rsid w:val="67A535E2"/>
    <w:rsid w:val="67C779FD"/>
    <w:rsid w:val="67CE0D8B"/>
    <w:rsid w:val="68012F0F"/>
    <w:rsid w:val="68153C99"/>
    <w:rsid w:val="682269E1"/>
    <w:rsid w:val="68266E91"/>
    <w:rsid w:val="682B3AE8"/>
    <w:rsid w:val="6874548F"/>
    <w:rsid w:val="687A4A6F"/>
    <w:rsid w:val="689A0C6D"/>
    <w:rsid w:val="68A5389A"/>
    <w:rsid w:val="68D66149"/>
    <w:rsid w:val="68EE18AA"/>
    <w:rsid w:val="6902495C"/>
    <w:rsid w:val="691F1C81"/>
    <w:rsid w:val="69232A11"/>
    <w:rsid w:val="692A1FF1"/>
    <w:rsid w:val="69847953"/>
    <w:rsid w:val="69A55B1C"/>
    <w:rsid w:val="69D57C48"/>
    <w:rsid w:val="69D65CD5"/>
    <w:rsid w:val="69F3315F"/>
    <w:rsid w:val="6A186659"/>
    <w:rsid w:val="6A251993"/>
    <w:rsid w:val="6A2627B9"/>
    <w:rsid w:val="6A2678EC"/>
    <w:rsid w:val="6A2829D5"/>
    <w:rsid w:val="6A2D7FEB"/>
    <w:rsid w:val="6A313CEF"/>
    <w:rsid w:val="6A3F4DD7"/>
    <w:rsid w:val="6A4610AD"/>
    <w:rsid w:val="6A7C42F8"/>
    <w:rsid w:val="6A7C6BA9"/>
    <w:rsid w:val="6A7C7DDD"/>
    <w:rsid w:val="6A813E93"/>
    <w:rsid w:val="6A84217A"/>
    <w:rsid w:val="6A843983"/>
    <w:rsid w:val="6A955B90"/>
    <w:rsid w:val="6ABF49BB"/>
    <w:rsid w:val="6ADE7537"/>
    <w:rsid w:val="6AE10DD5"/>
    <w:rsid w:val="6AEB57B0"/>
    <w:rsid w:val="6AF40B09"/>
    <w:rsid w:val="6B421874"/>
    <w:rsid w:val="6B4355EC"/>
    <w:rsid w:val="6B581098"/>
    <w:rsid w:val="6B5F7207"/>
    <w:rsid w:val="6B7A1A9B"/>
    <w:rsid w:val="6BBD539F"/>
    <w:rsid w:val="6BD12BF8"/>
    <w:rsid w:val="6BE04BE9"/>
    <w:rsid w:val="6BF863D7"/>
    <w:rsid w:val="6C0B435C"/>
    <w:rsid w:val="6C57134F"/>
    <w:rsid w:val="6C787517"/>
    <w:rsid w:val="6CA4030D"/>
    <w:rsid w:val="6CA65E33"/>
    <w:rsid w:val="6CC4275D"/>
    <w:rsid w:val="6CCE3F08"/>
    <w:rsid w:val="6CE34991"/>
    <w:rsid w:val="6CE60925"/>
    <w:rsid w:val="6CF90658"/>
    <w:rsid w:val="6D0B399E"/>
    <w:rsid w:val="6D1624B9"/>
    <w:rsid w:val="6D200918"/>
    <w:rsid w:val="6D2A0812"/>
    <w:rsid w:val="6D461A74"/>
    <w:rsid w:val="6D617FAC"/>
    <w:rsid w:val="6D82064E"/>
    <w:rsid w:val="6D934609"/>
    <w:rsid w:val="6D9739CD"/>
    <w:rsid w:val="6DC5678C"/>
    <w:rsid w:val="6DCE3893"/>
    <w:rsid w:val="6DD644F6"/>
    <w:rsid w:val="6DD66068"/>
    <w:rsid w:val="6DD66500"/>
    <w:rsid w:val="6E13574A"/>
    <w:rsid w:val="6E1552B5"/>
    <w:rsid w:val="6E3A0F28"/>
    <w:rsid w:val="6E526272"/>
    <w:rsid w:val="6E5711BD"/>
    <w:rsid w:val="6E625D89"/>
    <w:rsid w:val="6E6B7334"/>
    <w:rsid w:val="6E7B6DD2"/>
    <w:rsid w:val="6E9A19C7"/>
    <w:rsid w:val="6ED053E9"/>
    <w:rsid w:val="6EDF73DA"/>
    <w:rsid w:val="6EE60E0C"/>
    <w:rsid w:val="6EF70BC7"/>
    <w:rsid w:val="6EFE3D04"/>
    <w:rsid w:val="6F06705D"/>
    <w:rsid w:val="6F0D3F47"/>
    <w:rsid w:val="6F265009"/>
    <w:rsid w:val="6F282B2F"/>
    <w:rsid w:val="6F345978"/>
    <w:rsid w:val="6F35524C"/>
    <w:rsid w:val="6F392BD7"/>
    <w:rsid w:val="6F4B2CC1"/>
    <w:rsid w:val="6F573414"/>
    <w:rsid w:val="6F6B6EC0"/>
    <w:rsid w:val="6F6F69B0"/>
    <w:rsid w:val="6F861580"/>
    <w:rsid w:val="6F881820"/>
    <w:rsid w:val="6FB16FC8"/>
    <w:rsid w:val="6FB24AEE"/>
    <w:rsid w:val="6FB33650"/>
    <w:rsid w:val="6FCA1E38"/>
    <w:rsid w:val="6FEC6252"/>
    <w:rsid w:val="6FFB6495"/>
    <w:rsid w:val="700A66D9"/>
    <w:rsid w:val="702F6FF3"/>
    <w:rsid w:val="703E149E"/>
    <w:rsid w:val="70505A71"/>
    <w:rsid w:val="70645DE9"/>
    <w:rsid w:val="70651B61"/>
    <w:rsid w:val="70785D38"/>
    <w:rsid w:val="70812E3F"/>
    <w:rsid w:val="709661BE"/>
    <w:rsid w:val="70A95EF1"/>
    <w:rsid w:val="70C40F7D"/>
    <w:rsid w:val="70C95090"/>
    <w:rsid w:val="70CB5E68"/>
    <w:rsid w:val="711D243B"/>
    <w:rsid w:val="7121017E"/>
    <w:rsid w:val="715A093B"/>
    <w:rsid w:val="715C7408"/>
    <w:rsid w:val="71793EC4"/>
    <w:rsid w:val="718766C1"/>
    <w:rsid w:val="71AD1A11"/>
    <w:rsid w:val="71BE3C1E"/>
    <w:rsid w:val="71C34D91"/>
    <w:rsid w:val="71CC1122"/>
    <w:rsid w:val="71ED62B2"/>
    <w:rsid w:val="71F118FE"/>
    <w:rsid w:val="72021D5D"/>
    <w:rsid w:val="720A7302"/>
    <w:rsid w:val="72113AD9"/>
    <w:rsid w:val="7214772E"/>
    <w:rsid w:val="72190E55"/>
    <w:rsid w:val="723C62EB"/>
    <w:rsid w:val="724A3704"/>
    <w:rsid w:val="726253EC"/>
    <w:rsid w:val="726F6CC7"/>
    <w:rsid w:val="72750781"/>
    <w:rsid w:val="728E539F"/>
    <w:rsid w:val="72AB41A3"/>
    <w:rsid w:val="72B34E05"/>
    <w:rsid w:val="72BB3CBA"/>
    <w:rsid w:val="72BF3F5F"/>
    <w:rsid w:val="730218E9"/>
    <w:rsid w:val="731B2918"/>
    <w:rsid w:val="737A5923"/>
    <w:rsid w:val="73B01AE0"/>
    <w:rsid w:val="73B726D3"/>
    <w:rsid w:val="73C625F3"/>
    <w:rsid w:val="73E23218"/>
    <w:rsid w:val="73F13E37"/>
    <w:rsid w:val="740A314B"/>
    <w:rsid w:val="7428537F"/>
    <w:rsid w:val="74404DBF"/>
    <w:rsid w:val="7443040B"/>
    <w:rsid w:val="746C7962"/>
    <w:rsid w:val="74793E2D"/>
    <w:rsid w:val="74884070"/>
    <w:rsid w:val="74956EB9"/>
    <w:rsid w:val="74A94C32"/>
    <w:rsid w:val="74D774D1"/>
    <w:rsid w:val="74F11DAB"/>
    <w:rsid w:val="750D2EF3"/>
    <w:rsid w:val="75175143"/>
    <w:rsid w:val="75575F1C"/>
    <w:rsid w:val="756D3991"/>
    <w:rsid w:val="7577493F"/>
    <w:rsid w:val="75826D11"/>
    <w:rsid w:val="7590142E"/>
    <w:rsid w:val="75C612F4"/>
    <w:rsid w:val="75CE1F56"/>
    <w:rsid w:val="75D25EEA"/>
    <w:rsid w:val="75DA08FB"/>
    <w:rsid w:val="75DB4D9F"/>
    <w:rsid w:val="75FA0295"/>
    <w:rsid w:val="761832DB"/>
    <w:rsid w:val="761C0F14"/>
    <w:rsid w:val="76465F91"/>
    <w:rsid w:val="76634D94"/>
    <w:rsid w:val="7666765E"/>
    <w:rsid w:val="7671125F"/>
    <w:rsid w:val="769D3E02"/>
    <w:rsid w:val="76CC0B8C"/>
    <w:rsid w:val="76D11CFE"/>
    <w:rsid w:val="76EA1012"/>
    <w:rsid w:val="76EA2DC0"/>
    <w:rsid w:val="76EA2E1A"/>
    <w:rsid w:val="76EB7264"/>
    <w:rsid w:val="76F61765"/>
    <w:rsid w:val="770E6AAE"/>
    <w:rsid w:val="772C162A"/>
    <w:rsid w:val="77664B3C"/>
    <w:rsid w:val="777F175A"/>
    <w:rsid w:val="77D870BC"/>
    <w:rsid w:val="77FC0FFD"/>
    <w:rsid w:val="78144598"/>
    <w:rsid w:val="784B3FF3"/>
    <w:rsid w:val="78623556"/>
    <w:rsid w:val="78654DF4"/>
    <w:rsid w:val="788F3C1F"/>
    <w:rsid w:val="78A32EF1"/>
    <w:rsid w:val="78E51A91"/>
    <w:rsid w:val="78F16688"/>
    <w:rsid w:val="79004B1D"/>
    <w:rsid w:val="793D367B"/>
    <w:rsid w:val="793F3897"/>
    <w:rsid w:val="79586707"/>
    <w:rsid w:val="798D4602"/>
    <w:rsid w:val="79921C19"/>
    <w:rsid w:val="79C842E0"/>
    <w:rsid w:val="79CE4C1B"/>
    <w:rsid w:val="79D16E4D"/>
    <w:rsid w:val="7A291E51"/>
    <w:rsid w:val="7A293551"/>
    <w:rsid w:val="7A2D7B93"/>
    <w:rsid w:val="7A3B22B0"/>
    <w:rsid w:val="7A3C1B84"/>
    <w:rsid w:val="7A493987"/>
    <w:rsid w:val="7A637111"/>
    <w:rsid w:val="7A666C01"/>
    <w:rsid w:val="7AA02113"/>
    <w:rsid w:val="7AA82AE4"/>
    <w:rsid w:val="7AC5146A"/>
    <w:rsid w:val="7ACE4ED2"/>
    <w:rsid w:val="7AE364A4"/>
    <w:rsid w:val="7B0D52CF"/>
    <w:rsid w:val="7B130B37"/>
    <w:rsid w:val="7B226FCC"/>
    <w:rsid w:val="7B6F1AE6"/>
    <w:rsid w:val="7B783090"/>
    <w:rsid w:val="7B95779E"/>
    <w:rsid w:val="7B9C6D7F"/>
    <w:rsid w:val="7BAB0D70"/>
    <w:rsid w:val="7BD04C7A"/>
    <w:rsid w:val="7C0326A4"/>
    <w:rsid w:val="7C632423"/>
    <w:rsid w:val="7C8D2B6B"/>
    <w:rsid w:val="7CAD6D69"/>
    <w:rsid w:val="7CB30FC2"/>
    <w:rsid w:val="7CB41EA6"/>
    <w:rsid w:val="7CDC13FD"/>
    <w:rsid w:val="7CDE33C7"/>
    <w:rsid w:val="7CF91FAF"/>
    <w:rsid w:val="7CF948AC"/>
    <w:rsid w:val="7CF95B0B"/>
    <w:rsid w:val="7D0A24D7"/>
    <w:rsid w:val="7D0A7D18"/>
    <w:rsid w:val="7D1E3E6E"/>
    <w:rsid w:val="7D2B6BF0"/>
    <w:rsid w:val="7D423956"/>
    <w:rsid w:val="7D4D2F82"/>
    <w:rsid w:val="7D586CD5"/>
    <w:rsid w:val="7D7004C3"/>
    <w:rsid w:val="7D7C7A36"/>
    <w:rsid w:val="7D7D04EA"/>
    <w:rsid w:val="7D8C4BD1"/>
    <w:rsid w:val="7D983576"/>
    <w:rsid w:val="7DAC0DCF"/>
    <w:rsid w:val="7DE14F1D"/>
    <w:rsid w:val="7DEB5D9B"/>
    <w:rsid w:val="7DF82266"/>
    <w:rsid w:val="7DFA7D8C"/>
    <w:rsid w:val="7E2444F0"/>
    <w:rsid w:val="7E250B4B"/>
    <w:rsid w:val="7E5576B9"/>
    <w:rsid w:val="7E654A68"/>
    <w:rsid w:val="7E665422"/>
    <w:rsid w:val="7E970148"/>
    <w:rsid w:val="7EB64B61"/>
    <w:rsid w:val="7EDB3536"/>
    <w:rsid w:val="7EF96296"/>
    <w:rsid w:val="7F0A3FFF"/>
    <w:rsid w:val="7F1B620C"/>
    <w:rsid w:val="7F243BE2"/>
    <w:rsid w:val="7F264BB1"/>
    <w:rsid w:val="7F3948E4"/>
    <w:rsid w:val="7F4F235A"/>
    <w:rsid w:val="7F983D01"/>
    <w:rsid w:val="7FBC4447"/>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qFormat="1" w:unhideWhenUsed="0" w:uiPriority="99" w:semiHidden="0" w:name="List 4"/>
    <w:lsdException w:qFormat="1" w:unhideWhenUsed="0" w:uiPriority="99" w:semiHidden="0"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iPriority="99" w:semiHidden="0"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iPriority="99" w:semiHidden="0"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iPriority="99" w:semiHidden="0" w:name="Normal (Web)" w:locked="1"/>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qFormat="1"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qFormat/>
    <w:uiPriority w:val="99"/>
    <w:pPr>
      <w:keepNext/>
      <w:keepLines/>
      <w:numPr>
        <w:ilvl w:val="0"/>
        <w:numId w:val="1"/>
      </w:numPr>
      <w:adjustRightInd w:val="0"/>
      <w:spacing w:before="160" w:after="160" w:line="160" w:lineRule="atLeast"/>
      <w:textAlignment w:val="baseline"/>
      <w:outlineLvl w:val="0"/>
    </w:pPr>
    <w:rPr>
      <w:rFonts w:ascii="黑体" w:eastAsia="黑体"/>
      <w:kern w:val="44"/>
      <w:sz w:val="32"/>
      <w:szCs w:val="20"/>
    </w:rPr>
  </w:style>
  <w:style w:type="paragraph" w:styleId="3">
    <w:name w:val="heading 2"/>
    <w:basedOn w:val="1"/>
    <w:next w:val="1"/>
    <w:link w:val="80"/>
    <w:qFormat/>
    <w:uiPriority w:val="99"/>
    <w:pPr>
      <w:keepNext/>
      <w:keepLines/>
      <w:adjustRightInd w:val="0"/>
      <w:spacing w:before="120" w:after="120" w:line="160" w:lineRule="atLeast"/>
      <w:jc w:val="center"/>
      <w:textAlignment w:val="baseline"/>
      <w:outlineLvl w:val="1"/>
    </w:pPr>
    <w:rPr>
      <w:rFonts w:ascii="宋体" w:hAnsi="宋体" w:cs="宋体"/>
      <w:b/>
      <w:kern w:val="0"/>
      <w:sz w:val="30"/>
      <w:szCs w:val="20"/>
    </w:rPr>
  </w:style>
  <w:style w:type="paragraph" w:styleId="4">
    <w:name w:val="heading 3"/>
    <w:basedOn w:val="1"/>
    <w:next w:val="1"/>
    <w:link w:val="81"/>
    <w:qFormat/>
    <w:uiPriority w:val="99"/>
    <w:pPr>
      <w:keepNext/>
      <w:keepLines/>
      <w:numPr>
        <w:ilvl w:val="2"/>
        <w:numId w:val="1"/>
      </w:numPr>
      <w:adjustRightInd w:val="0"/>
      <w:spacing w:before="160" w:after="160" w:line="160" w:lineRule="atLeast"/>
      <w:ind w:left="0"/>
      <w:textAlignment w:val="baseline"/>
      <w:outlineLvl w:val="2"/>
    </w:pPr>
    <w:rPr>
      <w:rFonts w:ascii="宋体"/>
      <w:b/>
      <w:kern w:val="0"/>
      <w:sz w:val="28"/>
      <w:szCs w:val="20"/>
    </w:rPr>
  </w:style>
  <w:style w:type="paragraph" w:styleId="5">
    <w:name w:val="heading 4"/>
    <w:basedOn w:val="1"/>
    <w:next w:val="1"/>
    <w:link w:val="82"/>
    <w:qFormat/>
    <w:uiPriority w:val="99"/>
    <w:pPr>
      <w:keepNext/>
      <w:keepLines/>
      <w:numPr>
        <w:ilvl w:val="3"/>
        <w:numId w:val="1"/>
      </w:numPr>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83"/>
    <w:qFormat/>
    <w:uiPriority w:val="99"/>
    <w:pPr>
      <w:keepNext/>
      <w:keepLines/>
      <w:numPr>
        <w:ilvl w:val="4"/>
        <w:numId w:val="1"/>
      </w:numPr>
      <w:adjustRightInd w:val="0"/>
      <w:spacing w:before="280" w:after="290" w:line="376" w:lineRule="atLeast"/>
      <w:textAlignment w:val="baseline"/>
      <w:outlineLvl w:val="4"/>
    </w:pPr>
    <w:rPr>
      <w:b/>
      <w:kern w:val="0"/>
      <w:sz w:val="28"/>
      <w:szCs w:val="20"/>
    </w:rPr>
  </w:style>
  <w:style w:type="paragraph" w:styleId="7">
    <w:name w:val="heading 6"/>
    <w:basedOn w:val="1"/>
    <w:next w:val="1"/>
    <w:link w:val="84"/>
    <w:qFormat/>
    <w:uiPriority w:val="99"/>
    <w:pPr>
      <w:keepNext/>
      <w:keepLines/>
      <w:numPr>
        <w:ilvl w:val="5"/>
        <w:numId w:val="1"/>
      </w:numPr>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85"/>
    <w:qFormat/>
    <w:uiPriority w:val="99"/>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9">
    <w:name w:val="heading 8"/>
    <w:basedOn w:val="1"/>
    <w:next w:val="1"/>
    <w:link w:val="86"/>
    <w:qFormat/>
    <w:uiPriority w:val="99"/>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87"/>
    <w:qFormat/>
    <w:uiPriority w:val="99"/>
    <w:pPr>
      <w:keepNext/>
      <w:keepLines/>
      <w:numPr>
        <w:ilvl w:val="8"/>
        <w:numId w:val="1"/>
      </w:numPr>
      <w:adjustRightInd w:val="0"/>
      <w:spacing w:before="240" w:after="64" w:line="320" w:lineRule="atLeast"/>
      <w:textAlignment w:val="baseline"/>
      <w:outlineLvl w:val="8"/>
    </w:pPr>
    <w:rPr>
      <w:rFonts w:ascii="Arial" w:hAnsi="Arial" w:eastAsia="黑体"/>
      <w:kern w:val="0"/>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qFormat/>
    <w:uiPriority w:val="99"/>
    <w:pPr>
      <w:ind w:firstLine="420"/>
    </w:pPr>
    <w:rPr>
      <w:szCs w:val="20"/>
    </w:rPr>
  </w:style>
  <w:style w:type="paragraph" w:styleId="12">
    <w:name w:val="Body Text 2"/>
    <w:basedOn w:val="1"/>
    <w:next w:val="13"/>
    <w:link w:val="98"/>
    <w:qFormat/>
    <w:uiPriority w:val="99"/>
    <w:pPr>
      <w:autoSpaceDE w:val="0"/>
      <w:autoSpaceDN w:val="0"/>
      <w:adjustRightInd w:val="0"/>
      <w:spacing w:line="480" w:lineRule="exact"/>
      <w:jc w:val="left"/>
    </w:pPr>
    <w:rPr>
      <w:rFonts w:ascii="宋体" w:hAnsi="宋体"/>
      <w:color w:val="000000"/>
      <w:kern w:val="0"/>
      <w:sz w:val="24"/>
    </w:rPr>
  </w:style>
  <w:style w:type="paragraph" w:styleId="13">
    <w:name w:val="Body Text"/>
    <w:basedOn w:val="1"/>
    <w:next w:val="12"/>
    <w:link w:val="89"/>
    <w:qFormat/>
    <w:uiPriority w:val="99"/>
    <w:pPr>
      <w:spacing w:line="480" w:lineRule="exact"/>
    </w:pPr>
    <w:rPr>
      <w:rFonts w:ascii="宋体" w:hAnsi="宋体"/>
      <w:sz w:val="24"/>
    </w:rPr>
  </w:style>
  <w:style w:type="paragraph" w:styleId="14">
    <w:name w:val="Document Map"/>
    <w:basedOn w:val="1"/>
    <w:link w:val="88"/>
    <w:semiHidden/>
    <w:qFormat/>
    <w:uiPriority w:val="99"/>
    <w:pPr>
      <w:shd w:val="clear" w:color="auto" w:fill="000080"/>
    </w:pPr>
  </w:style>
  <w:style w:type="paragraph" w:styleId="15">
    <w:name w:val="annotation text"/>
    <w:basedOn w:val="1"/>
    <w:link w:val="128"/>
    <w:semiHidden/>
    <w:unhideWhenUsed/>
    <w:qFormat/>
    <w:locked/>
    <w:uiPriority w:val="99"/>
    <w:pPr>
      <w:jc w:val="left"/>
    </w:pPr>
  </w:style>
  <w:style w:type="paragraph" w:styleId="16">
    <w:name w:val="Body Text Indent"/>
    <w:basedOn w:val="1"/>
    <w:next w:val="17"/>
    <w:link w:val="90"/>
    <w:qFormat/>
    <w:uiPriority w:val="99"/>
    <w:pPr>
      <w:tabs>
        <w:tab w:val="left" w:pos="945"/>
        <w:tab w:val="left" w:pos="1155"/>
      </w:tabs>
      <w:ind w:firstLine="435"/>
    </w:pPr>
    <w:rPr>
      <w:rFonts w:ascii="宋体"/>
      <w:sz w:val="24"/>
      <w:szCs w:val="20"/>
    </w:rPr>
  </w:style>
  <w:style w:type="paragraph" w:styleId="17">
    <w:name w:val="envelope return"/>
    <w:basedOn w:val="1"/>
    <w:qFormat/>
    <w:locked/>
    <w:uiPriority w:val="0"/>
    <w:pPr>
      <w:snapToGrid w:val="0"/>
    </w:pPr>
    <w:rPr>
      <w:rFonts w:ascii="Arial" w:hAnsi="Arial"/>
    </w:rPr>
  </w:style>
  <w:style w:type="paragraph" w:styleId="18">
    <w:name w:val="toc 3"/>
    <w:basedOn w:val="1"/>
    <w:next w:val="1"/>
    <w:qFormat/>
    <w:uiPriority w:val="39"/>
    <w:pPr>
      <w:ind w:left="840" w:leftChars="400"/>
    </w:pPr>
  </w:style>
  <w:style w:type="paragraph" w:styleId="19">
    <w:name w:val="Plain Text"/>
    <w:basedOn w:val="1"/>
    <w:next w:val="13"/>
    <w:link w:val="91"/>
    <w:qFormat/>
    <w:uiPriority w:val="99"/>
    <w:rPr>
      <w:rFonts w:ascii="宋体" w:hAnsi="Courier New"/>
      <w:szCs w:val="20"/>
    </w:rPr>
  </w:style>
  <w:style w:type="paragraph" w:styleId="20">
    <w:name w:val="Date"/>
    <w:basedOn w:val="1"/>
    <w:next w:val="1"/>
    <w:link w:val="92"/>
    <w:qFormat/>
    <w:uiPriority w:val="99"/>
    <w:rPr>
      <w:rFonts w:ascii="宋体"/>
      <w:sz w:val="32"/>
      <w:szCs w:val="20"/>
    </w:rPr>
  </w:style>
  <w:style w:type="paragraph" w:styleId="21">
    <w:name w:val="Body Text Indent 2"/>
    <w:basedOn w:val="1"/>
    <w:link w:val="93"/>
    <w:qFormat/>
    <w:uiPriority w:val="99"/>
    <w:pPr>
      <w:ind w:firstLine="630"/>
    </w:pPr>
    <w:rPr>
      <w:rFonts w:ascii="宋体"/>
      <w:sz w:val="32"/>
      <w:szCs w:val="20"/>
    </w:rPr>
  </w:style>
  <w:style w:type="paragraph" w:styleId="22">
    <w:name w:val="Balloon Text"/>
    <w:basedOn w:val="1"/>
    <w:link w:val="94"/>
    <w:semiHidden/>
    <w:qFormat/>
    <w:uiPriority w:val="99"/>
    <w:rPr>
      <w:sz w:val="18"/>
      <w:szCs w:val="18"/>
    </w:rPr>
  </w:style>
  <w:style w:type="paragraph" w:styleId="23">
    <w:name w:val="footer"/>
    <w:basedOn w:val="1"/>
    <w:link w:val="95"/>
    <w:qFormat/>
    <w:uiPriority w:val="99"/>
    <w:pPr>
      <w:tabs>
        <w:tab w:val="center" w:pos="4153"/>
        <w:tab w:val="right" w:pos="8306"/>
      </w:tabs>
      <w:snapToGrid w:val="0"/>
      <w:jc w:val="left"/>
    </w:pPr>
    <w:rPr>
      <w:sz w:val="18"/>
      <w:szCs w:val="20"/>
    </w:rPr>
  </w:style>
  <w:style w:type="paragraph" w:styleId="24">
    <w:name w:val="header"/>
    <w:basedOn w:val="1"/>
    <w:link w:val="96"/>
    <w:qFormat/>
    <w:uiPriority w:val="99"/>
    <w:pPr>
      <w:pBdr>
        <w:bottom w:val="single" w:color="auto" w:sz="6" w:space="1"/>
      </w:pBdr>
      <w:tabs>
        <w:tab w:val="center" w:pos="4153"/>
        <w:tab w:val="right" w:pos="8306"/>
      </w:tabs>
      <w:snapToGrid w:val="0"/>
      <w:jc w:val="center"/>
    </w:pPr>
    <w:rPr>
      <w:sz w:val="18"/>
      <w:szCs w:val="20"/>
    </w:rPr>
  </w:style>
  <w:style w:type="paragraph" w:styleId="25">
    <w:name w:val="toc 1"/>
    <w:basedOn w:val="1"/>
    <w:next w:val="1"/>
    <w:qFormat/>
    <w:uiPriority w:val="39"/>
    <w:pPr>
      <w:spacing w:line="360" w:lineRule="auto"/>
    </w:pPr>
    <w:rPr>
      <w:sz w:val="24"/>
    </w:rPr>
  </w:style>
  <w:style w:type="paragraph" w:styleId="26">
    <w:name w:val="List 5"/>
    <w:basedOn w:val="1"/>
    <w:qFormat/>
    <w:locked/>
    <w:uiPriority w:val="99"/>
    <w:pPr>
      <w:ind w:left="2100" w:hanging="420"/>
    </w:pPr>
    <w:rPr>
      <w:rFonts w:eastAsia="楷体_GB2312"/>
      <w:sz w:val="32"/>
      <w:szCs w:val="20"/>
    </w:rPr>
  </w:style>
  <w:style w:type="paragraph" w:styleId="27">
    <w:name w:val="Body Text Indent 3"/>
    <w:basedOn w:val="1"/>
    <w:link w:val="97"/>
    <w:qFormat/>
    <w:uiPriority w:val="99"/>
    <w:pPr>
      <w:spacing w:line="400" w:lineRule="exact"/>
      <w:ind w:firstLine="480" w:firstLineChars="200"/>
    </w:pPr>
    <w:rPr>
      <w:rFonts w:ascii="宋体" w:hAnsi="宋体"/>
      <w:color w:val="FF0000"/>
      <w:sz w:val="24"/>
    </w:rPr>
  </w:style>
  <w:style w:type="paragraph" w:styleId="28">
    <w:name w:val="toc 2"/>
    <w:basedOn w:val="1"/>
    <w:next w:val="1"/>
    <w:qFormat/>
    <w:uiPriority w:val="39"/>
    <w:pPr>
      <w:spacing w:line="360" w:lineRule="auto"/>
      <w:ind w:left="200" w:leftChars="200"/>
    </w:pPr>
  </w:style>
  <w:style w:type="paragraph" w:styleId="29">
    <w:name w:val="List 4"/>
    <w:basedOn w:val="1"/>
    <w:qFormat/>
    <w:uiPriority w:val="99"/>
    <w:pPr>
      <w:ind w:left="1680" w:hanging="420"/>
    </w:pPr>
    <w:rPr>
      <w:rFonts w:eastAsia="楷体_GB2312"/>
      <w:sz w:val="32"/>
      <w:szCs w:val="20"/>
    </w:rPr>
  </w:style>
  <w:style w:type="paragraph" w:styleId="30">
    <w:name w:val="Normal (Web)"/>
    <w:basedOn w:val="1"/>
    <w:unhideWhenUsed/>
    <w:qFormat/>
    <w:locked/>
    <w:uiPriority w:val="99"/>
    <w:pPr>
      <w:spacing w:beforeAutospacing="1" w:afterAutospacing="1"/>
      <w:jc w:val="left"/>
    </w:pPr>
    <w:rPr>
      <w:kern w:val="0"/>
      <w:sz w:val="24"/>
    </w:rPr>
  </w:style>
  <w:style w:type="paragraph" w:styleId="31">
    <w:name w:val="annotation subject"/>
    <w:basedOn w:val="15"/>
    <w:next w:val="15"/>
    <w:link w:val="129"/>
    <w:semiHidden/>
    <w:unhideWhenUsed/>
    <w:qFormat/>
    <w:locked/>
    <w:uiPriority w:val="99"/>
    <w:rPr>
      <w:b/>
      <w:bCs/>
    </w:rPr>
  </w:style>
  <w:style w:type="paragraph" w:styleId="32">
    <w:name w:val="Body Text First Indent"/>
    <w:basedOn w:val="13"/>
    <w:next w:val="1"/>
    <w:link w:val="101"/>
    <w:unhideWhenUsed/>
    <w:qFormat/>
    <w:locked/>
    <w:uiPriority w:val="99"/>
    <w:pPr>
      <w:spacing w:after="120" w:line="240" w:lineRule="auto"/>
      <w:ind w:firstLine="420" w:firstLineChars="100"/>
    </w:pPr>
    <w:rPr>
      <w:rFonts w:ascii="Times New Roman" w:hAnsi="Times New Roman"/>
      <w:sz w:val="21"/>
    </w:rPr>
  </w:style>
  <w:style w:type="paragraph" w:styleId="33">
    <w:name w:val="Body Text First Indent 2"/>
    <w:basedOn w:val="16"/>
    <w:next w:val="1"/>
    <w:qFormat/>
    <w:locked/>
    <w:uiPriority w:val="99"/>
    <w:pPr>
      <w:ind w:firstLine="420" w:firstLineChars="200"/>
    </w:pPr>
    <w:rPr>
      <w:rFonts w:eastAsia="楷体_GB2312"/>
      <w:b/>
      <w:kern w:val="44"/>
      <w:sz w:val="44"/>
    </w:rPr>
  </w:style>
  <w:style w:type="table" w:styleId="35">
    <w:name w:val="Table Grid"/>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99"/>
    <w:rPr>
      <w:rFonts w:cs="Times New Roman"/>
      <w:b/>
    </w:rPr>
  </w:style>
  <w:style w:type="character" w:styleId="38">
    <w:name w:val="page number"/>
    <w:qFormat/>
    <w:uiPriority w:val="99"/>
    <w:rPr>
      <w:rFonts w:cs="Times New Roman"/>
    </w:rPr>
  </w:style>
  <w:style w:type="character" w:styleId="39">
    <w:name w:val="FollowedHyperlink"/>
    <w:unhideWhenUsed/>
    <w:qFormat/>
    <w:locked/>
    <w:uiPriority w:val="99"/>
    <w:rPr>
      <w:color w:val="333333"/>
      <w:u w:val="none"/>
    </w:rPr>
  </w:style>
  <w:style w:type="character" w:styleId="40">
    <w:name w:val="Emphasis"/>
    <w:basedOn w:val="36"/>
    <w:qFormat/>
    <w:locked/>
    <w:uiPriority w:val="20"/>
  </w:style>
  <w:style w:type="character" w:styleId="41">
    <w:name w:val="HTML Definition"/>
    <w:semiHidden/>
    <w:unhideWhenUsed/>
    <w:qFormat/>
    <w:locked/>
    <w:uiPriority w:val="99"/>
    <w:rPr>
      <w:i/>
      <w:shd w:val="clear" w:color="auto" w:fill="D9534F"/>
    </w:rPr>
  </w:style>
  <w:style w:type="character" w:styleId="42">
    <w:name w:val="HTML Typewriter"/>
    <w:semiHidden/>
    <w:unhideWhenUsed/>
    <w:qFormat/>
    <w:locked/>
    <w:uiPriority w:val="99"/>
    <w:rPr>
      <w:rFonts w:ascii="monospace" w:hAnsi="monospace" w:eastAsia="monospace" w:cs="monospace"/>
      <w:sz w:val="20"/>
    </w:rPr>
  </w:style>
  <w:style w:type="character" w:styleId="43">
    <w:name w:val="HTML Acronym"/>
    <w:basedOn w:val="36"/>
    <w:semiHidden/>
    <w:unhideWhenUsed/>
    <w:qFormat/>
    <w:locked/>
    <w:uiPriority w:val="99"/>
  </w:style>
  <w:style w:type="character" w:styleId="44">
    <w:name w:val="HTML Variable"/>
    <w:basedOn w:val="36"/>
    <w:semiHidden/>
    <w:unhideWhenUsed/>
    <w:qFormat/>
    <w:locked/>
    <w:uiPriority w:val="99"/>
  </w:style>
  <w:style w:type="character" w:styleId="45">
    <w:name w:val="Hyperlink"/>
    <w:qFormat/>
    <w:uiPriority w:val="99"/>
    <w:rPr>
      <w:rFonts w:cs="Times New Roman"/>
      <w:color w:val="0000FF"/>
      <w:u w:val="single"/>
    </w:rPr>
  </w:style>
  <w:style w:type="character" w:styleId="46">
    <w:name w:val="HTML Code"/>
    <w:semiHidden/>
    <w:unhideWhenUsed/>
    <w:qFormat/>
    <w:locked/>
    <w:uiPriority w:val="99"/>
    <w:rPr>
      <w:rFonts w:hint="default" w:ascii="Consolas" w:hAnsi="Consolas" w:eastAsia="Consolas" w:cs="Consolas"/>
      <w:color w:val="C7254E"/>
      <w:sz w:val="21"/>
      <w:szCs w:val="21"/>
      <w:shd w:val="clear" w:color="auto" w:fill="F9F2F4"/>
    </w:rPr>
  </w:style>
  <w:style w:type="character" w:styleId="47">
    <w:name w:val="annotation reference"/>
    <w:semiHidden/>
    <w:unhideWhenUsed/>
    <w:qFormat/>
    <w:locked/>
    <w:uiPriority w:val="99"/>
    <w:rPr>
      <w:sz w:val="21"/>
      <w:szCs w:val="21"/>
    </w:rPr>
  </w:style>
  <w:style w:type="character" w:styleId="48">
    <w:name w:val="HTML Cite"/>
    <w:basedOn w:val="36"/>
    <w:semiHidden/>
    <w:unhideWhenUsed/>
    <w:qFormat/>
    <w:locked/>
    <w:uiPriority w:val="99"/>
  </w:style>
  <w:style w:type="character" w:styleId="49">
    <w:name w:val="HTML Keyboard"/>
    <w:semiHidden/>
    <w:unhideWhenUsed/>
    <w:qFormat/>
    <w:locked/>
    <w:uiPriority w:val="99"/>
    <w:rPr>
      <w:rFonts w:ascii="Consolas" w:hAnsi="Consolas" w:eastAsia="Consolas" w:cs="Consolas"/>
      <w:color w:val="FFFFFF"/>
      <w:sz w:val="21"/>
      <w:szCs w:val="21"/>
      <w:shd w:val="clear" w:color="auto" w:fill="333333"/>
    </w:rPr>
  </w:style>
  <w:style w:type="character" w:styleId="50">
    <w:name w:val="HTML Sample"/>
    <w:semiHidden/>
    <w:unhideWhenUsed/>
    <w:qFormat/>
    <w:locked/>
    <w:uiPriority w:val="99"/>
    <w:rPr>
      <w:rFonts w:hint="default" w:ascii="Consolas" w:hAnsi="Consolas" w:eastAsia="Consolas" w:cs="Consolas"/>
      <w:sz w:val="21"/>
      <w:szCs w:val="21"/>
    </w:rPr>
  </w:style>
  <w:style w:type="paragraph" w:customStyle="1" w:styleId="51">
    <w:name w:val="Default"/>
    <w:basedOn w:val="19"/>
    <w:next w:val="52"/>
    <w:link w:val="10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
    <w:name w:val="大标题"/>
    <w:basedOn w:val="1"/>
    <w:next w:val="33"/>
    <w:qFormat/>
    <w:uiPriority w:val="0"/>
    <w:pPr>
      <w:jc w:val="center"/>
    </w:pPr>
    <w:rPr>
      <w:rFonts w:ascii="Arial" w:hAnsi="Arial"/>
      <w:b/>
      <w:sz w:val="28"/>
    </w:rPr>
  </w:style>
  <w:style w:type="paragraph" w:customStyle="1" w:styleId="53">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54">
    <w:name w:val="无间隔1"/>
    <w:basedOn w:val="1"/>
    <w:qFormat/>
    <w:uiPriority w:val="99"/>
    <w:pPr>
      <w:spacing w:line="400" w:lineRule="exact"/>
    </w:pPr>
    <w:rPr>
      <w:sz w:val="24"/>
    </w:rPr>
  </w:style>
  <w:style w:type="paragraph" w:customStyle="1" w:styleId="55">
    <w:name w:val="文档正文"/>
    <w:basedOn w:val="1"/>
    <w:qFormat/>
    <w:uiPriority w:val="99"/>
    <w:pPr>
      <w:adjustRightInd w:val="0"/>
      <w:spacing w:line="480" w:lineRule="atLeast"/>
      <w:ind w:firstLine="567"/>
      <w:textAlignment w:val="baseline"/>
    </w:pPr>
    <w:rPr>
      <w:rFonts w:ascii="仿宋_GB2312" w:eastAsia="仿宋_GB2312"/>
      <w:kern w:val="0"/>
      <w:sz w:val="28"/>
      <w:szCs w:val="20"/>
    </w:rPr>
  </w:style>
  <w:style w:type="paragraph" w:customStyle="1" w:styleId="56">
    <w:name w:val="_Style 2"/>
    <w:basedOn w:val="1"/>
    <w:next w:val="1"/>
    <w:qFormat/>
    <w:uiPriority w:val="0"/>
    <w:pPr>
      <w:ind w:firstLine="420" w:firstLineChars="200"/>
    </w:pPr>
  </w:style>
  <w:style w:type="paragraph" w:customStyle="1" w:styleId="57">
    <w:name w:val="1.1.1.1"/>
    <w:basedOn w:val="1"/>
    <w:qFormat/>
    <w:uiPriority w:val="99"/>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58">
    <w:name w:val="Char Char Char Char"/>
    <w:basedOn w:val="1"/>
    <w:qFormat/>
    <w:uiPriority w:val="99"/>
    <w:rPr>
      <w:rFonts w:ascii="Tahoma" w:hAnsi="Tahoma"/>
      <w:sz w:val="24"/>
      <w:szCs w:val="20"/>
    </w:rPr>
  </w:style>
  <w:style w:type="paragraph" w:customStyle="1" w:styleId="59">
    <w:name w:val="item1.1"/>
    <w:basedOn w:val="1"/>
    <w:qFormat/>
    <w:uiPriority w:val="99"/>
    <w:pPr>
      <w:adjustRightInd w:val="0"/>
      <w:spacing w:line="480" w:lineRule="exact"/>
      <w:textAlignment w:val="baseline"/>
    </w:pPr>
    <w:rPr>
      <w:rFonts w:ascii="宋体"/>
      <w:sz w:val="28"/>
    </w:rPr>
  </w:style>
  <w:style w:type="paragraph" w:customStyle="1" w:styleId="60">
    <w:name w:val="Char Char1 Char"/>
    <w:basedOn w:val="1"/>
    <w:qFormat/>
    <w:uiPriority w:val="99"/>
    <w:rPr>
      <w:rFonts w:ascii="Tahoma" w:hAnsi="Tahoma"/>
      <w:sz w:val="24"/>
      <w:szCs w:val="20"/>
    </w:rPr>
  </w:style>
  <w:style w:type="paragraph" w:customStyle="1" w:styleId="61">
    <w:name w:val="样式 标题 2 + Times New Roman 四号 非加粗 段前: 5 磅 段后: 0 磅 行距: 固定值 20..."/>
    <w:basedOn w:val="3"/>
    <w:qFormat/>
    <w:uiPriority w:val="99"/>
    <w:pPr>
      <w:adjustRightInd/>
      <w:spacing w:before="100" w:after="0" w:line="400" w:lineRule="exact"/>
      <w:textAlignment w:val="auto"/>
    </w:pPr>
    <w:rPr>
      <w:rFonts w:ascii="Times New Roman" w:hAnsi="Times New Roman"/>
      <w:kern w:val="2"/>
    </w:rPr>
  </w:style>
  <w:style w:type="paragraph" w:customStyle="1" w:styleId="62">
    <w:name w:val="Char"/>
    <w:basedOn w:val="1"/>
    <w:semiHidden/>
    <w:qFormat/>
    <w:uiPriority w:val="99"/>
    <w:pPr>
      <w:widowControl/>
      <w:spacing w:after="160" w:line="240" w:lineRule="exact"/>
      <w:jc w:val="left"/>
    </w:pPr>
    <w:rPr>
      <w:rFonts w:ascii="Arial" w:hAnsi="Arial"/>
      <w:kern w:val="0"/>
      <w:sz w:val="22"/>
      <w:szCs w:val="22"/>
      <w:lang w:eastAsia="en-US"/>
    </w:rPr>
  </w:style>
  <w:style w:type="paragraph" w:customStyle="1" w:styleId="63">
    <w:name w:val="1.1.1.1A-1"/>
    <w:basedOn w:val="64"/>
    <w:qFormat/>
    <w:uiPriority w:val="99"/>
    <w:pPr>
      <w:tabs>
        <w:tab w:val="left" w:pos="1843"/>
        <w:tab w:val="left" w:pos="1985"/>
      </w:tabs>
      <w:ind w:left="1985" w:hanging="425"/>
    </w:pPr>
  </w:style>
  <w:style w:type="paragraph" w:customStyle="1" w:styleId="64">
    <w:name w:val="1.1.1.1A"/>
    <w:basedOn w:val="57"/>
    <w:qFormat/>
    <w:uiPriority w:val="99"/>
    <w:pPr>
      <w:tabs>
        <w:tab w:val="left" w:pos="1843"/>
        <w:tab w:val="clear" w:pos="26875"/>
      </w:tabs>
      <w:ind w:left="1560" w:hanging="426"/>
    </w:pPr>
  </w:style>
  <w:style w:type="paragraph" w:customStyle="1" w:styleId="65">
    <w:name w:val="标书正文"/>
    <w:basedOn w:val="1"/>
    <w:qFormat/>
    <w:uiPriority w:val="99"/>
    <w:pPr>
      <w:tabs>
        <w:tab w:val="left" w:pos="600"/>
      </w:tabs>
      <w:snapToGrid w:val="0"/>
      <w:spacing w:line="480" w:lineRule="atLeast"/>
      <w:ind w:firstLine="480" w:firstLineChars="200"/>
    </w:pPr>
    <w:rPr>
      <w:color w:val="000000"/>
      <w:sz w:val="24"/>
    </w:rPr>
  </w:style>
  <w:style w:type="paragraph" w:customStyle="1" w:styleId="66">
    <w:name w:val="Char1"/>
    <w:basedOn w:val="1"/>
    <w:qFormat/>
    <w:uiPriority w:val="99"/>
    <w:rPr>
      <w:rFonts w:ascii="Tahoma" w:hAnsi="Tahoma"/>
      <w:sz w:val="24"/>
      <w:szCs w:val="20"/>
    </w:rPr>
  </w:style>
  <w:style w:type="paragraph" w:customStyle="1" w:styleId="67">
    <w:name w:val="样式3"/>
    <w:basedOn w:val="19"/>
    <w:qFormat/>
    <w:uiPriority w:val="99"/>
    <w:pPr>
      <w:adjustRightInd w:val="0"/>
      <w:spacing w:line="240" w:lineRule="atLeast"/>
      <w:textAlignment w:val="baseline"/>
      <w:outlineLvl w:val="0"/>
    </w:pPr>
    <w:rPr>
      <w:sz w:val="28"/>
    </w:rPr>
  </w:style>
  <w:style w:type="paragraph" w:customStyle="1" w:styleId="68">
    <w:name w:val="默认段落字体 Para Char Char Char Char"/>
    <w:basedOn w:val="1"/>
    <w:qFormat/>
    <w:uiPriority w:val="99"/>
    <w:pPr>
      <w:snapToGrid w:val="0"/>
      <w:spacing w:line="360" w:lineRule="auto"/>
      <w:ind w:firstLine="200" w:firstLineChars="200"/>
    </w:pPr>
  </w:style>
  <w:style w:type="paragraph" w:customStyle="1" w:styleId="69">
    <w:name w:val="cntrt"/>
    <w:basedOn w:val="1"/>
    <w:qFormat/>
    <w:uiPriority w:val="99"/>
    <w:pPr>
      <w:widowControl/>
      <w:jc w:val="left"/>
    </w:pPr>
    <w:rPr>
      <w:rFonts w:ascii="Arial" w:hAnsi="Arial" w:cs="Arial"/>
      <w:kern w:val="0"/>
      <w:sz w:val="20"/>
      <w:szCs w:val="20"/>
    </w:rPr>
  </w:style>
  <w:style w:type="paragraph" w:customStyle="1" w:styleId="70">
    <w:name w:val="列出段落1"/>
    <w:basedOn w:val="1"/>
    <w:unhideWhenUsed/>
    <w:qFormat/>
    <w:uiPriority w:val="99"/>
    <w:pPr>
      <w:ind w:firstLine="420" w:firstLineChars="200"/>
    </w:pPr>
  </w:style>
  <w:style w:type="paragraph" w:customStyle="1" w:styleId="7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列表段落1"/>
    <w:basedOn w:val="1"/>
    <w:unhideWhenUsed/>
    <w:qFormat/>
    <w:uiPriority w:val="34"/>
    <w:pPr>
      <w:ind w:firstLine="420" w:firstLineChars="200"/>
    </w:pPr>
  </w:style>
  <w:style w:type="paragraph" w:customStyle="1" w:styleId="73">
    <w:name w:val="列出段落2"/>
    <w:basedOn w:val="1"/>
    <w:qFormat/>
    <w:uiPriority w:val="0"/>
    <w:pPr>
      <w:ind w:firstLine="420" w:firstLineChars="200"/>
    </w:pPr>
    <w:rPr>
      <w:rFonts w:ascii="Calibri" w:hAnsi="Calibri"/>
    </w:rPr>
  </w:style>
  <w:style w:type="paragraph" w:customStyle="1" w:styleId="74">
    <w:name w:val="正文_13_0"/>
    <w:basedOn w:val="1"/>
    <w:qFormat/>
    <w:uiPriority w:val="0"/>
    <w:rPr>
      <w:szCs w:val="21"/>
    </w:rPr>
  </w:style>
  <w:style w:type="paragraph" w:customStyle="1" w:styleId="75">
    <w:name w:val="正文 A"/>
    <w:qFormat/>
    <w:uiPriority w:val="0"/>
    <w:rPr>
      <w:rFonts w:ascii="宋体" w:hAnsi="宋体" w:eastAsia="宋体" w:cs="宋体"/>
      <w:color w:val="000000"/>
      <w:sz w:val="24"/>
      <w:szCs w:val="24"/>
      <w:u w:color="000000"/>
      <w:lang w:val="en-US" w:eastAsia="zh-CN" w:bidi="ar-SA"/>
    </w:rPr>
  </w:style>
  <w:style w:type="paragraph" w:customStyle="1" w:styleId="76">
    <w:name w:val="shsj2em"/>
    <w:basedOn w:val="1"/>
    <w:qFormat/>
    <w:uiPriority w:val="0"/>
    <w:pPr>
      <w:ind w:firstLine="420"/>
      <w:jc w:val="left"/>
    </w:pPr>
    <w:rPr>
      <w:kern w:val="0"/>
    </w:rPr>
  </w:style>
  <w:style w:type="paragraph" w:customStyle="1" w:styleId="77">
    <w:name w:val="列出段落3"/>
    <w:basedOn w:val="1"/>
    <w:qFormat/>
    <w:uiPriority w:val="0"/>
    <w:pPr>
      <w:widowControl/>
      <w:ind w:left="720"/>
      <w:contextualSpacing/>
      <w:jc w:val="left"/>
    </w:pPr>
    <w:rPr>
      <w:rFonts w:ascii="Calibri" w:hAnsi="Calibri"/>
      <w:sz w:val="24"/>
      <w:lang w:eastAsia="en-US"/>
    </w:rPr>
  </w:style>
  <w:style w:type="paragraph" w:customStyle="1" w:styleId="78">
    <w:name w:val="无间隔2"/>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9">
    <w:name w:val="标题 1 字符"/>
    <w:link w:val="2"/>
    <w:qFormat/>
    <w:locked/>
    <w:uiPriority w:val="99"/>
    <w:rPr>
      <w:rFonts w:ascii="黑体" w:eastAsia="黑体"/>
      <w:kern w:val="44"/>
      <w:sz w:val="32"/>
    </w:rPr>
  </w:style>
  <w:style w:type="character" w:customStyle="1" w:styleId="80">
    <w:name w:val="标题 2 字符"/>
    <w:link w:val="3"/>
    <w:qFormat/>
    <w:locked/>
    <w:uiPriority w:val="99"/>
    <w:rPr>
      <w:rFonts w:ascii="宋体" w:hAnsi="宋体" w:cs="宋体"/>
      <w:b/>
      <w:sz w:val="30"/>
    </w:rPr>
  </w:style>
  <w:style w:type="character" w:customStyle="1" w:styleId="81">
    <w:name w:val="标题 3 字符"/>
    <w:link w:val="4"/>
    <w:qFormat/>
    <w:locked/>
    <w:uiPriority w:val="99"/>
    <w:rPr>
      <w:rFonts w:ascii="宋体" w:eastAsia="宋体"/>
      <w:b/>
      <w:sz w:val="28"/>
    </w:rPr>
  </w:style>
  <w:style w:type="character" w:customStyle="1" w:styleId="82">
    <w:name w:val="标题 4 字符"/>
    <w:link w:val="5"/>
    <w:semiHidden/>
    <w:qFormat/>
    <w:locked/>
    <w:uiPriority w:val="99"/>
    <w:rPr>
      <w:rFonts w:ascii="Cambria" w:hAnsi="Cambria" w:eastAsia="宋体" w:cs="Times New Roman"/>
      <w:b/>
      <w:bCs/>
      <w:sz w:val="28"/>
      <w:szCs w:val="28"/>
    </w:rPr>
  </w:style>
  <w:style w:type="character" w:customStyle="1" w:styleId="83">
    <w:name w:val="标题 5 字符"/>
    <w:link w:val="6"/>
    <w:semiHidden/>
    <w:qFormat/>
    <w:locked/>
    <w:uiPriority w:val="99"/>
    <w:rPr>
      <w:rFonts w:cs="Times New Roman"/>
      <w:b/>
      <w:bCs/>
      <w:sz w:val="28"/>
      <w:szCs w:val="28"/>
    </w:rPr>
  </w:style>
  <w:style w:type="character" w:customStyle="1" w:styleId="84">
    <w:name w:val="标题 6 字符"/>
    <w:link w:val="7"/>
    <w:semiHidden/>
    <w:qFormat/>
    <w:locked/>
    <w:uiPriority w:val="99"/>
    <w:rPr>
      <w:rFonts w:ascii="Cambria" w:hAnsi="Cambria" w:eastAsia="宋体" w:cs="Times New Roman"/>
      <w:b/>
      <w:bCs/>
      <w:sz w:val="24"/>
      <w:szCs w:val="24"/>
    </w:rPr>
  </w:style>
  <w:style w:type="character" w:customStyle="1" w:styleId="85">
    <w:name w:val="标题 7 字符"/>
    <w:link w:val="8"/>
    <w:semiHidden/>
    <w:qFormat/>
    <w:locked/>
    <w:uiPriority w:val="99"/>
    <w:rPr>
      <w:rFonts w:cs="Times New Roman"/>
      <w:b/>
      <w:bCs/>
      <w:sz w:val="24"/>
      <w:szCs w:val="24"/>
    </w:rPr>
  </w:style>
  <w:style w:type="character" w:customStyle="1" w:styleId="86">
    <w:name w:val="标题 8 字符"/>
    <w:link w:val="9"/>
    <w:semiHidden/>
    <w:qFormat/>
    <w:locked/>
    <w:uiPriority w:val="99"/>
    <w:rPr>
      <w:rFonts w:ascii="Cambria" w:hAnsi="Cambria" w:eastAsia="宋体" w:cs="Times New Roman"/>
      <w:sz w:val="24"/>
      <w:szCs w:val="24"/>
    </w:rPr>
  </w:style>
  <w:style w:type="character" w:customStyle="1" w:styleId="87">
    <w:name w:val="标题 9 字符"/>
    <w:link w:val="10"/>
    <w:semiHidden/>
    <w:qFormat/>
    <w:locked/>
    <w:uiPriority w:val="99"/>
    <w:rPr>
      <w:rFonts w:ascii="Cambria" w:hAnsi="Cambria" w:eastAsia="宋体" w:cs="Times New Roman"/>
      <w:sz w:val="21"/>
      <w:szCs w:val="21"/>
    </w:rPr>
  </w:style>
  <w:style w:type="character" w:customStyle="1" w:styleId="88">
    <w:name w:val="文档结构图 字符"/>
    <w:link w:val="14"/>
    <w:semiHidden/>
    <w:qFormat/>
    <w:locked/>
    <w:uiPriority w:val="99"/>
    <w:rPr>
      <w:rFonts w:cs="Times New Roman"/>
      <w:sz w:val="2"/>
    </w:rPr>
  </w:style>
  <w:style w:type="character" w:customStyle="1" w:styleId="89">
    <w:name w:val="正文文本 字符"/>
    <w:link w:val="13"/>
    <w:semiHidden/>
    <w:qFormat/>
    <w:locked/>
    <w:uiPriority w:val="99"/>
    <w:rPr>
      <w:rFonts w:cs="Times New Roman"/>
      <w:sz w:val="24"/>
      <w:szCs w:val="24"/>
    </w:rPr>
  </w:style>
  <w:style w:type="character" w:customStyle="1" w:styleId="90">
    <w:name w:val="正文文本缩进 字符"/>
    <w:link w:val="16"/>
    <w:semiHidden/>
    <w:qFormat/>
    <w:locked/>
    <w:uiPriority w:val="99"/>
    <w:rPr>
      <w:rFonts w:cs="Times New Roman"/>
      <w:sz w:val="24"/>
      <w:szCs w:val="24"/>
    </w:rPr>
  </w:style>
  <w:style w:type="character" w:customStyle="1" w:styleId="91">
    <w:name w:val="纯文本 字符"/>
    <w:link w:val="19"/>
    <w:semiHidden/>
    <w:qFormat/>
    <w:locked/>
    <w:uiPriority w:val="99"/>
    <w:rPr>
      <w:rFonts w:ascii="宋体" w:hAnsi="Courier New" w:cs="Courier New"/>
      <w:sz w:val="21"/>
      <w:szCs w:val="21"/>
    </w:rPr>
  </w:style>
  <w:style w:type="character" w:customStyle="1" w:styleId="92">
    <w:name w:val="日期 字符"/>
    <w:link w:val="20"/>
    <w:semiHidden/>
    <w:qFormat/>
    <w:locked/>
    <w:uiPriority w:val="99"/>
    <w:rPr>
      <w:rFonts w:cs="Times New Roman"/>
      <w:sz w:val="24"/>
      <w:szCs w:val="24"/>
    </w:rPr>
  </w:style>
  <w:style w:type="character" w:customStyle="1" w:styleId="93">
    <w:name w:val="正文文本缩进 2 字符"/>
    <w:link w:val="21"/>
    <w:semiHidden/>
    <w:qFormat/>
    <w:locked/>
    <w:uiPriority w:val="99"/>
    <w:rPr>
      <w:rFonts w:cs="Times New Roman"/>
      <w:sz w:val="24"/>
      <w:szCs w:val="24"/>
    </w:rPr>
  </w:style>
  <w:style w:type="character" w:customStyle="1" w:styleId="94">
    <w:name w:val="批注框文本 字符"/>
    <w:link w:val="22"/>
    <w:semiHidden/>
    <w:qFormat/>
    <w:locked/>
    <w:uiPriority w:val="99"/>
    <w:rPr>
      <w:rFonts w:cs="Times New Roman"/>
      <w:sz w:val="2"/>
    </w:rPr>
  </w:style>
  <w:style w:type="character" w:customStyle="1" w:styleId="95">
    <w:name w:val="页脚 字符"/>
    <w:link w:val="23"/>
    <w:qFormat/>
    <w:locked/>
    <w:uiPriority w:val="99"/>
    <w:rPr>
      <w:rFonts w:eastAsia="宋体" w:cs="Times New Roman"/>
      <w:kern w:val="2"/>
      <w:sz w:val="18"/>
      <w:lang w:val="en-US" w:eastAsia="zh-CN"/>
    </w:rPr>
  </w:style>
  <w:style w:type="character" w:customStyle="1" w:styleId="96">
    <w:name w:val="页眉 字符"/>
    <w:link w:val="24"/>
    <w:qFormat/>
    <w:locked/>
    <w:uiPriority w:val="99"/>
    <w:rPr>
      <w:rFonts w:cs="Times New Roman"/>
      <w:kern w:val="2"/>
      <w:sz w:val="18"/>
    </w:rPr>
  </w:style>
  <w:style w:type="character" w:customStyle="1" w:styleId="97">
    <w:name w:val="正文文本缩进 3 字符"/>
    <w:link w:val="27"/>
    <w:semiHidden/>
    <w:qFormat/>
    <w:locked/>
    <w:uiPriority w:val="99"/>
    <w:rPr>
      <w:rFonts w:cs="Times New Roman"/>
      <w:sz w:val="16"/>
      <w:szCs w:val="16"/>
    </w:rPr>
  </w:style>
  <w:style w:type="character" w:customStyle="1" w:styleId="98">
    <w:name w:val="正文文本 2 字符"/>
    <w:link w:val="12"/>
    <w:semiHidden/>
    <w:qFormat/>
    <w:locked/>
    <w:uiPriority w:val="99"/>
    <w:rPr>
      <w:rFonts w:cs="Times New Roman"/>
      <w:sz w:val="24"/>
      <w:szCs w:val="24"/>
    </w:rPr>
  </w:style>
  <w:style w:type="character" w:customStyle="1" w:styleId="99">
    <w:name w:val="样式 标书正文 + 下划线 Char"/>
    <w:qFormat/>
    <w:uiPriority w:val="99"/>
    <w:rPr>
      <w:rFonts w:eastAsia="楷体_GB2312"/>
      <w:kern w:val="2"/>
      <w:sz w:val="28"/>
      <w:u w:val="single"/>
      <w:lang w:val="en-US" w:eastAsia="zh-CN"/>
    </w:rPr>
  </w:style>
  <w:style w:type="character" w:customStyle="1" w:styleId="100">
    <w:name w:val="Default Char Char"/>
    <w:link w:val="51"/>
    <w:qFormat/>
    <w:locked/>
    <w:uiPriority w:val="99"/>
    <w:rPr>
      <w:rFonts w:ascii="宋体" w:cs="宋体"/>
      <w:color w:val="000000"/>
      <w:sz w:val="24"/>
      <w:szCs w:val="24"/>
      <w:lang w:val="en-US" w:eastAsia="zh-CN" w:bidi="ar-SA"/>
    </w:rPr>
  </w:style>
  <w:style w:type="character" w:customStyle="1" w:styleId="101">
    <w:name w:val="正文文本首行缩进 字符"/>
    <w:link w:val="32"/>
    <w:qFormat/>
    <w:uiPriority w:val="99"/>
    <w:rPr>
      <w:rFonts w:cs="Times New Roman"/>
      <w:kern w:val="2"/>
      <w:sz w:val="21"/>
      <w:szCs w:val="24"/>
    </w:rPr>
  </w:style>
  <w:style w:type="character" w:customStyle="1" w:styleId="102">
    <w:name w:val="t-exception-class-name"/>
    <w:qFormat/>
    <w:uiPriority w:val="0"/>
    <w:rPr>
      <w:b/>
      <w:color w:val="0000FF"/>
      <w:sz w:val="24"/>
      <w:szCs w:val="24"/>
      <w:shd w:val="clear" w:color="auto" w:fill="E1E1E1"/>
    </w:rPr>
  </w:style>
  <w:style w:type="character" w:customStyle="1" w:styleId="103">
    <w:name w:val="t-exception-stack-controls"/>
    <w:basedOn w:val="36"/>
    <w:qFormat/>
    <w:uiPriority w:val="0"/>
  </w:style>
  <w:style w:type="character" w:customStyle="1" w:styleId="104">
    <w:name w:val="t-tree-icon"/>
    <w:basedOn w:val="36"/>
    <w:qFormat/>
    <w:uiPriority w:val="0"/>
  </w:style>
  <w:style w:type="character" w:customStyle="1" w:styleId="105">
    <w:name w:val="t-render-object-error"/>
    <w:qFormat/>
    <w:uiPriority w:val="0"/>
    <w:rPr>
      <w:b/>
      <w:i/>
      <w:color w:val="FF0000"/>
    </w:rPr>
  </w:style>
  <w:style w:type="character" w:customStyle="1" w:styleId="106">
    <w:name w:val="current"/>
    <w:qFormat/>
    <w:uiPriority w:val="0"/>
    <w:rPr>
      <w:color w:val="FFFFFF"/>
      <w:sz w:val="27"/>
      <w:szCs w:val="27"/>
      <w:u w:val="none"/>
      <w:bdr w:val="single" w:color="C0C0C0" w:sz="6" w:space="0"/>
      <w:shd w:val="clear" w:color="auto" w:fill="809FFF"/>
    </w:rPr>
  </w:style>
  <w:style w:type="character" w:customStyle="1" w:styleId="107">
    <w:name w:val="t-tree-expanded"/>
    <w:basedOn w:val="36"/>
    <w:qFormat/>
    <w:uiPriority w:val="0"/>
  </w:style>
  <w:style w:type="character" w:customStyle="1" w:styleId="108">
    <w:name w:val="t-ajax-wait"/>
    <w:basedOn w:val="36"/>
    <w:qFormat/>
    <w:uiPriority w:val="0"/>
  </w:style>
  <w:style w:type="character" w:customStyle="1" w:styleId="109">
    <w:name w:val="hover13"/>
    <w:qFormat/>
    <w:uiPriority w:val="0"/>
    <w:rPr>
      <w:color w:val="FFFFFF"/>
      <w:shd w:val="clear" w:color="auto" w:fill="00C1B3"/>
    </w:rPr>
  </w:style>
  <w:style w:type="character" w:customStyle="1" w:styleId="110">
    <w:name w:val="hover14"/>
    <w:qFormat/>
    <w:uiPriority w:val="0"/>
    <w:rPr>
      <w:color w:val="FFFFFF"/>
      <w:shd w:val="clear" w:color="auto" w:fill="00C1B3"/>
    </w:rPr>
  </w:style>
  <w:style w:type="character" w:customStyle="1" w:styleId="111">
    <w:name w:val="hover15"/>
    <w:qFormat/>
    <w:uiPriority w:val="0"/>
    <w:rPr>
      <w:sz w:val="21"/>
      <w:szCs w:val="21"/>
    </w:rPr>
  </w:style>
  <w:style w:type="character" w:customStyle="1" w:styleId="112">
    <w:name w:val="hover12"/>
    <w:qFormat/>
    <w:uiPriority w:val="0"/>
    <w:rPr>
      <w:color w:val="FFFFFF"/>
      <w:shd w:val="clear" w:color="auto" w:fill="00C1B3"/>
    </w:rPr>
  </w:style>
  <w:style w:type="character" w:customStyle="1" w:styleId="113">
    <w:name w:val="font11"/>
    <w:qFormat/>
    <w:uiPriority w:val="0"/>
    <w:rPr>
      <w:rFonts w:hint="eastAsia" w:ascii="宋体" w:hAnsi="宋体" w:eastAsia="宋体" w:cs="宋体"/>
      <w:color w:val="FF0000"/>
      <w:sz w:val="24"/>
      <w:szCs w:val="24"/>
      <w:u w:val="none"/>
    </w:rPr>
  </w:style>
  <w:style w:type="character" w:customStyle="1" w:styleId="114">
    <w:name w:val="font01"/>
    <w:qFormat/>
    <w:uiPriority w:val="0"/>
    <w:rPr>
      <w:rFonts w:hint="eastAsia" w:ascii="宋体" w:hAnsi="宋体" w:eastAsia="宋体" w:cs="宋体"/>
      <w:color w:val="000000"/>
      <w:sz w:val="24"/>
      <w:szCs w:val="24"/>
      <w:u w:val="none"/>
    </w:rPr>
  </w:style>
  <w:style w:type="character" w:customStyle="1" w:styleId="115">
    <w:name w:val="NormalCharacter"/>
    <w:qFormat/>
    <w:uiPriority w:val="0"/>
    <w:rPr>
      <w:rFonts w:ascii="Times New Roman" w:hAnsi="Times New Roman" w:eastAsia="宋体"/>
    </w:rPr>
  </w:style>
  <w:style w:type="character" w:customStyle="1" w:styleId="116">
    <w:name w:val="first-child"/>
    <w:qFormat/>
    <w:uiPriority w:val="0"/>
    <w:rPr>
      <w:color w:val="1F3149"/>
      <w:sz w:val="24"/>
      <w:szCs w:val="24"/>
    </w:rPr>
  </w:style>
  <w:style w:type="character" w:customStyle="1" w:styleId="117">
    <w:name w:val="first-child1"/>
    <w:qFormat/>
    <w:uiPriority w:val="0"/>
    <w:rPr>
      <w:color w:val="1F3149"/>
      <w:sz w:val="24"/>
      <w:szCs w:val="24"/>
    </w:rPr>
  </w:style>
  <w:style w:type="character" w:customStyle="1" w:styleId="118">
    <w:name w:val="icon_ds"/>
    <w:qFormat/>
    <w:uiPriority w:val="0"/>
    <w:rPr>
      <w:sz w:val="21"/>
      <w:szCs w:val="21"/>
    </w:rPr>
  </w:style>
  <w:style w:type="character" w:customStyle="1" w:styleId="119">
    <w:name w:val="icon_ds1"/>
    <w:basedOn w:val="36"/>
    <w:qFormat/>
    <w:uiPriority w:val="0"/>
  </w:style>
  <w:style w:type="character" w:customStyle="1" w:styleId="120">
    <w:name w:val="icon_gys"/>
    <w:qFormat/>
    <w:uiPriority w:val="0"/>
    <w:rPr>
      <w:sz w:val="21"/>
      <w:szCs w:val="21"/>
    </w:rPr>
  </w:style>
  <w:style w:type="character" w:customStyle="1" w:styleId="121">
    <w:name w:val="xiadan"/>
    <w:qFormat/>
    <w:uiPriority w:val="0"/>
    <w:rPr>
      <w:shd w:val="clear" w:color="auto" w:fill="E4393C"/>
    </w:rPr>
  </w:style>
  <w:style w:type="character" w:customStyle="1" w:styleId="122">
    <w:name w:val="fr"/>
    <w:basedOn w:val="36"/>
    <w:qFormat/>
    <w:uiPriority w:val="0"/>
  </w:style>
  <w:style w:type="character" w:customStyle="1" w:styleId="123">
    <w:name w:val="textstyle3"/>
    <w:basedOn w:val="36"/>
    <w:qFormat/>
    <w:uiPriority w:val="0"/>
  </w:style>
  <w:style w:type="character" w:customStyle="1" w:styleId="124">
    <w:name w:val="hover16"/>
    <w:basedOn w:val="36"/>
    <w:qFormat/>
    <w:uiPriority w:val="0"/>
  </w:style>
  <w:style w:type="character" w:customStyle="1" w:styleId="125">
    <w:name w:val="hover"/>
    <w:qFormat/>
    <w:uiPriority w:val="0"/>
    <w:rPr>
      <w:color w:val="333333"/>
      <w:u w:val="none"/>
    </w:rPr>
  </w:style>
  <w:style w:type="character" w:customStyle="1" w:styleId="126">
    <w:name w:val="first-child2"/>
    <w:qFormat/>
    <w:uiPriority w:val="0"/>
    <w:rPr>
      <w:color w:val="1F3149"/>
      <w:sz w:val="24"/>
      <w:szCs w:val="24"/>
    </w:rPr>
  </w:style>
  <w:style w:type="character" w:customStyle="1" w:styleId="127">
    <w:name w:val="hover17"/>
    <w:basedOn w:val="36"/>
    <w:qFormat/>
    <w:uiPriority w:val="0"/>
  </w:style>
  <w:style w:type="character" w:customStyle="1" w:styleId="128">
    <w:name w:val="批注文字 字符"/>
    <w:link w:val="15"/>
    <w:semiHidden/>
    <w:qFormat/>
    <w:uiPriority w:val="99"/>
    <w:rPr>
      <w:kern w:val="2"/>
      <w:sz w:val="21"/>
      <w:szCs w:val="24"/>
    </w:rPr>
  </w:style>
  <w:style w:type="character" w:customStyle="1" w:styleId="129">
    <w:name w:val="批注主题 字符"/>
    <w:link w:val="31"/>
    <w:qFormat/>
    <w:uiPriority w:val="0"/>
    <w:rPr>
      <w:kern w:val="2"/>
      <w:sz w:val="21"/>
      <w:szCs w:val="24"/>
    </w:rPr>
  </w:style>
  <w:style w:type="table" w:customStyle="1" w:styleId="130">
    <w:name w:val="Table Normal"/>
    <w:unhideWhenUsed/>
    <w:qFormat/>
    <w:uiPriority w:val="2"/>
    <w:tblPr>
      <w:tblCellMar>
        <w:top w:w="0" w:type="dxa"/>
        <w:left w:w="0" w:type="dxa"/>
        <w:bottom w:w="0" w:type="dxa"/>
        <w:right w:w="0" w:type="dxa"/>
      </w:tblCellMar>
    </w:tblPr>
  </w:style>
  <w:style w:type="paragraph" w:styleId="131">
    <w:name w:val="List Paragraph"/>
    <w:basedOn w:val="1"/>
    <w:qFormat/>
    <w:uiPriority w:val="1"/>
    <w:pPr>
      <w:ind w:left="438" w:hanging="423"/>
    </w:pPr>
    <w:rPr>
      <w:rFonts w:ascii="宋体" w:hAnsi="宋体" w:eastAsia="宋体" w:cs="宋体"/>
      <w:lang w:val="zh-CN" w:eastAsia="zh-CN" w:bidi="zh-CN"/>
    </w:rPr>
  </w:style>
  <w:style w:type="paragraph" w:customStyle="1" w:styleId="132">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宋体"/>
      <w:kern w:val="2"/>
      <w:sz w:val="21"/>
      <w:szCs w:val="21"/>
      <w:lang w:val="en-US" w:eastAsia="zh-CN" w:bidi="ar"/>
    </w:rPr>
  </w:style>
  <w:style w:type="character" w:customStyle="1" w:styleId="133">
    <w:name w:val="hover1"/>
    <w:basedOn w:val="36"/>
    <w:qFormat/>
    <w:uiPriority w:val="0"/>
  </w:style>
  <w:style w:type="character" w:customStyle="1" w:styleId="134">
    <w:name w:val="hover2"/>
    <w:basedOn w:val="36"/>
    <w:qFormat/>
    <w:uiPriority w:val="0"/>
    <w:rPr>
      <w:color w:val="2590EB"/>
    </w:rPr>
  </w:style>
  <w:style w:type="character" w:customStyle="1" w:styleId="135">
    <w:name w:val="hover3"/>
    <w:basedOn w:val="36"/>
    <w:qFormat/>
    <w:uiPriority w:val="0"/>
    <w:rPr>
      <w:color w:val="2590EB"/>
    </w:rPr>
  </w:style>
  <w:style w:type="character" w:customStyle="1" w:styleId="136">
    <w:name w:val="hover4"/>
    <w:basedOn w:val="36"/>
    <w:qFormat/>
    <w:uiPriority w:val="0"/>
    <w:rPr>
      <w:color w:val="2590EB"/>
      <w:shd w:val="clear" w:fill="E9F4FD"/>
    </w:rPr>
  </w:style>
  <w:style w:type="paragraph" w:customStyle="1" w:styleId="137">
    <w:name w:val="标题 81"/>
    <w:basedOn w:val="1"/>
    <w:qFormat/>
    <w:uiPriority w:val="1"/>
    <w:pPr>
      <w:spacing w:before="36"/>
      <w:ind w:left="464"/>
      <w:outlineLvl w:val="8"/>
    </w:pPr>
    <w:rPr>
      <w:b/>
      <w:bCs/>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ompany>
  <Pages>81</Pages>
  <Words>35743</Words>
  <Characters>38551</Characters>
  <Lines>309</Lines>
  <Paragraphs>87</Paragraphs>
  <TotalTime>2</TotalTime>
  <ScaleCrop>false</ScaleCrop>
  <LinksUpToDate>false</LinksUpToDate>
  <CharactersWithSpaces>41106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2019-07-08T14:49:00Z</dcterms:created>
  <dc:creator>20100314/sun</dc:creator>
  <cp:lastModifiedBy>Administrator</cp:lastModifiedBy>
  <cp:lastPrinted>2023-09-04T03:08:00Z</cp:lastPrinted>
  <dcterms:modified xsi:type="dcterms:W3CDTF">2023-12-06T05:39:37Z</dcterms:modified>
  <dc:title>信息广场电梯</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E414A53FBDEB468E979BE2E74C21EDFA_13</vt:lpwstr>
  </property>
</Properties>
</file>