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val="0"/>
        <w:topLinePunct/>
        <w:autoSpaceDE w:val="0"/>
        <w:autoSpaceDN w:val="0"/>
        <w:bidi w:val="0"/>
        <w:spacing w:before="152" w:line="360" w:lineRule="auto"/>
        <w:jc w:val="center"/>
        <w:rPr>
          <w:rFonts w:hint="eastAsia" w:ascii="宋体" w:hAnsi="宋体" w:eastAsia="宋体" w:cs="宋体"/>
          <w:color w:val="auto"/>
          <w:spacing w:val="12"/>
          <w:sz w:val="52"/>
          <w:szCs w:val="52"/>
          <w:highlight w:val="none"/>
          <w:lang w:eastAsia="zh-CN"/>
          <w14:textOutline w14:w="8630" w14:cap="flat" w14:cmpd="sng">
            <w14:solidFill>
              <w14:srgbClr w14:val="000000"/>
            </w14:solidFill>
            <w14:prstDash w14:val="solid"/>
            <w14:miter w14:val="0"/>
          </w14:textOutline>
        </w:rPr>
      </w:pPr>
    </w:p>
    <w:p>
      <w:pPr>
        <w:spacing w:line="360" w:lineRule="auto"/>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固始县</w:t>
      </w:r>
      <w:r>
        <w:rPr>
          <w:rFonts w:hint="eastAsia" w:asciiTheme="majorEastAsia" w:hAnsiTheme="majorEastAsia" w:eastAsiaTheme="majorEastAsia" w:cstheme="majorEastAsia"/>
          <w:b/>
          <w:bCs/>
          <w:sz w:val="48"/>
          <w:szCs w:val="48"/>
          <w:lang w:val="en-US" w:eastAsia="zh-CN"/>
        </w:rPr>
        <w:t>残疾人联合会</w:t>
      </w:r>
    </w:p>
    <w:p>
      <w:pPr>
        <w:spacing w:line="360" w:lineRule="auto"/>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固始县残疾人托养中心采购医疗机构合作方</w:t>
      </w:r>
    </w:p>
    <w:p>
      <w:pPr>
        <w:spacing w:line="360" w:lineRule="auto"/>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项 目 招 标 文 件</w:t>
      </w:r>
    </w:p>
    <w:p>
      <w:pPr>
        <w:keepNext w:val="0"/>
        <w:keepLines w:val="0"/>
        <w:pageBreakBefore w:val="0"/>
        <w:kinsoku/>
        <w:wordWrap w:val="0"/>
        <w:overflowPunct w:val="0"/>
        <w:topLinePunct/>
        <w:autoSpaceDE w:val="0"/>
        <w:autoSpaceDN w:val="0"/>
        <w:bidi w:val="0"/>
        <w:spacing w:before="234" w:line="220" w:lineRule="auto"/>
        <w:jc w:val="center"/>
        <w:rPr>
          <w:rFonts w:hint="eastAsia" w:ascii="宋体" w:hAnsi="宋体" w:eastAsia="宋体" w:cs="宋体"/>
          <w:b w:val="0"/>
          <w:bCs w:val="0"/>
          <w:color w:val="auto"/>
          <w:spacing w:val="14"/>
          <w:sz w:val="32"/>
          <w:szCs w:val="32"/>
          <w:highlight w:val="none"/>
          <w14:textOutline w14:w="6540"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spacing w:before="234" w:line="220" w:lineRule="auto"/>
        <w:jc w:val="center"/>
        <w:rPr>
          <w:rFonts w:hint="default" w:ascii="宋体" w:hAnsi="宋体" w:eastAsia="宋体" w:cs="宋体"/>
          <w:b w:val="0"/>
          <w:bCs w:val="0"/>
          <w:color w:val="auto"/>
          <w:spacing w:val="10"/>
          <w:sz w:val="32"/>
          <w:szCs w:val="32"/>
          <w:highlight w:val="none"/>
          <w:lang w:val="en-US" w:eastAsia="zh-CN"/>
          <w14:textOutline w14:w="6540" w14:cap="flat" w14:cmpd="sng">
            <w14:solidFill>
              <w14:srgbClr w14:val="000000"/>
            </w14:solidFill>
            <w14:prstDash w14:val="solid"/>
            <w14:miter w14:val="0"/>
          </w14:textOutline>
        </w:rPr>
      </w:pPr>
      <w:r>
        <w:rPr>
          <w:rFonts w:hint="eastAsia" w:ascii="宋体" w:hAnsi="宋体" w:eastAsia="宋体" w:cs="宋体"/>
          <w:b w:val="0"/>
          <w:bCs w:val="0"/>
          <w:color w:val="auto"/>
          <w:spacing w:val="14"/>
          <w:sz w:val="32"/>
          <w:szCs w:val="32"/>
          <w:highlight w:val="none"/>
          <w14:textOutline w14:w="6540" w14:cap="flat" w14:cmpd="sng">
            <w14:solidFill>
              <w14:srgbClr w14:val="000000"/>
            </w14:solidFill>
            <w14:prstDash w14:val="solid"/>
            <w14:miter w14:val="0"/>
          </w14:textOutline>
        </w:rPr>
        <w:t>采</w:t>
      </w:r>
      <w:r>
        <w:rPr>
          <w:rFonts w:hint="eastAsia" w:ascii="宋体" w:hAnsi="宋体" w:eastAsia="宋体" w:cs="宋体"/>
          <w:b w:val="0"/>
          <w:bCs w:val="0"/>
          <w:color w:val="auto"/>
          <w:spacing w:val="10"/>
          <w:sz w:val="32"/>
          <w:szCs w:val="32"/>
          <w:highlight w:val="none"/>
          <w14:textOutline w14:w="6540" w14:cap="flat" w14:cmpd="sng">
            <w14:solidFill>
              <w14:srgbClr w14:val="000000"/>
            </w14:solidFill>
            <w14:prstDash w14:val="solid"/>
            <w14:miter w14:val="0"/>
          </w14:textOutline>
        </w:rPr>
        <w:t>购编号：</w:t>
      </w:r>
      <w:r>
        <w:rPr>
          <w:rFonts w:hint="eastAsia" w:ascii="宋体" w:hAnsi="宋体" w:eastAsia="宋体" w:cs="宋体"/>
          <w:b w:val="0"/>
          <w:bCs w:val="0"/>
          <w:color w:val="auto"/>
          <w:spacing w:val="10"/>
          <w:sz w:val="32"/>
          <w:szCs w:val="32"/>
          <w:highlight w:val="none"/>
          <w:lang w:val="en-US" w:eastAsia="zh-CN"/>
          <w14:textOutline w14:w="6540" w14:cap="flat" w14:cmpd="sng">
            <w14:solidFill>
              <w14:srgbClr w14:val="000000"/>
            </w14:solidFill>
            <w14:prstDash w14:val="solid"/>
            <w14:miter w14:val="0"/>
          </w14:textOutline>
        </w:rPr>
        <w:t>固财招标采购-2024-30</w:t>
      </w:r>
    </w:p>
    <w:p>
      <w:pPr>
        <w:keepNext w:val="0"/>
        <w:keepLines w:val="0"/>
        <w:pageBreakBefore w:val="0"/>
        <w:kinsoku/>
        <w:wordWrap w:val="0"/>
        <w:overflowPunct w:val="0"/>
        <w:topLinePunct/>
        <w:autoSpaceDE w:val="0"/>
        <w:autoSpaceDN w:val="0"/>
        <w:bidi w:val="0"/>
        <w:spacing w:line="263" w:lineRule="auto"/>
        <w:rPr>
          <w:rFonts w:hint="eastAsia" w:ascii="宋体" w:hAnsi="宋体" w:eastAsia="宋体" w:cs="宋体"/>
          <w:color w:val="auto"/>
          <w:sz w:val="21"/>
          <w:highlight w:val="none"/>
          <w:lang w:val="en-US" w:eastAsia="zh-CN"/>
        </w:rPr>
      </w:pPr>
    </w:p>
    <w:p>
      <w:pPr>
        <w:pStyle w:val="2"/>
        <w:rPr>
          <w:rFonts w:hint="eastAsia" w:ascii="宋体" w:hAnsi="宋体" w:eastAsia="宋体" w:cs="宋体"/>
          <w:color w:val="auto"/>
          <w:sz w:val="21"/>
          <w:highlight w:val="none"/>
          <w:lang w:val="en-US" w:eastAsia="zh-CN"/>
        </w:rPr>
      </w:pPr>
    </w:p>
    <w:p>
      <w:pPr>
        <w:pStyle w:val="3"/>
        <w:rPr>
          <w:rFonts w:hint="eastAsia"/>
          <w:lang w:val="en-US" w:eastAsia="zh-CN"/>
        </w:rPr>
      </w:pPr>
    </w:p>
    <w:p>
      <w:pPr>
        <w:keepNext w:val="0"/>
        <w:keepLines w:val="0"/>
        <w:pageBreakBefore w:val="0"/>
        <w:kinsoku/>
        <w:wordWrap w:val="0"/>
        <w:overflowPunct w:val="0"/>
        <w:topLinePunct/>
        <w:autoSpaceDE w:val="0"/>
        <w:autoSpaceDN w:val="0"/>
        <w:bidi w:val="0"/>
        <w:spacing w:line="263" w:lineRule="auto"/>
        <w:jc w:val="center"/>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63" w:lineRule="auto"/>
        <w:jc w:val="center"/>
        <w:rPr>
          <w:rFonts w:hint="eastAsia" w:ascii="宋体" w:hAnsi="宋体" w:eastAsia="宋体" w:cs="宋体"/>
          <w:color w:val="auto"/>
          <w:sz w:val="21"/>
          <w:highlight w:val="none"/>
        </w:rPr>
      </w:pPr>
      <w:r>
        <w:rPr>
          <w:rFonts w:hint="eastAsia" w:ascii="宋体" w:hAnsi="宋体" w:eastAsia="宋体" w:cs="宋体"/>
          <w:color w:val="auto"/>
          <w:highlight w:val="none"/>
          <w:lang w:eastAsia="zh-CN"/>
        </w:rPr>
        <w:drawing>
          <wp:inline distT="0" distB="0" distL="114300" distR="114300">
            <wp:extent cx="2164715" cy="2164715"/>
            <wp:effectExtent l="0" t="0" r="0" b="0"/>
            <wp:docPr id="1" name="图片 1" descr="采购中心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采购中心标识"/>
                    <pic:cNvPicPr>
                      <a:picLocks noChangeAspect="1"/>
                    </pic:cNvPicPr>
                  </pic:nvPicPr>
                  <pic:blipFill>
                    <a:blip r:embed="rId26"/>
                    <a:stretch>
                      <a:fillRect/>
                    </a:stretch>
                  </pic:blipFill>
                  <pic:spPr>
                    <a:xfrm>
                      <a:off x="0" y="0"/>
                      <a:ext cx="2164715" cy="2164715"/>
                    </a:xfrm>
                    <a:prstGeom prst="rect">
                      <a:avLst/>
                    </a:prstGeom>
                  </pic:spPr>
                </pic:pic>
              </a:graphicData>
            </a:graphic>
          </wp:inline>
        </w:drawing>
      </w:r>
    </w:p>
    <w:p>
      <w:pPr>
        <w:keepNext w:val="0"/>
        <w:keepLines w:val="0"/>
        <w:pageBreakBefore w:val="0"/>
        <w:kinsoku/>
        <w:wordWrap w:val="0"/>
        <w:overflowPunct w:val="0"/>
        <w:topLinePunct/>
        <w:autoSpaceDE w:val="0"/>
        <w:autoSpaceDN w:val="0"/>
        <w:bidi w:val="0"/>
        <w:spacing w:line="240" w:lineRule="auto"/>
        <w:ind w:firstLine="3395"/>
        <w:textAlignment w:val="center"/>
        <w:rPr>
          <w:rFonts w:hint="eastAsia" w:ascii="宋体" w:hAnsi="宋体" w:eastAsia="宋体" w:cs="宋体"/>
          <w:color w:val="auto"/>
          <w:highlight w:val="none"/>
          <w:lang w:eastAsia="zh-CN"/>
        </w:rPr>
      </w:pPr>
    </w:p>
    <w:p>
      <w:pPr>
        <w:keepNext w:val="0"/>
        <w:keepLines w:val="0"/>
        <w:pageBreakBefore w:val="0"/>
        <w:kinsoku/>
        <w:wordWrap w:val="0"/>
        <w:overflowPunct w:val="0"/>
        <w:topLinePunct/>
        <w:autoSpaceDE w:val="0"/>
        <w:autoSpaceDN w:val="0"/>
        <w:bidi w:val="0"/>
        <w:spacing w:line="240" w:lineRule="auto"/>
        <w:ind w:firstLine="3395"/>
        <w:textAlignment w:val="center"/>
        <w:rPr>
          <w:rFonts w:hint="eastAsia" w:ascii="宋体" w:hAnsi="宋体" w:eastAsia="宋体" w:cs="宋体"/>
          <w:color w:val="auto"/>
          <w:highlight w:val="none"/>
          <w:lang w:eastAsia="zh-CN"/>
        </w:rPr>
      </w:pPr>
    </w:p>
    <w:p>
      <w:pPr>
        <w:keepNext w:val="0"/>
        <w:keepLines w:val="0"/>
        <w:pageBreakBefore w:val="0"/>
        <w:kinsoku/>
        <w:wordWrap w:val="0"/>
        <w:overflowPunct w:val="0"/>
        <w:topLinePunct/>
        <w:autoSpaceDE w:val="0"/>
        <w:autoSpaceDN w:val="0"/>
        <w:bidi w:val="0"/>
        <w:spacing w:line="246" w:lineRule="auto"/>
        <w:rPr>
          <w:rFonts w:hint="eastAsia" w:ascii="宋体" w:hAnsi="宋体" w:eastAsia="宋体" w:cs="宋体"/>
          <w:color w:val="auto"/>
          <w:sz w:val="21"/>
          <w:highlight w:val="none"/>
        </w:rPr>
      </w:pPr>
    </w:p>
    <w:p>
      <w:pPr>
        <w:pStyle w:val="13"/>
        <w:rPr>
          <w:rFonts w:hint="eastAsia"/>
        </w:rPr>
      </w:pP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val="0"/>
          <w:bCs w:val="0"/>
          <w:color w:val="auto"/>
          <w:sz w:val="32"/>
          <w:szCs w:val="32"/>
          <w:highlight w:val="none"/>
          <w:lang w:eastAsia="zh-CN"/>
        </w:rPr>
      </w:pPr>
      <w:bookmarkStart w:id="0" w:name="_Toc32539"/>
      <w:bookmarkStart w:id="1" w:name="_Toc32220"/>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rPr>
        <w:t>采   购   人：</w:t>
      </w:r>
      <w:bookmarkEnd w:id="0"/>
      <w:bookmarkEnd w:id="1"/>
      <w:r>
        <w:rPr>
          <w:rFonts w:hint="eastAsia" w:ascii="宋体" w:hAnsi="宋体" w:eastAsia="宋体" w:cs="宋体"/>
          <w:b w:val="0"/>
          <w:bCs w:val="0"/>
          <w:color w:val="auto"/>
          <w:sz w:val="32"/>
          <w:szCs w:val="32"/>
          <w:highlight w:val="none"/>
          <w:lang w:eastAsia="zh-CN"/>
        </w:rPr>
        <w:t>固始县残疾人联合会</w:t>
      </w:r>
    </w:p>
    <w:p>
      <w:pPr>
        <w:keepNext w:val="0"/>
        <w:keepLines w:val="0"/>
        <w:pageBreakBefore w:val="0"/>
        <w:widowControl/>
        <w:kinsoku/>
        <w:wordWrap w:val="0"/>
        <w:overflowPunct w:val="0"/>
        <w:topLinePunct/>
        <w:autoSpaceDE w:val="0"/>
        <w:autoSpaceDN w:val="0"/>
        <w:bidi w:val="0"/>
        <w:adjustRightInd w:val="0"/>
        <w:snapToGrid w:val="0"/>
        <w:spacing w:line="360" w:lineRule="auto"/>
        <w:ind w:left="0" w:leftChars="0" w:firstLine="0" w:firstLineChars="0"/>
        <w:jc w:val="center"/>
        <w:textAlignment w:val="baseline"/>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rPr>
        <w:t>采购代理机构：</w:t>
      </w:r>
      <w:r>
        <w:rPr>
          <w:rFonts w:hint="eastAsia" w:ascii="宋体" w:hAnsi="宋体" w:eastAsia="宋体" w:cs="宋体"/>
          <w:b w:val="0"/>
          <w:bCs w:val="0"/>
          <w:color w:val="auto"/>
          <w:sz w:val="32"/>
          <w:szCs w:val="32"/>
          <w:highlight w:val="none"/>
          <w:lang w:val="en-US" w:eastAsia="zh-CN"/>
        </w:rPr>
        <w:t>固始县采购中心</w:t>
      </w:r>
    </w:p>
    <w:p>
      <w:pPr>
        <w:keepNext w:val="0"/>
        <w:keepLines w:val="0"/>
        <w:pageBreakBefore w:val="0"/>
        <w:widowControl/>
        <w:kinsoku/>
        <w:wordWrap w:val="0"/>
        <w:overflowPunct w:val="0"/>
        <w:topLinePunct/>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二〇二</w:t>
      </w:r>
      <w:r>
        <w:rPr>
          <w:rFonts w:hint="eastAsia" w:ascii="宋体" w:hAnsi="宋体" w:eastAsia="宋体" w:cs="宋体"/>
          <w:b w:val="0"/>
          <w:bCs w:val="0"/>
          <w:color w:val="auto"/>
          <w:sz w:val="32"/>
          <w:szCs w:val="32"/>
          <w:highlight w:val="none"/>
          <w:lang w:val="en-US" w:eastAsia="zh-CN"/>
        </w:rPr>
        <w:t>四</w:t>
      </w:r>
      <w:r>
        <w:rPr>
          <w:rFonts w:hint="eastAsia" w:ascii="宋体" w:hAnsi="宋体" w:eastAsia="宋体" w:cs="宋体"/>
          <w:b w:val="0"/>
          <w:bCs w:val="0"/>
          <w:color w:val="auto"/>
          <w:sz w:val="32"/>
          <w:szCs w:val="32"/>
          <w:highlight w:val="none"/>
        </w:rPr>
        <w:t>年</w:t>
      </w:r>
      <w:r>
        <w:rPr>
          <w:rFonts w:hint="eastAsia" w:ascii="宋体" w:hAnsi="宋体" w:eastAsia="宋体" w:cs="宋体"/>
          <w:b w:val="0"/>
          <w:bCs w:val="0"/>
          <w:color w:val="auto"/>
          <w:sz w:val="32"/>
          <w:szCs w:val="32"/>
          <w:highlight w:val="none"/>
          <w:lang w:val="en-US" w:eastAsia="zh-CN"/>
        </w:rPr>
        <w:t>五</w:t>
      </w:r>
      <w:r>
        <w:rPr>
          <w:rFonts w:hint="eastAsia" w:ascii="宋体" w:hAnsi="宋体" w:eastAsia="宋体" w:cs="宋体"/>
          <w:b w:val="0"/>
          <w:bCs w:val="0"/>
          <w:color w:val="auto"/>
          <w:sz w:val="32"/>
          <w:szCs w:val="32"/>
          <w:highlight w:val="none"/>
        </w:rPr>
        <w:t>月</w:t>
      </w:r>
    </w:p>
    <w:p>
      <w:pPr>
        <w:keepNext w:val="0"/>
        <w:keepLines w:val="0"/>
        <w:pageBreakBefore w:val="0"/>
        <w:kinsoku/>
        <w:wordWrap w:val="0"/>
        <w:overflowPunct w:val="0"/>
        <w:topLinePunct/>
        <w:autoSpaceDE w:val="0"/>
        <w:autoSpaceDN w:val="0"/>
        <w:bidi w:val="0"/>
        <w:ind w:left="0" w:leftChars="0" w:firstLine="0" w:firstLineChars="0"/>
        <w:jc w:val="center"/>
        <w:rPr>
          <w:rFonts w:hint="eastAsia" w:ascii="宋体" w:hAnsi="宋体" w:eastAsia="宋体" w:cs="宋体"/>
          <w:color w:val="auto"/>
          <w:highlight w:val="none"/>
        </w:rPr>
        <w:sectPr>
          <w:pgSz w:w="11909" w:h="16834"/>
          <w:pgMar w:top="1440" w:right="1080" w:bottom="1440" w:left="1080" w:header="0" w:footer="0" w:gutter="0"/>
          <w:pgNumType w:fmt="decimal"/>
          <w:cols w:space="720" w:num="1"/>
        </w:sectPr>
      </w:pPr>
    </w:p>
    <w:sdt>
      <w:sdtPr>
        <w:rPr>
          <w:rFonts w:hint="eastAsia" w:ascii="宋体" w:hAnsi="宋体" w:eastAsia="宋体" w:cs="宋体"/>
          <w:b/>
          <w:bCs/>
          <w:snapToGrid w:val="0"/>
          <w:color w:val="auto"/>
          <w:kern w:val="0"/>
          <w:sz w:val="52"/>
          <w:szCs w:val="52"/>
          <w:highlight w:val="none"/>
        </w:rPr>
        <w:id w:val="147465218"/>
        <w15:color w:val="DBDBDB"/>
        <w:docPartObj>
          <w:docPartGallery w:val="Table of Contents"/>
          <w:docPartUnique/>
        </w:docPartObj>
      </w:sdtPr>
      <w:sdtEndPr>
        <w:rPr>
          <w:rFonts w:hint="eastAsia" w:ascii="宋体" w:hAnsi="宋体" w:eastAsia="宋体" w:cs="宋体"/>
          <w:b/>
          <w:bCs/>
          <w:snapToGrid w:val="0"/>
          <w:color w:val="auto"/>
          <w:kern w:val="0"/>
          <w:sz w:val="52"/>
          <w:szCs w:val="52"/>
          <w:highlight w:val="none"/>
        </w:rPr>
      </w:sdtEndPr>
      <w:sdtContent>
        <w:p>
          <w:pPr>
            <w:keepNext w:val="0"/>
            <w:keepLines w:val="0"/>
            <w:pageBreakBefore w:val="0"/>
            <w:widowControl/>
            <w:kinsoku/>
            <w:wordWrap w:val="0"/>
            <w:overflowPunct w:val="0"/>
            <w:topLinePunct/>
            <w:autoSpaceDE w:val="0"/>
            <w:autoSpaceDN w:val="0"/>
            <w:bidi w:val="0"/>
            <w:spacing w:before="0" w:beforeLines="0" w:after="0" w:afterLines="0" w:line="600" w:lineRule="exact"/>
            <w:ind w:left="0" w:leftChars="0" w:right="0" w:rightChars="0" w:firstLine="0" w:firstLineChars="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目录</w:t>
          </w:r>
        </w:p>
        <w:p>
          <w:pPr>
            <w:pStyle w:val="13"/>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p>
          <w:pPr>
            <w:pStyle w:val="32"/>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_Toc7508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第一章</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招标公</w:t>
          </w:r>
          <w:r>
            <w:rPr>
              <w:rFonts w:hint="eastAsia" w:ascii="宋体" w:hAnsi="宋体" w:eastAsia="宋体" w:cs="宋体"/>
              <w:color w:val="auto"/>
              <w:spacing w:val="16"/>
              <w:sz w:val="28"/>
              <w:szCs w:val="28"/>
              <w:highlight w:val="none"/>
              <w14:textOutline w14:w="5756" w14:cap="flat" w14:cmpd="sng">
                <w14:solidFill>
                  <w14:srgbClr w14:val="000000"/>
                </w14:solidFill>
                <w14:prstDash w14:val="solid"/>
                <w14:miter w14:val="0"/>
              </w14:textOutline>
            </w:rPr>
            <w:t>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_Toc7508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2"/>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_Toc12418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20"/>
              <w:sz w:val="28"/>
              <w:szCs w:val="28"/>
              <w:highlight w:val="none"/>
              <w14:textOutline w14:w="5756" w14:cap="flat" w14:cmpd="sng">
                <w14:solidFill>
                  <w14:srgbClr w14:val="000000"/>
                </w14:solidFill>
                <w14:prstDash w14:val="solid"/>
                <w14:miter w14:val="0"/>
              </w14:textOutline>
            </w:rPr>
            <w:t>第</w:t>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二章</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_Toc12418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2"/>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_Toc11735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33"/>
              <w:sz w:val="28"/>
              <w:szCs w:val="28"/>
              <w:highlight w:val="none"/>
              <w14:textOutline w14:w="5756" w14:cap="flat" w14:cmpd="sng">
                <w14:solidFill>
                  <w14:srgbClr w14:val="000000"/>
                </w14:solidFill>
                <w14:prstDash w14:val="solid"/>
                <w14:miter w14:val="0"/>
              </w14:textOutline>
            </w:rPr>
            <w:t>第</w:t>
          </w:r>
          <w:r>
            <w:rPr>
              <w:rFonts w:hint="eastAsia" w:ascii="宋体" w:hAnsi="宋体" w:eastAsia="宋体" w:cs="宋体"/>
              <w:color w:val="auto"/>
              <w:spacing w:val="28"/>
              <w:sz w:val="28"/>
              <w:szCs w:val="28"/>
              <w:highlight w:val="none"/>
              <w14:textOutline w14:w="5756" w14:cap="flat" w14:cmpd="sng">
                <w14:solidFill>
                  <w14:srgbClr w14:val="000000"/>
                </w14:solidFill>
                <w14:prstDash w14:val="solid"/>
                <w14:miter w14:val="0"/>
              </w14:textOutline>
            </w:rPr>
            <w:t>三章</w:t>
          </w:r>
          <w:r>
            <w:rPr>
              <w:rFonts w:hint="eastAsia" w:ascii="宋体" w:hAnsi="宋体" w:eastAsia="宋体" w:cs="宋体"/>
              <w:color w:val="auto"/>
              <w:spacing w:val="28"/>
              <w:sz w:val="28"/>
              <w:szCs w:val="28"/>
              <w:highlight w:val="none"/>
            </w:rPr>
            <w:t xml:space="preserve"> </w:t>
          </w:r>
          <w:r>
            <w:rPr>
              <w:rFonts w:hint="eastAsia" w:ascii="宋体" w:hAnsi="宋体" w:eastAsia="宋体" w:cs="宋体"/>
              <w:color w:val="auto"/>
              <w:spacing w:val="28"/>
              <w:sz w:val="28"/>
              <w:szCs w:val="28"/>
              <w:highlight w:val="none"/>
              <w14:textOutline w14:w="5756" w14:cap="flat" w14:cmpd="sng">
                <w14:solidFill>
                  <w14:srgbClr w14:val="000000"/>
                </w14:solidFill>
                <w14:prstDash w14:val="solid"/>
                <w14:miter w14:val="0"/>
              </w14:textOutline>
            </w:rPr>
            <w:t>评标办法(综合评分法)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_Toc11735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2"/>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24"/>
              <w:sz w:val="28"/>
              <w:szCs w:val="28"/>
              <w:highlight w:val="none"/>
              <w14:textOutline w14:w="5756" w14:cap="flat" w14:cmpd="sng">
                <w14:solidFill>
                  <w14:srgbClr w14:val="000000"/>
                </w14:solidFill>
                <w14:prstDash w14:val="solid"/>
                <w14:miter w14:val="0"/>
              </w14:textOutline>
            </w:rPr>
            <w:t>第</w:t>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四章</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24"/>
              <w:sz w:val="28"/>
              <w:szCs w:val="28"/>
              <w:highlight w:val="none"/>
              <w:lang w:val="en-US" w:eastAsia="zh-CN"/>
              <w14:textOutline w14:w="5756" w14:cap="flat" w14:cmpd="sng">
                <w14:solidFill>
                  <w14:srgbClr w14:val="000000"/>
                </w14:solidFill>
                <w14:prstDash w14:val="solid"/>
                <w14:miter w14:val="0"/>
              </w14:textOutline>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2"/>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_Toc2561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24"/>
              <w:sz w:val="28"/>
              <w:szCs w:val="28"/>
              <w:highlight w:val="none"/>
              <w:lang w:val="en-US" w:eastAsia="zh-CN"/>
              <w14:textOutline w14:w="5756" w14:cap="flat" w14:cmpd="sng">
                <w14:solidFill>
                  <w14:srgbClr w14:val="000000"/>
                </w14:solidFill>
                <w14:prstDash w14:val="solid"/>
                <w14:miter w14:val="0"/>
              </w14:textOutline>
            </w:rPr>
            <w:t>第五章 政府采购合同（参考）</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2"/>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_Toc22788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24"/>
              <w:sz w:val="28"/>
              <w:szCs w:val="28"/>
              <w:highlight w:val="none"/>
              <w14:textOutline w14:w="5756" w14:cap="flat" w14:cmpd="sng">
                <w14:solidFill>
                  <w14:srgbClr w14:val="000000"/>
                </w14:solidFill>
                <w14:prstDash w14:val="solid"/>
                <w14:miter w14:val="0"/>
              </w14:textOutline>
            </w:rPr>
            <w:t>第</w:t>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六章</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_Toc22788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2"/>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p>
        <w:p>
          <w:pPr>
            <w:keepNext w:val="0"/>
            <w:keepLines w:val="0"/>
            <w:pageBreakBefore w:val="0"/>
            <w:widowControl/>
            <w:kinsoku/>
            <w:wordWrap w:val="0"/>
            <w:overflowPunct w:val="0"/>
            <w:topLinePunct/>
            <w:autoSpaceDE w:val="0"/>
            <w:autoSpaceDN w:val="0"/>
            <w:bidi w:val="0"/>
            <w:spacing w:line="600" w:lineRule="exact"/>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sdtContent>
    </w:sdt>
    <w:p>
      <w:pPr>
        <w:keepNext w:val="0"/>
        <w:keepLines w:val="0"/>
        <w:pageBreakBefore w:val="0"/>
        <w:kinsoku/>
        <w:wordWrap w:val="0"/>
        <w:overflowPunct w:val="0"/>
        <w:topLinePunct/>
        <w:autoSpaceDE w:val="0"/>
        <w:autoSpaceDN w:val="0"/>
        <w:bidi w:val="0"/>
        <w:spacing w:before="90" w:line="222" w:lineRule="auto"/>
        <w:ind w:left="4016"/>
        <w:rPr>
          <w:rFonts w:hint="eastAsia" w:ascii="宋体" w:hAnsi="宋体" w:eastAsia="宋体" w:cs="宋体"/>
          <w:color w:val="auto"/>
          <w:spacing w:val="24"/>
          <w:sz w:val="44"/>
          <w:szCs w:val="44"/>
          <w:highlight w:val="none"/>
        </w:rPr>
        <w:sectPr>
          <w:footerReference r:id="rId5" w:type="default"/>
          <w:pgSz w:w="11909" w:h="16834"/>
          <w:pgMar w:top="1440" w:right="1080" w:bottom="1440" w:left="1080" w:header="0" w:footer="984" w:gutter="0"/>
          <w:pgNumType w:fmt="decimal"/>
          <w:cols w:space="720" w:num="1"/>
        </w:sectPr>
      </w:pPr>
    </w:p>
    <w:p>
      <w:pPr>
        <w:pStyle w:val="38"/>
        <w:ind w:left="0" w:leftChars="0" w:firstLine="0" w:firstLineChars="0"/>
        <w:jc w:val="center"/>
        <w:rPr>
          <w:rFonts w:hint="eastAsia" w:ascii="宋体" w:hAnsi="宋体" w:eastAsia="宋体" w:cs="宋体"/>
          <w:b/>
          <w:bCs/>
          <w:color w:val="000000"/>
          <w:sz w:val="24"/>
          <w:highlight w:val="none"/>
        </w:rPr>
      </w:pPr>
      <w:bookmarkStart w:id="2" w:name="_Toc4479"/>
      <w:bookmarkStart w:id="3" w:name="_Toc7508"/>
      <w:r>
        <w:rPr>
          <w:rFonts w:hint="eastAsia" w:ascii="宋体" w:hAnsi="宋体" w:eastAsia="宋体" w:cs="宋体"/>
          <w:b/>
          <w:color w:val="000000"/>
          <w:spacing w:val="14"/>
          <w:sz w:val="44"/>
          <w:szCs w:val="44"/>
          <w:highlight w:val="none"/>
        </w:rPr>
        <w:t>电子招投标特别提示</w:t>
      </w:r>
    </w:p>
    <w:p>
      <w:pPr>
        <w:spacing w:line="360" w:lineRule="exact"/>
        <w:ind w:firstLine="422"/>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一、投标人（供应商）注册</w:t>
      </w:r>
    </w:p>
    <w:p>
      <w:pPr>
        <w:spacing w:line="36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凡有意参加本项目的投标人（供应商），请登录“固始县公共资源交易中心（</w:t>
      </w:r>
      <w:r>
        <w:rPr>
          <w:rFonts w:hint="eastAsia" w:ascii="宋体" w:hAnsi="宋体" w:cs="宋体"/>
          <w:color w:val="000000"/>
          <w:szCs w:val="21"/>
          <w:highlight w:val="none"/>
          <w:lang w:eastAsia="zh-CN"/>
        </w:rPr>
        <w:t>http://gushi.xyggzyjy.cn/</w:t>
      </w:r>
      <w:r>
        <w:rPr>
          <w:rFonts w:hint="eastAsia" w:ascii="宋体" w:hAnsi="宋体" w:eastAsia="宋体" w:cs="宋体"/>
          <w:color w:val="000000"/>
          <w:szCs w:val="21"/>
          <w:highlight w:val="none"/>
        </w:rPr>
        <w:t>）”网站进行交易主体自主注册，按网站公告通知有关要求填报企业信息并上传有关原件扫描件至诚信库，不需携带原件到固始县公共资源交易中心进行审核。投标人（供应商）应对所上传材料的真实性、合法性、有效性负责，其上传的信息将全部对外公示，接受社会监督。</w:t>
      </w:r>
    </w:p>
    <w:p>
      <w:pPr>
        <w:spacing w:line="360" w:lineRule="exact"/>
        <w:ind w:firstLine="422"/>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二、办理CA数字证书</w:t>
      </w:r>
    </w:p>
    <w:p>
      <w:pPr>
        <w:spacing w:line="36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完成企业诚信库注册后，必须办理CA数字证书方可在网上办理招投标相关业务。投标人（供应商）根据《固始县公共资源交易网》下载中心有关办理CA数字证书的要求，准备好CA办理所需资料，到固始县公共资源交易中心现场办理CA数字证书。</w:t>
      </w:r>
    </w:p>
    <w:p>
      <w:pPr>
        <w:spacing w:line="360" w:lineRule="exact"/>
        <w:ind w:firstLine="422"/>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三、招标（采购）文件获取方式</w:t>
      </w:r>
    </w:p>
    <w:p>
      <w:pPr>
        <w:spacing w:line="36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投标人（供应商）凭CA数字证书登陆会员系统后，即可按网上提示免费下载招标（采购）文件及资料（操作程序详见固始县公共资源交易中心网站下载中心栏目里投标人操作手册）。招标文件（*.gstf 格式）下载后需使用“固始县投标文件制作工具软件”打开（该工具软件可在“全国公共资源交易平台（河南省·固始县）（</w:t>
      </w:r>
      <w:r>
        <w:rPr>
          <w:rFonts w:hint="eastAsia" w:ascii="宋体" w:hAnsi="宋体" w:cs="宋体"/>
          <w:color w:val="000000"/>
          <w:szCs w:val="21"/>
          <w:highlight w:val="none"/>
          <w:lang w:eastAsia="zh-CN"/>
        </w:rPr>
        <w:t>http://gushi.xyggzyjy.cn/</w:t>
      </w:r>
      <w:r>
        <w:rPr>
          <w:rFonts w:hint="eastAsia" w:ascii="宋体" w:hAnsi="宋体" w:eastAsia="宋体" w:cs="宋体"/>
          <w:color w:val="000000"/>
          <w:szCs w:val="21"/>
          <w:highlight w:val="none"/>
        </w:rPr>
        <w:t>）”网站下载中心栏目内下载或在招标文件领取页面下载）。</w:t>
      </w:r>
    </w:p>
    <w:p>
      <w:pPr>
        <w:tabs>
          <w:tab w:val="left" w:pos="0"/>
        </w:tabs>
        <w:spacing w:line="360" w:lineRule="exact"/>
        <w:ind w:firstLine="422"/>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四、投标（响应）文件制作</w:t>
      </w:r>
    </w:p>
    <w:p>
      <w:pPr>
        <w:tabs>
          <w:tab w:val="left" w:pos="0"/>
        </w:tabs>
        <w:spacing w:line="36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投标（响应）文件应使用固始县公共资源交易系统投标文件制作专用工具软件编制，投标（响应）文件格式为“（*.gstf 格式和*.ngstf 格式）”。</w:t>
      </w:r>
    </w:p>
    <w:p>
      <w:pPr>
        <w:tabs>
          <w:tab w:val="left" w:pos="0"/>
        </w:tabs>
        <w:spacing w:line="36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投标人（供应商）须在投标（响应）文件递交截止时间前制作并提交。</w:t>
      </w:r>
    </w:p>
    <w:p>
      <w:pPr>
        <w:pStyle w:val="5"/>
        <w:spacing w:line="360" w:lineRule="exact"/>
        <w:ind w:firstLine="422"/>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u w:val="double"/>
        </w:rPr>
        <w:t>五、投标（响应）文件的签字和盖章要求</w:t>
      </w:r>
    </w:p>
    <w:p>
      <w:pPr>
        <w:adjustRightInd w:val="0"/>
        <w:snapToGrid w:val="0"/>
        <w:spacing w:line="360" w:lineRule="exact"/>
        <w:ind w:firstLine="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1、投标文件（响应）格式中所有要求投标人（供应商）加盖公章的地方都须加盖投标人（供应商）的 CA 印章。</w:t>
      </w:r>
    </w:p>
    <w:p>
      <w:pPr>
        <w:adjustRightInd w:val="0"/>
        <w:snapToGrid w:val="0"/>
        <w:spacing w:line="360" w:lineRule="exact"/>
        <w:ind w:left="-126" w:leftChars="-60" w:firstLine="525" w:firstLineChars="250"/>
        <w:jc w:val="left"/>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2、投标文件（响应）格式中所有要求法定代表人或其委托代理人签字或盖章的地方</w:t>
      </w:r>
      <w:r>
        <w:rPr>
          <w:rFonts w:hint="eastAsia" w:ascii="宋体" w:hAnsi="宋体" w:eastAsia="宋体" w:cs="宋体"/>
          <w:b/>
          <w:bCs/>
          <w:color w:val="000000"/>
          <w:szCs w:val="21"/>
          <w:highlight w:val="none"/>
        </w:rPr>
        <w:t>（不含授权委托书委托人签字）</w:t>
      </w:r>
      <w:r>
        <w:rPr>
          <w:rFonts w:hint="eastAsia" w:ascii="宋体" w:hAnsi="宋体" w:eastAsia="宋体" w:cs="宋体"/>
          <w:color w:val="000000"/>
          <w:szCs w:val="21"/>
          <w:highlight w:val="none"/>
        </w:rPr>
        <w:t>都须加盖法定代表人</w:t>
      </w:r>
      <w:r>
        <w:rPr>
          <w:rFonts w:hint="eastAsia" w:ascii="宋体" w:hAnsi="宋体" w:eastAsia="宋体" w:cs="宋体"/>
          <w:b/>
          <w:bCs/>
          <w:color w:val="000000"/>
          <w:szCs w:val="21"/>
          <w:highlight w:val="none"/>
        </w:rPr>
        <w:t>CA 印章。</w:t>
      </w:r>
    </w:p>
    <w:p>
      <w:pPr>
        <w:pStyle w:val="5"/>
        <w:spacing w:line="360" w:lineRule="exact"/>
        <w:ind w:firstLine="422"/>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六、投标文件份数</w:t>
      </w:r>
    </w:p>
    <w:p>
      <w:pPr>
        <w:adjustRightInd w:val="0"/>
        <w:snapToGrid w:val="0"/>
        <w:spacing w:line="360" w:lineRule="exact"/>
        <w:ind w:firstLine="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加密的电子投标（响应）文件壹份（*.gstf 格式和*.ngstf 格式），在会员系统指定位置上传）。</w:t>
      </w:r>
    </w:p>
    <w:p>
      <w:pPr>
        <w:pStyle w:val="5"/>
        <w:spacing w:line="360" w:lineRule="exact"/>
        <w:ind w:firstLine="422"/>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七、投标（响应）文件的递交</w:t>
      </w:r>
    </w:p>
    <w:p>
      <w:pPr>
        <w:adjustRightInd w:val="0"/>
        <w:snapToGrid w:val="0"/>
        <w:spacing w:line="36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1、电子投标（响应）文件的递交</w:t>
      </w:r>
    </w:p>
    <w:p>
      <w:pPr>
        <w:spacing w:line="360" w:lineRule="exact"/>
        <w:ind w:firstLine="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各投标（供应商）人应在投标截止时间前上传加密的电子投标（响应）文件（*.gstf 格式和*.ngstf 格式）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pPr>
        <w:spacing w:line="360" w:lineRule="exact"/>
        <w:ind w:firstLine="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2、除电子投标（响应）文件外，不再接受任何纸质文件、资料原件等。</w:t>
      </w:r>
    </w:p>
    <w:p>
      <w:pPr>
        <w:spacing w:line="360" w:lineRule="exact"/>
        <w:ind w:firstLine="422"/>
        <w:rPr>
          <w:rFonts w:hint="eastAsia" w:ascii="宋体" w:hAnsi="宋体" w:eastAsia="宋体" w:cs="宋体"/>
          <w:b/>
          <w:bCs/>
          <w:color w:val="000000"/>
          <w:szCs w:val="21"/>
          <w:highlight w:val="none"/>
          <w:u w:val="double"/>
        </w:rPr>
        <w:sectPr>
          <w:footerReference r:id="rId6" w:type="default"/>
          <w:pgSz w:w="11905" w:h="16838"/>
          <w:pgMar w:top="1440" w:right="1803" w:bottom="1440" w:left="1803" w:header="850" w:footer="850" w:gutter="0"/>
          <w:pgBorders>
            <w:top w:val="none" w:sz="0" w:space="0"/>
            <w:left w:val="none" w:sz="0" w:space="0"/>
            <w:bottom w:val="none" w:sz="0" w:space="0"/>
            <w:right w:val="none" w:sz="0" w:space="0"/>
          </w:pgBorders>
          <w:pgNumType w:start="1"/>
          <w:cols w:space="720" w:num="1"/>
          <w:docGrid w:type="lines" w:linePitch="411" w:charSpace="0"/>
        </w:sectPr>
      </w:pPr>
    </w:p>
    <w:p>
      <w:pPr>
        <w:spacing w:line="360" w:lineRule="exact"/>
        <w:ind w:firstLine="422"/>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八、澄清与变更</w:t>
      </w:r>
    </w:p>
    <w:p>
      <w:pPr>
        <w:spacing w:line="36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如有疑问，以书面形式（包括信函、电报、传真等可以有形表现所载内容的形式），要求招标人（采购人）对招标（采购）文件予以澄清。澄清或修改的内容在固始县公共资源交易系统“变更公告”或“答疑文件”菜单进行发布，投标人（供应商）应在投标（响应）文件递交截止时间前及时查看澄清或修改内容，因投标人（采购人）未及时查看而造成的后果自负。</w:t>
      </w:r>
    </w:p>
    <w:p>
      <w:pPr>
        <w:widowControl/>
        <w:numPr>
          <w:ilvl w:val="0"/>
          <w:numId w:val="1"/>
        </w:numPr>
        <w:spacing w:line="360" w:lineRule="exact"/>
        <w:ind w:firstLine="422"/>
        <w:jc w:val="left"/>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 xml:space="preserve">其他注意事项 </w:t>
      </w:r>
    </w:p>
    <w:p>
      <w:pPr>
        <w:widowControl/>
        <w:spacing w:line="400" w:lineRule="exact"/>
        <w:ind w:firstLine="422"/>
        <w:jc w:val="left"/>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 xml:space="preserve">1、供应商编制投标文件时，涉及的营业执照、资质、获奖、社保、纳税等固定内容可在交易中心主体信用信息中录入。 </w:t>
      </w:r>
    </w:p>
    <w:p>
      <w:pPr>
        <w:widowControl/>
        <w:spacing w:line="400" w:lineRule="exact"/>
        <w:ind w:firstLine="422"/>
        <w:jc w:val="left"/>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2、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2021版添加修订）。</w:t>
      </w:r>
    </w:p>
    <w:p>
      <w:pPr>
        <w:widowControl/>
        <w:spacing w:line="400" w:lineRule="exact"/>
        <w:ind w:firstLine="422"/>
        <w:jc w:val="left"/>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3、中标企业认为投标文件中资料涉及商业秘密的，可以要求代理机构对相关信息模糊处理后公示（2021版添加修订）。</w:t>
      </w:r>
    </w:p>
    <w:p>
      <w:pPr>
        <w:widowControl/>
        <w:spacing w:line="400" w:lineRule="exact"/>
        <w:ind w:firstLine="422"/>
        <w:jc w:val="left"/>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扫描件及本人身份证扫描件（加盖单位公章）一并提交），以质疑函接收确认日期作为受理时间；逾期未提交或未按照要求提交的质疑函将不予受理。</w:t>
      </w:r>
    </w:p>
    <w:p>
      <w:pPr>
        <w:widowControl/>
        <w:spacing w:line="400" w:lineRule="exact"/>
        <w:ind w:firstLine="422"/>
        <w:jc w:val="left"/>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十、特别提醒</w:t>
      </w:r>
    </w:p>
    <w:p>
      <w:pPr>
        <w:widowControl/>
        <w:spacing w:line="400" w:lineRule="exact"/>
        <w:ind w:firstLine="422"/>
        <w:jc w:val="left"/>
        <w:rPr>
          <w:rFonts w:hint="eastAsia" w:ascii="宋体" w:hAnsi="宋体" w:eastAsia="宋体" w:cs="宋体"/>
          <w:b/>
          <w:bCs/>
          <w:color w:val="000000"/>
          <w:szCs w:val="21"/>
          <w:highlight w:val="none"/>
          <w:u w:val="double"/>
        </w:rPr>
      </w:pPr>
      <w:r>
        <w:rPr>
          <w:rFonts w:hint="eastAsia" w:ascii="宋体" w:hAnsi="宋体" w:eastAsia="宋体" w:cs="宋体"/>
          <w:b/>
          <w:bCs/>
          <w:color w:val="000000"/>
          <w:szCs w:val="21"/>
          <w:highlight w:val="none"/>
          <w:u w:val="double"/>
        </w:rPr>
        <w:t>5、投标文件中的扫描件，在确保清晰的前提下，每张最好控制在 500kb 内，生成的加密电子投标文件最好不要超过50MB。</w:t>
      </w: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第一章 招标公告</w:t>
      </w:r>
      <w:bookmarkEnd w:id="2"/>
      <w:bookmarkEnd w:id="3"/>
    </w:p>
    <w:p>
      <w:pPr>
        <w:pStyle w:val="13"/>
        <w:rPr>
          <w:rFonts w:hint="eastAsia"/>
          <w:lang w:val="en-US" w:eastAsia="zh-CN"/>
        </w:rPr>
      </w:pPr>
    </w:p>
    <w:p>
      <w:pPr>
        <w:keepNext w:val="0"/>
        <w:keepLines w:val="0"/>
        <w:pageBreakBefore w:val="0"/>
        <w:widowControl/>
        <w:kinsoku/>
        <w:wordWrap w:val="0"/>
        <w:overflowPunct w:val="0"/>
        <w:topLinePunct/>
        <w:autoSpaceDE w:val="0"/>
        <w:autoSpaceDN w:val="0"/>
        <w:bidi w:val="0"/>
        <w:adjustRightInd w:val="0"/>
        <w:snapToGrid w:val="0"/>
        <w:spacing w:before="200" w:line="400" w:lineRule="exact"/>
        <w:ind w:left="11" w:leftChars="0" w:hanging="11" w:firstLineChars="0"/>
        <w:jc w:val="center"/>
        <w:rPr>
          <w:rFonts w:hint="eastAsia" w:ascii="宋体" w:hAnsi="宋体" w:eastAsia="宋体" w:cs="宋体"/>
          <w:b/>
          <w:bCs/>
          <w:color w:val="auto"/>
          <w:spacing w:val="14"/>
          <w:sz w:val="28"/>
          <w:szCs w:val="28"/>
          <w:highlight w:val="none"/>
        </w:rPr>
      </w:pPr>
      <w:r>
        <w:rPr>
          <w:rFonts w:hint="eastAsia" w:ascii="宋体" w:hAnsi="宋体" w:eastAsia="宋体" w:cs="宋体"/>
          <w:b/>
          <w:bCs/>
          <w:color w:val="auto"/>
          <w:spacing w:val="20"/>
          <w:sz w:val="32"/>
          <w:szCs w:val="32"/>
          <w:highlight w:val="none"/>
          <w:lang w:eastAsia="zh-CN"/>
        </w:rPr>
        <w:t>固始县残疾人托养中心采购医疗机构合作方项目</w:t>
      </w:r>
      <w:r>
        <w:rPr>
          <w:rFonts w:hint="eastAsia" w:ascii="宋体" w:hAnsi="宋体" w:eastAsia="宋体" w:cs="宋体"/>
          <w:b/>
          <w:bCs/>
          <w:color w:val="auto"/>
          <w:spacing w:val="14"/>
          <w:sz w:val="32"/>
          <w:szCs w:val="32"/>
          <w:highlight w:val="none"/>
        </w:rPr>
        <w:t>招标公告</w:t>
      </w:r>
    </w:p>
    <w:p>
      <w:pPr>
        <w:pStyle w:val="2"/>
        <w:rPr>
          <w:rFonts w:hint="eastAsia"/>
        </w:rPr>
      </w:pP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4" w:name="_Toc1714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9680" w:type="dxa"/>
            <w:noWrap w:val="0"/>
            <w:vAlign w:val="top"/>
          </w:tcPr>
          <w:p>
            <w:pPr>
              <w:adjustRightInd w:val="0"/>
              <w:snapToGrid w:val="0"/>
              <w:spacing w:line="400" w:lineRule="exact"/>
              <w:ind w:firstLine="422"/>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项目概况</w:t>
            </w:r>
          </w:p>
          <w:p>
            <w:pPr>
              <w:adjustRightInd w:val="0"/>
              <w:snapToGrid w:val="0"/>
              <w:spacing w:line="400" w:lineRule="exact"/>
              <w:ind w:firstLine="420"/>
              <w:rPr>
                <w:rFonts w:hint="eastAsia" w:ascii="宋体" w:hAnsi="宋体" w:eastAsia="宋体" w:cs="宋体"/>
                <w:b/>
                <w:bCs/>
                <w:color w:val="000000"/>
                <w:szCs w:val="21"/>
                <w:highlight w:val="none"/>
              </w:rPr>
            </w:pPr>
            <w:r>
              <w:rPr>
                <w:rFonts w:hint="eastAsia" w:ascii="宋体" w:hAnsi="宋体" w:eastAsia="宋体" w:cs="宋体"/>
                <w:color w:val="auto"/>
                <w:highlight w:val="none"/>
                <w:u w:val="single"/>
                <w:lang w:eastAsia="zh-CN"/>
              </w:rPr>
              <w:t>固始县残疾人托养中心采购医疗机构合作方项目</w:t>
            </w:r>
            <w:r>
              <w:rPr>
                <w:rFonts w:hint="eastAsia" w:ascii="宋体" w:hAnsi="宋体" w:eastAsia="宋体" w:cs="宋体"/>
                <w:color w:val="000000"/>
                <w:szCs w:val="21"/>
                <w:highlight w:val="none"/>
              </w:rPr>
              <w:t>潜在投标人登陆“全国公共资源交易平台（河南省·固始县）（</w:t>
            </w:r>
            <w:r>
              <w:rPr>
                <w:rFonts w:hint="eastAsia" w:ascii="宋体" w:hAnsi="宋体" w:cs="宋体"/>
                <w:color w:val="000000"/>
                <w:szCs w:val="21"/>
                <w:highlight w:val="none"/>
                <w:lang w:eastAsia="zh-CN"/>
              </w:rPr>
              <w:t>http://gushi.xyggzyjy.cn/</w:t>
            </w:r>
            <w:r>
              <w:rPr>
                <w:rFonts w:hint="eastAsia" w:ascii="宋体" w:hAnsi="宋体" w:eastAsia="宋体" w:cs="宋体"/>
                <w:color w:val="000000"/>
                <w:szCs w:val="21"/>
                <w:highlight w:val="none"/>
              </w:rPr>
              <w:t>）”网站，凭办理的企业身份认证锁（CA数字证书）登陆会员系统进行网上投标,获取招标文件，并于</w:t>
            </w:r>
            <w:r>
              <w:rPr>
                <w:rFonts w:hint="eastAsia" w:ascii="宋体" w:hAnsi="宋体" w:eastAsia="宋体" w:cs="宋体"/>
                <w:color w:val="auto"/>
                <w:szCs w:val="21"/>
                <w:highlight w:val="none"/>
                <w:shd w:val="clear" w:color="auto" w:fill="auto"/>
              </w:rPr>
              <w:t>招标文件规定的投标文件递交截止时间前递交投标文件</w:t>
            </w:r>
            <w:r>
              <w:rPr>
                <w:rFonts w:hint="eastAsia" w:ascii="宋体" w:hAnsi="宋体" w:eastAsia="宋体" w:cs="宋体"/>
                <w:color w:val="auto"/>
                <w:szCs w:val="21"/>
                <w:highlight w:val="none"/>
              </w:rPr>
              <w:t>。</w:t>
            </w:r>
          </w:p>
        </w:tc>
      </w:tr>
    </w:tbl>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一、项目基本情况</w:t>
      </w:r>
      <w:bookmarkEnd w:id="4"/>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highlight w:val="none"/>
          <w:lang w:val="en-US"/>
        </w:rPr>
      </w:pPr>
      <w:bookmarkStart w:id="5" w:name="_Toc6823"/>
      <w:r>
        <w:rPr>
          <w:rFonts w:hint="eastAsia" w:ascii="宋体" w:hAnsi="宋体" w:eastAsia="宋体" w:cs="宋体"/>
          <w:color w:val="auto"/>
          <w:highlight w:val="none"/>
        </w:rPr>
        <w:t>1.</w:t>
      </w:r>
      <w:r>
        <w:rPr>
          <w:rFonts w:hint="eastAsia" w:ascii="宋体" w:hAnsi="宋体" w:eastAsia="宋体" w:cs="宋体"/>
          <w:color w:val="auto"/>
          <w:highlight w:val="none"/>
          <w:lang w:eastAsia="zh-CN"/>
        </w:rPr>
        <w:t>采购编号</w:t>
      </w:r>
      <w:r>
        <w:rPr>
          <w:rFonts w:hint="eastAsia" w:ascii="宋体" w:hAnsi="宋体" w:eastAsia="宋体" w:cs="宋体"/>
          <w:color w:val="auto"/>
          <w:highlight w:val="none"/>
        </w:rPr>
        <w:t>：</w:t>
      </w:r>
      <w:bookmarkEnd w:id="5"/>
      <w:r>
        <w:rPr>
          <w:rFonts w:hint="eastAsia" w:ascii="宋体" w:hAnsi="宋体" w:eastAsia="宋体" w:cs="宋体"/>
          <w:color w:val="auto"/>
          <w:highlight w:val="none"/>
          <w:lang w:val="en-US" w:eastAsia="zh-CN"/>
        </w:rPr>
        <w:t>固财招标采购-2024-30</w:t>
      </w:r>
      <w:bookmarkStart w:id="125" w:name="_GoBack"/>
      <w:bookmarkEnd w:id="125"/>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2.项目名称：</w:t>
      </w:r>
      <w:r>
        <w:rPr>
          <w:rFonts w:hint="eastAsia" w:ascii="宋体" w:hAnsi="宋体" w:eastAsia="宋体" w:cs="宋体"/>
          <w:color w:val="auto"/>
          <w:highlight w:val="none"/>
          <w:lang w:eastAsia="zh-CN"/>
        </w:rPr>
        <w:t>固始县残疾人托养中心采购医疗机构合作方项目</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3.采购方式：公开招标</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rPr>
        <w:t>4.预算金额：</w:t>
      </w:r>
      <w:r>
        <w:rPr>
          <w:rFonts w:hint="eastAsia" w:ascii="宋体" w:hAnsi="宋体" w:eastAsia="宋体" w:cs="宋体"/>
          <w:color w:val="auto"/>
          <w:highlight w:val="none"/>
          <w:lang w:val="en-US" w:eastAsia="zh-CN"/>
        </w:rPr>
        <w:t>2905500</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最高限价：本项目限价为总床位数的70%，即投标单位承诺提供免费床位数不低于总床位数的30%（36张床位）。免费范围为免除床位费。</w:t>
      </w:r>
    </w:p>
    <w:tbl>
      <w:tblPr>
        <w:tblStyle w:val="15"/>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286"/>
        <w:gridCol w:w="2044"/>
        <w:gridCol w:w="2490"/>
        <w:gridCol w:w="129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17" w:type="dxa"/>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86" w:type="dxa"/>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包号</w:t>
            </w:r>
          </w:p>
        </w:tc>
        <w:tc>
          <w:tcPr>
            <w:tcW w:w="2044" w:type="dxa"/>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包名称</w:t>
            </w:r>
          </w:p>
        </w:tc>
        <w:tc>
          <w:tcPr>
            <w:tcW w:w="2490" w:type="dxa"/>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包内容</w:t>
            </w:r>
          </w:p>
        </w:tc>
        <w:tc>
          <w:tcPr>
            <w:tcW w:w="1290" w:type="dxa"/>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包预算（元）</w:t>
            </w:r>
          </w:p>
        </w:tc>
        <w:tc>
          <w:tcPr>
            <w:tcW w:w="1310" w:type="dxa"/>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17" w:type="dxa"/>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86" w:type="dxa"/>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固财招标采购-2024-30</w:t>
            </w:r>
          </w:p>
        </w:tc>
        <w:tc>
          <w:tcPr>
            <w:tcW w:w="2044" w:type="dxa"/>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固始县残疾人托养中心采购医疗机构合作方项目</w:t>
            </w:r>
          </w:p>
        </w:tc>
        <w:tc>
          <w:tcPr>
            <w:tcW w:w="2490" w:type="dxa"/>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为特殊困难残疾人提供集中托养服务</w:t>
            </w:r>
          </w:p>
        </w:tc>
        <w:tc>
          <w:tcPr>
            <w:tcW w:w="1290" w:type="dxa"/>
            <w:noWrap w:val="0"/>
            <w:vAlign w:val="center"/>
          </w:tcPr>
          <w:p>
            <w:pPr>
              <w:keepNext w:val="0"/>
              <w:keepLines w:val="0"/>
              <w:pageBreakBefore w:val="0"/>
              <w:kinsoku/>
              <w:wordWrap w:val="0"/>
              <w:overflowPunct w:val="0"/>
              <w:topLinePunct/>
              <w:autoSpaceDE w:val="0"/>
              <w:autoSpaceDN w:val="0"/>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2905500</w:t>
            </w:r>
          </w:p>
        </w:tc>
        <w:tc>
          <w:tcPr>
            <w:tcW w:w="1310" w:type="dxa"/>
            <w:noWrap w:val="0"/>
            <w:vAlign w:val="center"/>
          </w:tcPr>
          <w:p>
            <w:pPr>
              <w:keepNext w:val="0"/>
              <w:keepLines w:val="0"/>
              <w:pageBreakBefore w:val="0"/>
              <w:kinsoku/>
              <w:wordWrap w:val="0"/>
              <w:overflowPunct w:val="0"/>
              <w:topLinePunct/>
              <w:autoSpaceDE w:val="0"/>
              <w:autoSpaceDN w:val="0"/>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2905500</w:t>
            </w:r>
          </w:p>
        </w:tc>
      </w:tr>
    </w:tbl>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5.采购需求(包括但不限于标的的名称、数量、简要技术需求或服务要求等)</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5.1 采购内容：为特殊困难残疾人提供集中托养服务，做好入住机构的残疾人基本生活服务，做好残疾人健康管理工作，做好残疾人常见病及多发病的护理工作，提供适合残疾人的的病理服务工作。详细服务内容见采购文件。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5.2 服务要求：满足采购人的实际需求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5.3 质量要求：符合相关标准规范的规定、满足采购人要求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5.4 服务期限：5年</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6、合同履行期限：5年</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7、本项目是否接受联合体投标：否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8、是否接受进口产品：否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9、是否为只面向中小企业采购：否</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highlight w:val="none"/>
          <w:lang w:val="en-US" w:eastAsia="zh-CN"/>
        </w:rPr>
      </w:pPr>
      <w:bookmarkStart w:id="6" w:name="_Toc20039"/>
      <w:r>
        <w:rPr>
          <w:rFonts w:hint="eastAsia" w:ascii="宋体" w:hAnsi="宋体" w:eastAsia="宋体" w:cs="宋体"/>
          <w:b/>
          <w:bCs/>
          <w:color w:val="auto"/>
          <w:highlight w:val="none"/>
        </w:rPr>
        <w:t>二、申请人资格要求：</w:t>
      </w:r>
      <w:bookmarkEnd w:id="6"/>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bookmarkStart w:id="7" w:name="_Toc16786"/>
      <w:r>
        <w:rPr>
          <w:rFonts w:hint="eastAsia" w:ascii="宋体" w:hAnsi="宋体" w:eastAsia="宋体" w:cs="宋体"/>
          <w:color w:val="auto"/>
          <w:highlight w:val="none"/>
          <w:lang w:val="en-US" w:eastAsia="zh-CN"/>
        </w:rPr>
        <w:t>1、满足《中华人民共和国政府采购法》第二十二条规定。</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2、落实政府采购政策满足的资格要求：本项目落实节约能源、保护环境、扶持不发达地区和少数民族地区、促进中小微企业、监狱企业及残疾人福利性单位发展等政府采购政策。</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3、本项目的特定资格要求：</w:t>
      </w:r>
    </w:p>
    <w:p>
      <w:pPr>
        <w:pStyle w:val="38"/>
        <w:rPr>
          <w:rFonts w:hint="eastAsia" w:ascii="宋体" w:hAnsi="宋体" w:eastAsia="宋体" w:cs="宋体"/>
          <w:color w:val="auto"/>
          <w:spacing w:val="14"/>
          <w:sz w:val="24"/>
          <w:szCs w:val="24"/>
          <w:lang w:val="en-US" w:eastAsia="zh-CN"/>
        </w:rPr>
      </w:pPr>
      <w:r>
        <w:rPr>
          <w:rFonts w:hint="eastAsia" w:ascii="宋体" w:hAnsi="宋体" w:eastAsia="宋体" w:cs="宋体"/>
          <w:snapToGrid w:val="0"/>
          <w:color w:val="auto"/>
          <w:kern w:val="0"/>
          <w:sz w:val="21"/>
          <w:szCs w:val="21"/>
          <w:highlight w:val="none"/>
          <w:lang w:val="en-US" w:eastAsia="zh-CN"/>
        </w:rPr>
        <w:t>供应商应持有卫生部门核准的《医疗机构执业许可证》，诊疗科目需包含内科、外科等多科目，医疗机构类别为二级或以上综合医院，须为医保定点医院（</w:t>
      </w:r>
      <w:r>
        <w:rPr>
          <w:rFonts w:hint="eastAsia" w:ascii="宋体" w:hAnsi="宋体" w:eastAsia="宋体" w:cs="宋体"/>
          <w:b/>
          <w:bCs/>
          <w:snapToGrid w:val="0"/>
          <w:color w:val="auto"/>
          <w:kern w:val="0"/>
          <w:sz w:val="21"/>
          <w:szCs w:val="21"/>
          <w:highlight w:val="none"/>
          <w:lang w:val="en-US" w:eastAsia="zh-CN"/>
        </w:rPr>
        <w:t>投标文件中附医疗机构执业许可证复印件，以及二级或以上综合医院、医保定点医院的证明材料，否则其投标将不被接受</w:t>
      </w:r>
      <w:r>
        <w:rPr>
          <w:rFonts w:hint="eastAsia" w:ascii="宋体" w:hAnsi="宋体" w:eastAsia="宋体" w:cs="宋体"/>
          <w:snapToGrid w:val="0"/>
          <w:color w:val="auto"/>
          <w:kern w:val="0"/>
          <w:sz w:val="21"/>
          <w:szCs w:val="21"/>
          <w:highlight w:val="none"/>
          <w:lang w:val="en-US" w:eastAsia="zh-CN"/>
        </w:rPr>
        <w:t>）。</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三、获取招标文件</w:t>
      </w:r>
      <w:bookmarkEnd w:id="7"/>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1.时间：202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日至202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日，每天上午08:00至12:00，下午</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0至18:00（北京时间，法定节假日除外。）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2.地点：该项目实施网上免费获取招标文件，潜在投标人须登陆《全国公共资源交易平台（河南省·固始县）》注册入库并办理CA后下载招标文件。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3.方式：</w:t>
      </w:r>
      <w:r>
        <w:rPr>
          <w:rFonts w:hint="eastAsia" w:ascii="宋体" w:hAnsi="宋体" w:eastAsia="宋体" w:cs="宋体"/>
          <w:color w:val="auto"/>
          <w:highlight w:val="none"/>
          <w:lang w:val="en-US" w:eastAsia="zh-CN"/>
        </w:rPr>
        <w:t>需凭注册且通过中心备案的相关账号，通过《全国公共资源交易平台（河南省</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固始县）》网站“投标企业登录”入口登录后进行相关操作</w:t>
      </w:r>
      <w:r>
        <w:rPr>
          <w:rFonts w:hint="eastAsia" w:ascii="宋体" w:hAnsi="宋体" w:eastAsia="宋体" w:cs="宋体"/>
          <w:color w:val="auto"/>
          <w:highlight w:val="none"/>
        </w:rPr>
        <w:t xml:space="preserve">。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bookmarkStart w:id="8" w:name="_Toc2636"/>
      <w:r>
        <w:rPr>
          <w:rFonts w:hint="eastAsia" w:ascii="宋体" w:hAnsi="宋体" w:eastAsia="宋体" w:cs="宋体"/>
          <w:color w:val="auto"/>
          <w:highlight w:val="none"/>
        </w:rPr>
        <w:t>4.售价：0元</w:t>
      </w:r>
      <w:bookmarkEnd w:id="8"/>
      <w:r>
        <w:rPr>
          <w:rFonts w:hint="eastAsia" w:ascii="宋体" w:hAnsi="宋体" w:eastAsia="宋体" w:cs="宋体"/>
          <w:color w:val="auto"/>
          <w:highlight w:val="none"/>
        </w:rPr>
        <w:t xml:space="preserve"> </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bookmarkStart w:id="9" w:name="_Toc16207"/>
      <w:r>
        <w:rPr>
          <w:rFonts w:hint="eastAsia" w:ascii="宋体" w:hAnsi="宋体" w:eastAsia="宋体" w:cs="宋体"/>
          <w:b/>
          <w:bCs/>
          <w:color w:val="auto"/>
          <w:highlight w:val="none"/>
        </w:rPr>
        <w:t>四、投标截止时间及地点</w:t>
      </w:r>
      <w:bookmarkEnd w:id="9"/>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1.时间：202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日8时30分 (北京时间)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2.地点：</w:t>
      </w:r>
      <w:r>
        <w:rPr>
          <w:rFonts w:hint="eastAsia" w:ascii="宋体" w:hAnsi="宋体" w:eastAsia="宋体" w:cs="宋体"/>
          <w:color w:val="auto"/>
          <w:highlight w:val="none"/>
          <w:lang w:val="en-US" w:eastAsia="zh-CN"/>
        </w:rPr>
        <w:t>固始县公共资源交易中心六楼不见面第</w:t>
      </w:r>
      <w:r>
        <w:rPr>
          <w:rFonts w:hint="eastAsia" w:ascii="宋体" w:hAnsi="宋体" w:eastAsia="宋体" w:cs="宋体"/>
          <w:color w:val="auto"/>
          <w:highlight w:val="none"/>
          <w:u w:val="none"/>
          <w:lang w:val="en-US" w:eastAsia="zh-CN"/>
        </w:rPr>
        <w:t>二</w:t>
      </w:r>
      <w:r>
        <w:rPr>
          <w:rFonts w:hint="eastAsia" w:ascii="宋体" w:hAnsi="宋体" w:eastAsia="宋体" w:cs="宋体"/>
          <w:color w:val="auto"/>
          <w:highlight w:val="none"/>
          <w:lang w:val="en-US" w:eastAsia="zh-CN"/>
        </w:rPr>
        <w:t>开标室。</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bookmarkStart w:id="10" w:name="_Toc27686"/>
      <w:r>
        <w:rPr>
          <w:rFonts w:hint="eastAsia" w:ascii="宋体" w:hAnsi="宋体" w:eastAsia="宋体" w:cs="宋体"/>
          <w:b/>
          <w:bCs/>
          <w:color w:val="auto"/>
          <w:highlight w:val="none"/>
        </w:rPr>
        <w:t>五、开标时间及地点</w:t>
      </w:r>
      <w:bookmarkEnd w:id="10"/>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1.时间：202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日8时30分 (北京时间)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bookmarkStart w:id="11" w:name="_Toc21933"/>
      <w:r>
        <w:rPr>
          <w:rFonts w:hint="eastAsia" w:ascii="宋体" w:hAnsi="宋体" w:eastAsia="宋体" w:cs="宋体"/>
          <w:color w:val="auto"/>
          <w:highlight w:val="none"/>
        </w:rPr>
        <w:t>2.地点：固始县公共资源交易中心六楼不见面第</w:t>
      </w:r>
      <w:r>
        <w:rPr>
          <w:rFonts w:hint="eastAsia" w:ascii="宋体" w:hAnsi="宋体" w:eastAsia="宋体" w:cs="宋体"/>
          <w:color w:val="auto"/>
          <w:highlight w:val="none"/>
          <w:u w:val="none"/>
          <w:lang w:val="en-US" w:eastAsia="zh-CN"/>
        </w:rPr>
        <w:t>二</w:t>
      </w:r>
      <w:r>
        <w:rPr>
          <w:rFonts w:hint="eastAsia" w:ascii="宋体" w:hAnsi="宋体" w:eastAsia="宋体" w:cs="宋体"/>
          <w:color w:val="auto"/>
          <w:highlight w:val="none"/>
        </w:rPr>
        <w:t>开标室。</w:t>
      </w:r>
      <w:bookmarkEnd w:id="11"/>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bookmarkStart w:id="12" w:name="_Toc3555"/>
      <w:r>
        <w:rPr>
          <w:rFonts w:hint="eastAsia" w:ascii="宋体" w:hAnsi="宋体" w:eastAsia="宋体" w:cs="宋体"/>
          <w:b/>
          <w:bCs/>
          <w:color w:val="auto"/>
          <w:highlight w:val="none"/>
        </w:rPr>
        <w:t>六、发布公告</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rPr>
        <w:t>媒介及招标公告期限</w:t>
      </w:r>
      <w:bookmarkEnd w:id="12"/>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本次招标公告在《河南省政府采购网》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《河南省电子招标投标公共服务平台》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《全国公共资源交易平台(河南省·固始县)》上发布。招标公告期限为五个工作日。</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bookmarkStart w:id="13" w:name="_Toc30736"/>
      <w:r>
        <w:rPr>
          <w:rFonts w:hint="eastAsia" w:ascii="宋体" w:hAnsi="宋体" w:eastAsia="宋体" w:cs="宋体"/>
          <w:b/>
          <w:bCs/>
          <w:color w:val="auto"/>
          <w:highlight w:val="none"/>
        </w:rPr>
        <w:t>七、其他补充事宜</w:t>
      </w:r>
      <w:bookmarkEnd w:id="13"/>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bookmarkStart w:id="14" w:name="_Toc28040"/>
      <w:r>
        <w:rPr>
          <w:rFonts w:hint="eastAsia" w:ascii="宋体" w:hAnsi="宋体" w:eastAsia="宋体" w:cs="宋体"/>
          <w:color w:val="auto"/>
          <w:highlight w:val="none"/>
        </w:rPr>
        <w:t>1、各供应商应在电子投标文件递交截止时间前上传加密的电子投标文件到系统的指定位置。上传的电子投标文件应使用供应商CA数字证书认证并加密。上传时必须得到交易系统“上传成功”的确认回复后方为上传成功。请供应商在上传前务必认真检查上传电子投标文件是否完整、正确。</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2、本项目采用“不见面开标”交易方式，不见面开标大厅网址为</w:t>
      </w:r>
      <w:r>
        <w:rPr>
          <w:rFonts w:hint="eastAsia" w:ascii="宋体" w:hAnsi="宋体" w:eastAsia="宋体" w:cs="宋体"/>
          <w:color w:val="auto"/>
          <w:highlight w:val="none"/>
          <w:lang w:eastAsia="zh-CN"/>
        </w:rPr>
        <w:t>https://ggzyjy.xinyang.gov.cn/BidOpening/bidhall/xinyang/login.html</w:t>
      </w:r>
      <w:r>
        <w:rPr>
          <w:rFonts w:hint="eastAsia" w:ascii="宋体" w:hAnsi="宋体" w:eastAsia="宋体" w:cs="宋体"/>
          <w:color w:val="auto"/>
          <w:highlight w:val="none"/>
        </w:rPr>
        <w:t>供应商无需寄送和递交非加密的电子投标文件，无需到现场参加开标会议，无需到达现场提交原件资料。</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3、供应商应当在投标截止时间前，使用供应商CA数字证书登录不见面开标大厅，在线签到并准时参加开标活动，并在规定时间内完成电子投标文件解密、答疑澄清等。</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4、逾期解密或者没有准时在线签到参加开标活动导致的一切后果供应商自行承担。</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5、不见面开标服务的具体事宜，请查阅固始县公共资源交易中心网站首页—下载中心—固始县不见面开标大厅系统操作手册。</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特别提示：投标人在线签到时，应如实准确的填写授权委托人的联系电话，开标当天请务必保证电话保持畅通。</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八、凡对本次招标提出询问，请按照以下方式联系：</w:t>
      </w:r>
      <w:bookmarkEnd w:id="14"/>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bookmarkStart w:id="15" w:name="_Toc27605"/>
      <w:r>
        <w:rPr>
          <w:rFonts w:hint="eastAsia" w:ascii="宋体" w:hAnsi="宋体" w:eastAsia="宋体" w:cs="宋体"/>
          <w:color w:val="auto"/>
          <w:highlight w:val="none"/>
        </w:rPr>
        <w:t>1.采购人信息</w:t>
      </w:r>
      <w:bookmarkEnd w:id="15"/>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固始县残疾人联合会</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地址：固始县</w:t>
      </w:r>
      <w:r>
        <w:rPr>
          <w:rFonts w:hint="eastAsia" w:ascii="宋体" w:hAnsi="宋体" w:eastAsia="宋体" w:cs="宋体"/>
          <w:color w:val="auto"/>
          <w:highlight w:val="none"/>
          <w:lang w:val="en-US" w:eastAsia="zh-CN"/>
        </w:rPr>
        <w:t>成功大道西段</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 xml:space="preserve">陆中新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13903977149</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bookmarkStart w:id="16" w:name="_Toc9411"/>
      <w:r>
        <w:rPr>
          <w:rFonts w:hint="eastAsia" w:ascii="宋体" w:hAnsi="宋体" w:eastAsia="宋体" w:cs="宋体"/>
          <w:color w:val="auto"/>
          <w:highlight w:val="none"/>
        </w:rPr>
        <w:t>2.采购代理机构信息（如有）</w:t>
      </w:r>
      <w:bookmarkEnd w:id="16"/>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固始县采购中心</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固始县政府院内西附楼三楼</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王磊</w:t>
      </w:r>
      <w:r>
        <w:rPr>
          <w:rFonts w:hint="eastAsia" w:ascii="宋体" w:hAnsi="宋体" w:eastAsia="宋体" w:cs="宋体"/>
          <w:color w:val="auto"/>
          <w:highlight w:val="none"/>
        </w:rPr>
        <w:t>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highlight w:val="none"/>
          <w:lang w:val="en-US"/>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13607614246</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bookmarkStart w:id="17" w:name="_Toc11943"/>
      <w:r>
        <w:rPr>
          <w:rFonts w:hint="eastAsia" w:ascii="宋体" w:hAnsi="宋体" w:eastAsia="宋体" w:cs="宋体"/>
          <w:color w:val="auto"/>
          <w:highlight w:val="none"/>
          <w:lang w:val="en-US" w:eastAsia="zh-CN"/>
        </w:rPr>
        <w:t>3.项目联系方式</w:t>
      </w:r>
      <w:bookmarkEnd w:id="17"/>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王磊</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13607614246</w:t>
      </w:r>
    </w:p>
    <w:p>
      <w:pPr>
        <w:keepNext w:val="0"/>
        <w:keepLines w:val="0"/>
        <w:pageBreakBefore w:val="0"/>
        <w:kinsoku/>
        <w:wordWrap w:val="0"/>
        <w:overflowPunct w:val="0"/>
        <w:topLinePunct/>
        <w:autoSpaceDE w:val="0"/>
        <w:autoSpaceDN w:val="0"/>
        <w:bidi w:val="0"/>
        <w:rPr>
          <w:rFonts w:hint="eastAsia" w:ascii="宋体" w:hAnsi="宋体" w:eastAsia="宋体" w:cs="宋体"/>
          <w:b/>
          <w:bCs/>
          <w:color w:val="auto"/>
          <w:sz w:val="30"/>
          <w:szCs w:val="30"/>
          <w:highlight w:val="none"/>
          <w:lang w:val="en-US" w:eastAsia="zh-CN"/>
        </w:rPr>
      </w:pPr>
      <w:bookmarkStart w:id="18" w:name="_Toc12418"/>
      <w:bookmarkStart w:id="19" w:name="_Toc16995"/>
      <w:r>
        <w:rPr>
          <w:rFonts w:hint="eastAsia" w:ascii="宋体" w:hAnsi="宋体" w:eastAsia="宋体" w:cs="宋体"/>
          <w:b/>
          <w:bCs/>
          <w:color w:val="auto"/>
          <w:sz w:val="30"/>
          <w:szCs w:val="30"/>
          <w:highlight w:val="none"/>
          <w:lang w:val="en-US" w:eastAsia="zh-CN"/>
        </w:rPr>
        <w:br w:type="page"/>
      </w: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第二章 投标人须知</w:t>
      </w:r>
      <w:bookmarkEnd w:id="18"/>
      <w:bookmarkEnd w:id="19"/>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24"/>
          <w:szCs w:val="24"/>
          <w:highlight w:val="none"/>
          <w:lang w:val="en-US" w:eastAsia="zh-CN"/>
        </w:rPr>
      </w:pPr>
      <w:bookmarkStart w:id="20" w:name="_Toc17572"/>
      <w:r>
        <w:rPr>
          <w:rFonts w:hint="eastAsia" w:ascii="宋体" w:hAnsi="宋体" w:eastAsia="宋体" w:cs="宋体"/>
          <w:b/>
          <w:bCs/>
          <w:color w:val="auto"/>
          <w:sz w:val="24"/>
          <w:szCs w:val="24"/>
          <w:highlight w:val="none"/>
          <w:lang w:val="en-US" w:eastAsia="zh-CN"/>
        </w:rPr>
        <w:t>投标须知前附表</w:t>
      </w:r>
      <w:bookmarkEnd w:id="20"/>
    </w:p>
    <w:p>
      <w:pPr>
        <w:keepNext w:val="0"/>
        <w:keepLines w:val="0"/>
        <w:pageBreakBefore w:val="0"/>
        <w:kinsoku/>
        <w:wordWrap w:val="0"/>
        <w:overflowPunct w:val="0"/>
        <w:topLinePunct/>
        <w:autoSpaceDE w:val="0"/>
        <w:autoSpaceDN w:val="0"/>
        <w:bidi w:val="0"/>
        <w:spacing w:line="151" w:lineRule="exact"/>
        <w:rPr>
          <w:rFonts w:hint="eastAsia" w:ascii="宋体" w:hAnsi="宋体" w:eastAsia="宋体" w:cs="宋体"/>
          <w:color w:val="auto"/>
          <w:highlight w:val="none"/>
        </w:rPr>
      </w:pPr>
    </w:p>
    <w:tbl>
      <w:tblPr>
        <w:tblStyle w:val="31"/>
        <w:tblW w:w="94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737"/>
        <w:gridCol w:w="6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 款 名 称</w:t>
            </w:r>
          </w:p>
        </w:tc>
        <w:tc>
          <w:tcPr>
            <w:tcW w:w="6825"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825" w:type="dxa"/>
            <w:tcBorders>
              <w:top w:val="single" w:color="000000" w:sz="2" w:space="0"/>
              <w:bottom w:val="single" w:color="000000" w:sz="2" w:space="0"/>
            </w:tcBorders>
            <w:vAlign w:val="center"/>
          </w:tcPr>
          <w:p>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采购人：固始县残疾人联合会</w:t>
            </w:r>
          </w:p>
          <w:p>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地址：固始县</w:t>
            </w:r>
            <w:r>
              <w:rPr>
                <w:rFonts w:hint="eastAsia" w:ascii="宋体" w:hAnsi="宋体" w:eastAsia="宋体" w:cs="宋体"/>
                <w:color w:val="auto"/>
                <w:highlight w:val="none"/>
                <w:lang w:val="en-US" w:eastAsia="zh-CN"/>
              </w:rPr>
              <w:t>成功大道西段</w:t>
            </w:r>
          </w:p>
          <w:p>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联系人：陆中新 </w:t>
            </w:r>
          </w:p>
          <w:p>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lang w:val="en-US" w:eastAsia="zh-CN"/>
              </w:rPr>
              <w:t>13903977149</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6825" w:type="dxa"/>
            <w:tcBorders>
              <w:top w:val="single" w:color="000000" w:sz="2" w:space="0"/>
              <w:bottom w:val="single" w:color="000000" w:sz="2" w:space="0"/>
            </w:tcBorders>
            <w:vAlign w:val="center"/>
          </w:tcPr>
          <w:p>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采购代理机构：</w:t>
            </w:r>
            <w:r>
              <w:rPr>
                <w:rFonts w:hint="eastAsia" w:ascii="宋体" w:hAnsi="宋体" w:eastAsia="宋体" w:cs="宋体"/>
                <w:color w:val="auto"/>
                <w:highlight w:val="none"/>
                <w:lang w:eastAsia="zh-CN"/>
              </w:rPr>
              <w:t>固始县采购中心</w:t>
            </w:r>
          </w:p>
          <w:p>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固始县政府院内西附楼三楼</w:t>
            </w:r>
          </w:p>
          <w:p>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王磊</w:t>
            </w:r>
          </w:p>
          <w:p>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lang w:val="en-US" w:eastAsia="zh-CN"/>
              </w:rPr>
              <w:t>13607614246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825" w:type="dxa"/>
            <w:tcBorders>
              <w:top w:val="single" w:color="000000" w:sz="2" w:space="0"/>
              <w:bottom w:val="single" w:color="000000" w:sz="2" w:space="0"/>
            </w:tcBorders>
            <w:vAlign w:val="center"/>
          </w:tcPr>
          <w:p>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固始县残疾人托养中心采购医疗机构合作方项目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包段划分及最高限价</w:t>
            </w:r>
          </w:p>
        </w:tc>
        <w:tc>
          <w:tcPr>
            <w:tcW w:w="6825" w:type="dxa"/>
            <w:tcBorders>
              <w:top w:val="single" w:color="000000" w:sz="2" w:space="0"/>
              <w:bottom w:val="single" w:color="000000" w:sz="2" w:space="0"/>
            </w:tcBorders>
            <w:vAlign w:val="center"/>
          </w:tcPr>
          <w:p>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包段划分：共分为1个包段。</w:t>
            </w:r>
          </w:p>
          <w:p>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本项目最高限价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本项目限价为总床位数的70%，即投标单位承诺提供免费床位数不低于总床位数的30%（36张床位）。免费范围为免除床位费。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1.1.6</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采购方式</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出资比例</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采购内容</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为特殊困难残疾人提供集中托养服务，做好入住机构的残疾人基本生活服务，做好残疾人健康管理工作，做好残疾人常见病及多发病的护理工作，提供适合残疾人的的病理服务工作。</w:t>
            </w:r>
            <w:r>
              <w:rPr>
                <w:rFonts w:hint="eastAsia" w:ascii="宋体" w:hAnsi="宋体" w:eastAsia="宋体" w:cs="宋体"/>
                <w:color w:val="auto"/>
                <w:highlight w:val="none"/>
              </w:rPr>
              <w:t>具体要求详见招标文件第四章-</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质量要求</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供应商须依据采购人要求提供</w:t>
            </w:r>
            <w:r>
              <w:rPr>
                <w:rFonts w:hint="eastAsia" w:ascii="宋体" w:hAnsi="宋体" w:eastAsia="宋体" w:cs="宋体"/>
                <w:color w:val="auto"/>
                <w:highlight w:val="none"/>
                <w:lang w:eastAsia="zh-CN"/>
              </w:rPr>
              <w:t>物业</w:t>
            </w:r>
            <w:r>
              <w:rPr>
                <w:rFonts w:hint="eastAsia" w:ascii="宋体" w:hAnsi="宋体" w:eastAsia="宋体" w:cs="宋体"/>
                <w:color w:val="auto"/>
                <w:highlight w:val="none"/>
              </w:rPr>
              <w:t>服务并保证服务质量；供应商的服务须接受采购人的管理并接受监管部门的监督</w:t>
            </w:r>
            <w:r>
              <w:rPr>
                <w:rFonts w:hint="eastAsia" w:ascii="宋体" w:hAnsi="宋体" w:eastAsia="宋体" w:cs="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合同履行</w:t>
            </w:r>
            <w:r>
              <w:rPr>
                <w:rFonts w:hint="eastAsia" w:ascii="宋体" w:hAnsi="宋体" w:eastAsia="宋体" w:cs="宋体"/>
                <w:color w:val="auto"/>
                <w:highlight w:val="none"/>
              </w:rPr>
              <w:t>期限</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ind w:firstLine="210" w:firstLineChars="1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1.3.4</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实施地点</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采购人指定地点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1.4.1</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投标人资格要求</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1、满足《中华人民共和国政府采购法》第二十二条规定。</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2、落实政府采购政策满足的资格要求：本项目落实节约能源、保护环境、扶持不发达地区和少数民族地区、促进中小微企业、监狱企业及残疾人福利性单位发展等政府采购政策。</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3、本项目的特定资格要求：</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供应商应持有卫生部门核准的《医疗机构执业许可证》，诊疗科目需包含内科、外科等多科目，医疗机构类别为二级或以上综合医院，须为医保定点医院（投标文件中附医疗机构执业许可证复印件，以及二级或以上综合医院、医保定点医院的证明材料，否则其投标将不被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付款方式</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双方另行协商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1.10</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采购人不再统一组织投标预备会。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1.11</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autoSpaceDE w:val="0"/>
              <w:autoSpaceDN w:val="0"/>
              <w:adjustRightIn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000000"/>
                <w:kern w:val="0"/>
                <w:szCs w:val="21"/>
                <w:highlight w:val="none"/>
              </w:rPr>
              <w:t>2.2.3</w:t>
            </w:r>
          </w:p>
        </w:tc>
        <w:tc>
          <w:tcPr>
            <w:tcW w:w="1737" w:type="dxa"/>
            <w:tcBorders>
              <w:top w:val="single" w:color="000000" w:sz="2" w:space="0"/>
              <w:bottom w:val="single" w:color="000000" w:sz="2" w:space="0"/>
            </w:tcBorders>
            <w:vAlign w:val="center"/>
          </w:tcPr>
          <w:p>
            <w:pPr>
              <w:autoSpaceDE w:val="0"/>
              <w:autoSpaceDN w:val="0"/>
              <w:adjustRightIn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000000"/>
                <w:kern w:val="0"/>
                <w:szCs w:val="21"/>
                <w:highlight w:val="none"/>
              </w:rPr>
              <w:t>投标人确认收到招标文件澄清的时间</w:t>
            </w:r>
          </w:p>
        </w:tc>
        <w:tc>
          <w:tcPr>
            <w:tcW w:w="6825" w:type="dxa"/>
            <w:tcBorders>
              <w:top w:val="single" w:color="000000" w:sz="2" w:space="0"/>
              <w:bottom w:val="single" w:color="000000" w:sz="2" w:space="0"/>
            </w:tcBorders>
            <w:vAlign w:val="center"/>
          </w:tcPr>
          <w:p>
            <w:pPr>
              <w:autoSpaceDE w:val="0"/>
              <w:autoSpaceDN w:val="0"/>
              <w:adjustRightInd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在收到相应澄清文件后24小时内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autoSpaceDE w:val="0"/>
              <w:autoSpaceDN w:val="0"/>
              <w:adjustRightIn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000000"/>
                <w:kern w:val="0"/>
                <w:szCs w:val="21"/>
                <w:highlight w:val="none"/>
              </w:rPr>
              <w:t>2.3.1</w:t>
            </w:r>
          </w:p>
        </w:tc>
        <w:tc>
          <w:tcPr>
            <w:tcW w:w="1737" w:type="dxa"/>
            <w:tcBorders>
              <w:top w:val="single" w:color="000000" w:sz="2" w:space="0"/>
              <w:bottom w:val="single" w:color="000000" w:sz="2" w:space="0"/>
            </w:tcBorders>
            <w:vAlign w:val="center"/>
          </w:tcPr>
          <w:p>
            <w:pPr>
              <w:autoSpaceDE w:val="0"/>
              <w:autoSpaceDN w:val="0"/>
              <w:adjustRightIn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000000"/>
                <w:szCs w:val="21"/>
                <w:highlight w:val="none"/>
              </w:rPr>
              <w:t>招标文件修改的时间</w:t>
            </w:r>
          </w:p>
        </w:tc>
        <w:tc>
          <w:tcPr>
            <w:tcW w:w="6825" w:type="dxa"/>
            <w:tcBorders>
              <w:top w:val="single" w:color="000000" w:sz="2" w:space="0"/>
              <w:bottom w:val="single" w:color="000000" w:sz="2" w:space="0"/>
            </w:tcBorders>
            <w:vAlign w:val="center"/>
          </w:tcPr>
          <w:p>
            <w:pPr>
              <w:autoSpaceDE w:val="0"/>
              <w:autoSpaceDN w:val="0"/>
              <w:adjustRightInd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000000"/>
                <w:szCs w:val="21"/>
                <w:highlight w:val="none"/>
              </w:rPr>
              <w:t>提交投标文件截止时间15日前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autoSpaceDE w:val="0"/>
              <w:autoSpaceDN w:val="0"/>
              <w:adjustRightIn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000000"/>
                <w:kern w:val="0"/>
                <w:szCs w:val="21"/>
                <w:highlight w:val="none"/>
              </w:rPr>
              <w:t>2.3.3</w:t>
            </w:r>
          </w:p>
        </w:tc>
        <w:tc>
          <w:tcPr>
            <w:tcW w:w="1737" w:type="dxa"/>
            <w:tcBorders>
              <w:top w:val="single" w:color="000000" w:sz="2" w:space="0"/>
              <w:bottom w:val="single" w:color="000000" w:sz="2" w:space="0"/>
            </w:tcBorders>
            <w:vAlign w:val="center"/>
          </w:tcPr>
          <w:p>
            <w:pPr>
              <w:autoSpaceDE w:val="0"/>
              <w:autoSpaceDN w:val="0"/>
              <w:adjustRightIn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000000"/>
                <w:szCs w:val="21"/>
                <w:highlight w:val="none"/>
              </w:rPr>
              <w:t>供应商确认收到招标文件修改的时间</w:t>
            </w:r>
          </w:p>
        </w:tc>
        <w:tc>
          <w:tcPr>
            <w:tcW w:w="6825" w:type="dxa"/>
            <w:tcBorders>
              <w:top w:val="single" w:color="000000" w:sz="2" w:space="0"/>
              <w:bottom w:val="single" w:color="000000" w:sz="2" w:space="0"/>
            </w:tcBorders>
            <w:vAlign w:val="center"/>
          </w:tcPr>
          <w:p>
            <w:pPr>
              <w:autoSpaceDE w:val="0"/>
              <w:autoSpaceDN w:val="0"/>
              <w:adjustRightInd w:val="0"/>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000000"/>
                <w:szCs w:val="21"/>
                <w:highlight w:val="none"/>
              </w:rPr>
              <w:t>在收到相应修改文件后24小时内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构成投标文件的其他材料</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按招标文件要求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60日历天(从投标截止之日算起)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3.4</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3.5.3</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投标文件签字和盖章要求</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(1)所有要求投标人加盖公章的地方都须加盖投标人的CA印章。   </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(2)所有要求法定代表人或其委托代理人签字的地方都须加盖法定代表人或其委托代理人的CA印章或签字。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4.1.1</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递交投标文件截止时间</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b w:val="0"/>
                <w:bCs w:val="0"/>
                <w:color w:val="auto"/>
                <w:highlight w:val="none"/>
              </w:rPr>
              <w:t>截止时间：</w:t>
            </w:r>
            <w:r>
              <w:rPr>
                <w:rFonts w:hint="eastAsia" w:ascii="宋体" w:hAnsi="宋体" w:eastAsia="宋体" w:cs="宋体"/>
                <w:b w:val="0"/>
                <w:bCs w:val="0"/>
                <w:color w:val="auto"/>
                <w:highlight w:val="none"/>
                <w:lang w:val="en-US" w:eastAsia="zh-CN"/>
              </w:rPr>
              <w:t>同招标公告递交投标文件截止时间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5.1.1</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开标时间</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eastAsia="宋体" w:cs="宋体"/>
                <w:color w:val="auto"/>
                <w:highlight w:val="none"/>
                <w:lang w:val="en-US" w:eastAsia="zh-CN"/>
              </w:rPr>
              <w:t>同招标公告开标时间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5.2</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各供应商应在投标截止时间前上传加密的电子投标文件到会员系统的指定位置。上传的电子投标文件应使用投标人CA数字证书认证并加密。上传时必须得到交易系统“上传成功”的确认回复后方为上传成功。请供应商在上传前务必认真检查上传响应文件是否完整、正确。</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加密电子投标文件逾期上传，采购人不予受理</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本项目采用“不见面开标”交易方式，不见面开标大厅网址为https://ggzyjy.xinyang.gov.cn/BidOpening/bidhall/xinyang/login.html，投标人无需寄送和递交非加密的电子投标文件，无需到现场参加开标会议，无需到达现场提交原件资料。</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投标人应当在投标截止时间前，使用投标人 CA 数字证书登录不见面开标大厅，在线签到并准时参加开标活动，并在规定时间内完成投标文件解密、答疑澄清等。</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逾期解密或者没有准时在线签到参加开标活动导致的一切后果投标人自行承担。</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不见面开标服务的具体事宜，请查阅固始县公共资源交易中心网站首页—下载中心—固始县不见面开标大厅系统操作手册。</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特别提示：投标人在线签到时，应如实准确地填写授权委托人的联系电话，开标当天请务必保证电话保持畅通。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评标委员会成员人数：</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由采购人代表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人和评审专家</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人组成，评审专家从河南省政府采购专家库</w:t>
            </w:r>
            <w:r>
              <w:rPr>
                <w:rFonts w:hint="eastAsia" w:ascii="宋体" w:hAnsi="宋体" w:eastAsia="宋体" w:cs="宋体"/>
                <w:color w:val="auto"/>
                <w:highlight w:val="none"/>
                <w:lang w:val="en-US" w:eastAsia="zh-CN"/>
              </w:rPr>
              <w:t>信阳分库</w:t>
            </w:r>
            <w:r>
              <w:rPr>
                <w:rFonts w:hint="eastAsia" w:ascii="宋体" w:hAnsi="宋体" w:eastAsia="宋体" w:cs="宋体"/>
                <w:color w:val="auto"/>
                <w:highlight w:val="none"/>
              </w:rPr>
              <w:t>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是否授权评标委 员会确定中标人</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否；推荐的中标候选人数：1-3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7.3.1</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履约担保</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7.3.2</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分包/转包</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不允许转包和分包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8.1</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中标、成交结果公告媒介及期限</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公告媒介：招标公告发布的同一媒介 </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公告期限：1个工作日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8.2</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是否授权评标委员 会确定中标人</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8.4.1</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双方自行协商。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9.5</w:t>
            </w:r>
          </w:p>
        </w:tc>
        <w:tc>
          <w:tcPr>
            <w:tcW w:w="173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质疑(异议)、投诉</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供应商和其他利害关系人认为本次招标活动违反法律、法规和规章规定 的，可以自知道或者应当知道之日起10日内；供应商对采购文件、采购 过程、中标或者成交结果的有质疑(异议)，可以在知道或者应知其权益受到损害之日起7个工作日内；在固始县公共资源交易平台上网上质疑(异议)、投诉通道一次性提出(在线上质疑(异议)、投诉的同时，供应商也可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代理机构提供书面申请)。</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操作流程详见</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“质疑流程</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"http://www.gsggzy.cn/TPFront/zyts/028001/"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http://www.gsggzy.cn/TPFront/zyts/028001/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“投诉流程</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"http://www.gsggzy.cn/TPFront/zyts/028002/"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http://www.gsggzy.cn/TPFront/zyts/028002/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1737" w:type="dxa"/>
            <w:tcBorders>
              <w:top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需要补充的其他内 容</w:t>
            </w:r>
          </w:p>
        </w:tc>
        <w:tc>
          <w:tcPr>
            <w:tcW w:w="6825" w:type="dxa"/>
            <w:tcBorders>
              <w:top w:val="single" w:color="000000" w:sz="2" w:space="0"/>
              <w:bottom w:val="single" w:color="000000" w:sz="2" w:space="0"/>
            </w:tcBorders>
            <w:vAlign w:val="top"/>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1、投标文件中的扫描件，每张最好控制在500kb内,生成的加密电子投标文件最好不要超过 50MB。 </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2、文件制作机器码、文件创建标识码有相同的按废标处理。</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、因投标人在投标过程中串标、围标或采用其他违法行为获取中标的，一旦被有关单位发现，招标人有权单方解除合同，同时投标人应赔偿由此给招标人所带来的一切损失。</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、招标人不承诺最低价中标，而且招标人</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义务解释说明未中标原因。</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、本项目具体服务形式按照双方最终签订的合同约定。</w:t>
            </w:r>
          </w:p>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、本招标文件最终解释权归招标人。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10.1</w:t>
            </w:r>
          </w:p>
        </w:tc>
        <w:tc>
          <w:tcPr>
            <w:tcW w:w="1737" w:type="dxa"/>
            <w:tcBorders>
              <w:top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000000"/>
                <w:kern w:val="0"/>
                <w:sz w:val="21"/>
                <w:szCs w:val="21"/>
                <w:highlight w:val="none"/>
                <w:lang w:val="en-US" w:eastAsia="zh-CN" w:bidi="ar-SA"/>
              </w:rPr>
              <w:t>按照政府采购法及其条例规定，本项目由固始县政府集中采购部门免费代理。中标方不需要交纳代理服务费。</w:t>
            </w:r>
            <w:r>
              <w:rPr>
                <w:rFonts w:hint="eastAsia" w:ascii="宋体" w:hAnsi="宋体" w:eastAsia="宋体" w:cs="宋体"/>
                <w:color w:val="auto"/>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tcBorders>
            <w:vAlign w:val="top"/>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10.2</w:t>
            </w:r>
          </w:p>
        </w:tc>
        <w:tc>
          <w:tcPr>
            <w:tcW w:w="1737" w:type="dxa"/>
            <w:tcBorders>
              <w:top w:val="single" w:color="000000" w:sz="2" w:space="0"/>
            </w:tcBorders>
            <w:vAlign w:val="top"/>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特别提示</w:t>
            </w:r>
          </w:p>
        </w:tc>
        <w:tc>
          <w:tcPr>
            <w:tcW w:w="6825" w:type="dxa"/>
            <w:tcBorders>
              <w:top w:val="single" w:color="000000" w:sz="2" w:space="0"/>
              <w:bottom w:val="single" w:color="000000" w:sz="2" w:space="0"/>
            </w:tcBorders>
            <w:vAlign w:val="top"/>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招标文件内容前后不一致的以供应商须知前附表为准，供应商须知前附表没有的以最后内容为准。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10.4</w:t>
            </w:r>
          </w:p>
        </w:tc>
        <w:tc>
          <w:tcPr>
            <w:tcW w:w="1737" w:type="dxa"/>
            <w:tcBorders>
              <w:top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报价要求</w:t>
            </w:r>
          </w:p>
        </w:tc>
        <w:tc>
          <w:tcPr>
            <w:tcW w:w="682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本次项目投标报价主要为提供的收费床位数占比。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637" w:type="dxa"/>
            <w:gridSpan w:val="2"/>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pacing w:val="-1"/>
                <w:sz w:val="21"/>
                <w:szCs w:val="21"/>
                <w:highlight w:val="none"/>
              </w:rPr>
            </w:pPr>
            <w:r>
              <w:rPr>
                <w:rFonts w:hint="eastAsia" w:ascii="宋体" w:hAnsi="宋体" w:eastAsia="宋体" w:cs="宋体"/>
                <w:b/>
                <w:color w:val="auto"/>
                <w:spacing w:val="0"/>
                <w:w w:val="100"/>
                <w:sz w:val="21"/>
                <w:szCs w:val="21"/>
                <w:highlight w:val="none"/>
              </w:rPr>
              <w:t>本项目对应的中小企业划分标准所属行业</w:t>
            </w:r>
          </w:p>
        </w:tc>
        <w:tc>
          <w:tcPr>
            <w:tcW w:w="6825"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adjustRightInd w:val="0"/>
              <w:spacing w:line="320" w:lineRule="exact"/>
              <w:ind w:left="0" w:leftChars="0" w:right="0" w:rightChars="0" w:firstLine="0" w:firstLineChars="0"/>
              <w:jc w:val="left"/>
              <w:textAlignment w:val="auto"/>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0"/>
                <w:w w:val="100"/>
                <w:kern w:val="0"/>
                <w:sz w:val="21"/>
                <w:szCs w:val="21"/>
                <w:highlight w:val="none"/>
                <w:lang w:val="en-US" w:eastAsia="zh-CN"/>
              </w:rPr>
              <w:t>医疗服务</w:t>
            </w:r>
            <w:r>
              <w:rPr>
                <w:rFonts w:hint="eastAsia" w:ascii="宋体" w:hAnsi="宋体" w:eastAsia="宋体" w:cs="宋体"/>
                <w:color w:val="auto"/>
                <w:spacing w:val="0"/>
                <w:w w:val="100"/>
                <w:kern w:val="0"/>
                <w:sz w:val="21"/>
                <w:szCs w:val="21"/>
                <w:highlight w:val="none"/>
              </w:rPr>
              <w:t>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462" w:type="dxa"/>
            <w:gridSpan w:val="3"/>
            <w:tcBorders>
              <w:top w:val="single" w:color="000000" w:sz="2" w:space="0"/>
              <w:bottom w:val="single" w:color="000000" w:sz="2" w:space="0"/>
            </w:tcBorders>
            <w:vAlign w:val="center"/>
          </w:tcPr>
          <w:p>
            <w:pPr>
              <w:keepNext w:val="0"/>
              <w:keepLines w:val="0"/>
              <w:pageBreakBefore w:val="0"/>
              <w:widowControl/>
              <w:suppressLineNumbers w:val="0"/>
              <w:kinsoku/>
              <w:wordWrap w:val="0"/>
              <w:overflowPunct w:val="0"/>
              <w:topLinePunct/>
              <w:autoSpaceDE w:val="0"/>
              <w:autoSpaceDN w:val="0"/>
              <w:bidi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未尽事宜按现行采购的有关法律法规和规定执行。</w:t>
            </w:r>
          </w:p>
        </w:tc>
      </w:tr>
    </w:tbl>
    <w:p>
      <w:pPr>
        <w:keepNext w:val="0"/>
        <w:keepLines w:val="0"/>
        <w:pageBreakBefore w:val="0"/>
        <w:kinsoku/>
        <w:wordWrap w:val="0"/>
        <w:overflowPunct w:val="0"/>
        <w:topLinePunct/>
        <w:autoSpaceDE w:val="0"/>
        <w:autoSpaceDN w:val="0"/>
        <w:bidi w:val="0"/>
        <w:rPr>
          <w:rFonts w:hint="eastAsia" w:ascii="宋体" w:hAnsi="宋体" w:eastAsia="宋体" w:cs="宋体"/>
          <w:b/>
          <w:bCs/>
          <w:color w:val="auto"/>
          <w:sz w:val="21"/>
          <w:szCs w:val="21"/>
          <w:highlight w:val="none"/>
        </w:rPr>
      </w:pPr>
      <w:bookmarkStart w:id="21" w:name="_Toc20593"/>
      <w:r>
        <w:rPr>
          <w:rFonts w:hint="eastAsia" w:ascii="宋体" w:hAnsi="宋体" w:eastAsia="宋体" w:cs="宋体"/>
          <w:b/>
          <w:bCs/>
          <w:color w:val="auto"/>
          <w:sz w:val="21"/>
          <w:szCs w:val="21"/>
          <w:highlight w:val="none"/>
        </w:rPr>
        <w:br w:type="page"/>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1.总则</w:t>
      </w:r>
      <w:bookmarkEnd w:id="21"/>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22" w:name="_Toc21648"/>
      <w:r>
        <w:rPr>
          <w:rFonts w:hint="eastAsia" w:ascii="宋体" w:hAnsi="宋体" w:eastAsia="宋体" w:cs="宋体"/>
          <w:b/>
          <w:bCs/>
          <w:color w:val="auto"/>
          <w:sz w:val="21"/>
          <w:szCs w:val="21"/>
          <w:highlight w:val="none"/>
        </w:rPr>
        <w:t>1.1 项目概况</w:t>
      </w:r>
      <w:bookmarkEnd w:id="22"/>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根据《中华人民共和国政府采购法》、《中华人民共和国政府采购法实施条例》等有关法律、 法规和规章的规定，本招标项目已具备招标条件，现对本项目进行公开招标。</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采购人：见投标人须知前附表。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采购代理机构：见投标人须知前附表。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项目名称：见投标人须知前附表。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最高限价：见投标人须知前附表。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采购方式：见投标人须知前附表。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23" w:name="_Toc29714"/>
      <w:r>
        <w:rPr>
          <w:rFonts w:hint="eastAsia" w:ascii="宋体" w:hAnsi="宋体" w:eastAsia="宋体" w:cs="宋体"/>
          <w:b/>
          <w:bCs/>
          <w:color w:val="auto"/>
          <w:sz w:val="21"/>
          <w:szCs w:val="21"/>
          <w:highlight w:val="none"/>
        </w:rPr>
        <w:t>1.2 资金来源和落实情况</w:t>
      </w:r>
      <w:bookmarkEnd w:id="23"/>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资金来源：见投标人须知前附表。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出资比例：见投标人须知前附表。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bookmarkStart w:id="24" w:name="_Toc27295"/>
      <w:r>
        <w:rPr>
          <w:rFonts w:hint="eastAsia" w:ascii="宋体" w:hAnsi="宋体" w:eastAsia="宋体" w:cs="宋体"/>
          <w:b/>
          <w:bCs/>
          <w:color w:val="auto"/>
          <w:sz w:val="21"/>
          <w:szCs w:val="21"/>
          <w:highlight w:val="none"/>
        </w:rPr>
        <w:t>1.3 采购</w:t>
      </w:r>
      <w:r>
        <w:rPr>
          <w:rFonts w:hint="eastAsia" w:ascii="宋体" w:hAnsi="宋体" w:eastAsia="宋体" w:cs="宋体"/>
          <w:b/>
          <w:bCs/>
          <w:color w:val="auto"/>
          <w:sz w:val="21"/>
          <w:szCs w:val="21"/>
          <w:highlight w:val="none"/>
          <w:lang w:val="en-US" w:eastAsia="zh-CN"/>
        </w:rPr>
        <w:t>范围</w:t>
      </w:r>
      <w:bookmarkEnd w:id="24"/>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采购内容：见投标人须知前附表。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质量要求：见投标人须知前附表。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 </w:t>
      </w:r>
      <w:r>
        <w:rPr>
          <w:rFonts w:hint="eastAsia" w:ascii="宋体" w:hAnsi="宋体" w:eastAsia="宋体" w:cs="宋体"/>
          <w:color w:val="auto"/>
          <w:sz w:val="21"/>
          <w:szCs w:val="21"/>
          <w:highlight w:val="none"/>
          <w:lang w:val="en-US" w:eastAsia="zh-CN"/>
        </w:rPr>
        <w:t>服务期限</w:t>
      </w:r>
      <w:r>
        <w:rPr>
          <w:rFonts w:hint="eastAsia" w:ascii="宋体" w:hAnsi="宋体" w:eastAsia="宋体" w:cs="宋体"/>
          <w:color w:val="auto"/>
          <w:sz w:val="21"/>
          <w:szCs w:val="21"/>
          <w:highlight w:val="none"/>
        </w:rPr>
        <w:t>：见投标人须知前附表。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1.3.4 </w:t>
      </w:r>
      <w:r>
        <w:rPr>
          <w:rFonts w:hint="eastAsia" w:ascii="宋体" w:hAnsi="宋体" w:eastAsia="宋体" w:cs="宋体"/>
          <w:color w:val="auto"/>
          <w:sz w:val="21"/>
          <w:szCs w:val="21"/>
          <w:highlight w:val="none"/>
          <w:lang w:val="en-US" w:eastAsia="zh-CN"/>
        </w:rPr>
        <w:t>交货地点</w:t>
      </w:r>
      <w:r>
        <w:rPr>
          <w:rFonts w:hint="eastAsia" w:ascii="宋体" w:hAnsi="宋体" w:eastAsia="宋体" w:cs="宋体"/>
          <w:color w:val="auto"/>
          <w:sz w:val="21"/>
          <w:szCs w:val="21"/>
          <w:highlight w:val="none"/>
        </w:rPr>
        <w:t>：见投标人须知前附表。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25" w:name="_Toc15785"/>
      <w:r>
        <w:rPr>
          <w:rFonts w:hint="eastAsia" w:ascii="宋体" w:hAnsi="宋体" w:eastAsia="宋体" w:cs="宋体"/>
          <w:b/>
          <w:bCs/>
          <w:color w:val="auto"/>
          <w:sz w:val="21"/>
          <w:szCs w:val="21"/>
          <w:highlight w:val="none"/>
        </w:rPr>
        <w:t>1.4 投标人资格要求</w:t>
      </w:r>
      <w:bookmarkEnd w:id="25"/>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投标人资格要求：见投标人须知前附表。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是否接受联合体投标：见投标人须知前附表。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投标人不得存在下列情形之一：</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(l)为采购人不具有独立法人资格的附属机构(单位)；</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(2)为本项目前期准备提供咨询服务的；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(3)为本项目提供采购代理机构服务的；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(4)与本项目的采购代理机构同为一个法定代表人的；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(5)与本项目的采购代理机构相互控股或参股的；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(6)与本项目的采购代理机构相互任职或工作的；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(7)被责令停业的；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(8)被暂停或取消投标资格的；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(9)财产被接管或冻结的；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(10)在最近三年内有骗取中标或严重违约情况的。</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26" w:name="_Toc16040"/>
      <w:r>
        <w:rPr>
          <w:rFonts w:hint="eastAsia" w:ascii="宋体" w:hAnsi="宋体" w:eastAsia="宋体" w:cs="宋体"/>
          <w:b/>
          <w:bCs/>
          <w:color w:val="auto"/>
          <w:sz w:val="21"/>
          <w:szCs w:val="21"/>
          <w:highlight w:val="none"/>
        </w:rPr>
        <w:t>1.5 付款方式</w:t>
      </w:r>
      <w:bookmarkEnd w:id="26"/>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见第五章合同条款及投标人须知前附表。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27" w:name="_Toc13003"/>
      <w:r>
        <w:rPr>
          <w:rFonts w:hint="eastAsia" w:ascii="宋体" w:hAnsi="宋体" w:eastAsia="宋体" w:cs="宋体"/>
          <w:b/>
          <w:bCs/>
          <w:color w:val="auto"/>
          <w:sz w:val="21"/>
          <w:szCs w:val="21"/>
          <w:highlight w:val="none"/>
        </w:rPr>
        <w:t>1.6 费用承担</w:t>
      </w:r>
      <w:bookmarkEnd w:id="27"/>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投标人准备和参加投标活动发生的费用自理。</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28" w:name="_Toc177"/>
      <w:r>
        <w:rPr>
          <w:rFonts w:hint="eastAsia" w:ascii="宋体" w:hAnsi="宋体" w:eastAsia="宋体" w:cs="宋体"/>
          <w:b/>
          <w:bCs/>
          <w:color w:val="auto"/>
          <w:sz w:val="21"/>
          <w:szCs w:val="21"/>
          <w:highlight w:val="none"/>
        </w:rPr>
        <w:t>1.7 保密</w:t>
      </w:r>
      <w:bookmarkEnd w:id="28"/>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参与招标投标活动的各方应对招标文件和投标文件中的商业和技术等秘密保密，违者应对由此造成的后承担法律责任。</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29" w:name="_Toc10495"/>
      <w:r>
        <w:rPr>
          <w:rFonts w:hint="eastAsia" w:ascii="宋体" w:hAnsi="宋体" w:eastAsia="宋体" w:cs="宋体"/>
          <w:b/>
          <w:bCs/>
          <w:color w:val="auto"/>
          <w:sz w:val="21"/>
          <w:szCs w:val="21"/>
          <w:highlight w:val="none"/>
        </w:rPr>
        <w:t>1.8 语言文字</w:t>
      </w:r>
      <w:bookmarkEnd w:id="29"/>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除专用术语外，与招标投标有关的语言均使用中文。必要时专用术语应附有中文注释。</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30" w:name="_Toc1857"/>
      <w:r>
        <w:rPr>
          <w:rFonts w:hint="eastAsia" w:ascii="宋体" w:hAnsi="宋体" w:eastAsia="宋体" w:cs="宋体"/>
          <w:b/>
          <w:bCs/>
          <w:color w:val="auto"/>
          <w:sz w:val="21"/>
          <w:szCs w:val="21"/>
          <w:highlight w:val="none"/>
        </w:rPr>
        <w:t>1.9 计量单位</w:t>
      </w:r>
      <w:bookmarkEnd w:id="30"/>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31" w:name="_Toc32617"/>
      <w:r>
        <w:rPr>
          <w:rFonts w:hint="eastAsia" w:ascii="宋体" w:hAnsi="宋体" w:eastAsia="宋体" w:cs="宋体"/>
          <w:b/>
          <w:bCs/>
          <w:color w:val="auto"/>
          <w:sz w:val="21"/>
          <w:szCs w:val="21"/>
          <w:highlight w:val="none"/>
        </w:rPr>
        <w:t>1.10 投标预备会</w:t>
      </w:r>
      <w:bookmarkEnd w:id="31"/>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32" w:name="_Toc21721"/>
      <w:r>
        <w:rPr>
          <w:rFonts w:hint="eastAsia" w:ascii="宋体" w:hAnsi="宋体" w:eastAsia="宋体" w:cs="宋体"/>
          <w:b/>
          <w:bCs/>
          <w:color w:val="auto"/>
          <w:sz w:val="21"/>
          <w:szCs w:val="21"/>
          <w:highlight w:val="none"/>
        </w:rPr>
        <w:t>1.11 偏离</w:t>
      </w:r>
      <w:bookmarkEnd w:id="32"/>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33" w:name="_Toc30406"/>
      <w:r>
        <w:rPr>
          <w:rFonts w:hint="eastAsia" w:ascii="宋体" w:hAnsi="宋体" w:eastAsia="宋体" w:cs="宋体"/>
          <w:b/>
          <w:bCs/>
          <w:color w:val="auto"/>
          <w:sz w:val="21"/>
          <w:szCs w:val="21"/>
          <w:highlight w:val="none"/>
        </w:rPr>
        <w:t>2.招标文件</w:t>
      </w:r>
      <w:bookmarkEnd w:id="33"/>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34" w:name="_Toc22134"/>
      <w:r>
        <w:rPr>
          <w:rFonts w:hint="eastAsia" w:ascii="宋体" w:hAnsi="宋体" w:eastAsia="宋体" w:cs="宋体"/>
          <w:b/>
          <w:bCs/>
          <w:color w:val="auto"/>
          <w:sz w:val="21"/>
          <w:szCs w:val="21"/>
          <w:highlight w:val="none"/>
        </w:rPr>
        <w:t>2.1 招标文件的组成</w:t>
      </w:r>
      <w:bookmarkEnd w:id="34"/>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本招标文件包括：</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(1)招标公告；</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政府采购合同</w:t>
      </w:r>
      <w:r>
        <w:rPr>
          <w:rFonts w:hint="eastAsia" w:ascii="宋体" w:hAnsi="宋体" w:eastAsia="宋体" w:cs="宋体"/>
          <w:color w:val="auto"/>
          <w:sz w:val="21"/>
          <w:szCs w:val="21"/>
          <w:highlight w:val="none"/>
        </w:rPr>
        <w:t>；</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 2.2.1 款和第 2.2.2 款对招标文件所作的澄清、修改，构成招标文件的组成部分。</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35" w:name="_Toc8814"/>
      <w:r>
        <w:rPr>
          <w:rFonts w:hint="eastAsia" w:ascii="宋体" w:hAnsi="宋体" w:eastAsia="宋体" w:cs="宋体"/>
          <w:b/>
          <w:bCs/>
          <w:color w:val="auto"/>
          <w:sz w:val="21"/>
          <w:szCs w:val="21"/>
          <w:highlight w:val="none"/>
        </w:rPr>
        <w:t>2.2 招标文件的澄清</w:t>
      </w:r>
      <w:bookmarkEnd w:id="35"/>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投标人应仔细阅读和检查招标文件的全部内容。如发现缺页或附件不全，应及时向</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人提出，以便补齐。</w:t>
      </w:r>
      <w:r>
        <w:rPr>
          <w:rFonts w:hint="eastAsia" w:ascii="宋体" w:hAnsi="宋体" w:eastAsia="宋体" w:cs="宋体"/>
          <w:b/>
          <w:bCs/>
          <w:color w:val="auto"/>
          <w:sz w:val="21"/>
          <w:szCs w:val="21"/>
          <w:highlight w:val="none"/>
        </w:rPr>
        <w:t>如有疑问，应在投标人须知前附表规定的时间前以书面形式(包括信函、电报、传真等可以有形表现所载内容的形式，下同)，要求</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人对招标文件予以澄清。</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招标文件的澄清将在投标人须知前附表规定的投标截止时间15天前在固始县公共资源交易系统</w:t>
      </w:r>
      <w:r>
        <w:rPr>
          <w:rFonts w:hint="eastAsia" w:ascii="宋体" w:hAnsi="宋体" w:eastAsia="宋体" w:cs="宋体"/>
          <w:b/>
          <w:bCs/>
          <w:color w:val="auto"/>
          <w:sz w:val="21"/>
          <w:szCs w:val="21"/>
          <w:highlight w:val="none"/>
        </w:rPr>
        <w:t>“变更公告”或“答疑文件”</w:t>
      </w:r>
      <w:r>
        <w:rPr>
          <w:rFonts w:hint="eastAsia" w:ascii="宋体" w:hAnsi="宋体" w:eastAsia="宋体" w:cs="宋体"/>
          <w:color w:val="auto"/>
          <w:sz w:val="21"/>
          <w:szCs w:val="21"/>
          <w:highlight w:val="none"/>
        </w:rPr>
        <w:t>将澄清内容予以发布，但不指明澄清问题的来源。如果澄清的内容可能影响投标文件编制且发出的时间距投标截止时间不足 15 天，相应延长投标截止时间。</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投标人应在投标文件递交截止时间前及时查看澄清内容，因投标人未及时查看而造成的后果自负。</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36" w:name="_Toc2847"/>
      <w:r>
        <w:rPr>
          <w:rFonts w:hint="eastAsia" w:ascii="宋体" w:hAnsi="宋体" w:eastAsia="宋体" w:cs="宋体"/>
          <w:b/>
          <w:bCs/>
          <w:color w:val="auto"/>
          <w:sz w:val="21"/>
          <w:szCs w:val="21"/>
          <w:highlight w:val="none"/>
        </w:rPr>
        <w:t>2.3 招标文件的修改</w:t>
      </w:r>
      <w:bookmarkEnd w:id="36"/>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在投标截止时间 15 天前，</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可以修改招标文件。如有修改，应在固始县公共资源交易系统</w:t>
      </w:r>
      <w:r>
        <w:rPr>
          <w:rFonts w:hint="eastAsia" w:ascii="宋体" w:hAnsi="宋体" w:eastAsia="宋体" w:cs="宋体"/>
          <w:b/>
          <w:bCs/>
          <w:color w:val="auto"/>
          <w:sz w:val="21"/>
          <w:szCs w:val="21"/>
          <w:highlight w:val="none"/>
        </w:rPr>
        <w:t>“变更公告”或“答疑文件”</w:t>
      </w:r>
      <w:r>
        <w:rPr>
          <w:rFonts w:hint="eastAsia" w:ascii="宋体" w:hAnsi="宋体" w:eastAsia="宋体" w:cs="宋体"/>
          <w:color w:val="auto"/>
          <w:sz w:val="21"/>
          <w:szCs w:val="21"/>
          <w:highlight w:val="none"/>
        </w:rPr>
        <w:t>将修改内容予以发布。如果修改的内容可能影响投标文件编制且发出的时间距投标截止时间不足 15 天，相应延长投标截止时间。</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当招标文件的澄清、修改、补充等在同一内容的表述上不一致时，以最后在固始县公共资源交易系统发出的文件为准。</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投标人应在投标文件递交截止时间前及时查看修改内容，因投标人未及时查看而造成的后果自负。</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37" w:name="_Toc561"/>
      <w:r>
        <w:rPr>
          <w:rFonts w:hint="eastAsia" w:ascii="宋体" w:hAnsi="宋体" w:eastAsia="宋体" w:cs="宋体"/>
          <w:b/>
          <w:bCs/>
          <w:color w:val="auto"/>
          <w:sz w:val="21"/>
          <w:szCs w:val="21"/>
          <w:highlight w:val="none"/>
        </w:rPr>
        <w:t>3.投标文件</w:t>
      </w:r>
      <w:bookmarkEnd w:id="37"/>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38" w:name="_Toc1212"/>
      <w:r>
        <w:rPr>
          <w:rFonts w:hint="eastAsia" w:ascii="宋体" w:hAnsi="宋体" w:eastAsia="宋体" w:cs="宋体"/>
          <w:b/>
          <w:bCs/>
          <w:color w:val="auto"/>
          <w:sz w:val="21"/>
          <w:szCs w:val="21"/>
          <w:highlight w:val="none"/>
        </w:rPr>
        <w:t>3.1 投标文件的组成</w:t>
      </w:r>
      <w:bookmarkEnd w:id="38"/>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投标文件应包括内容：</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详见招标文件第六章“投标文件格式”。</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39" w:name="_Toc5192"/>
      <w:r>
        <w:rPr>
          <w:rFonts w:hint="eastAsia" w:ascii="宋体" w:hAnsi="宋体" w:eastAsia="宋体" w:cs="宋体"/>
          <w:b/>
          <w:bCs/>
          <w:color w:val="auto"/>
          <w:sz w:val="21"/>
          <w:szCs w:val="21"/>
          <w:highlight w:val="none"/>
        </w:rPr>
        <w:t>3.2 投标报价</w:t>
      </w:r>
      <w:bookmarkEnd w:id="39"/>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40" w:name="_Toc29900"/>
      <w:r>
        <w:rPr>
          <w:rFonts w:hint="eastAsia" w:ascii="宋体" w:hAnsi="宋体" w:eastAsia="宋体" w:cs="宋体"/>
          <w:color w:val="auto"/>
          <w:sz w:val="21"/>
          <w:szCs w:val="21"/>
          <w:highlight w:val="none"/>
          <w:lang w:val="en-US" w:eastAsia="zh-CN"/>
        </w:rPr>
        <w:t xml:space="preserve">3.2.1供应商应按照应按招标文件、招标文件澄清（答疑）纪要、招标文件修改补充通知及相关技术要求进行报价。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3.2.2投标总报价应是采购人指定地点的包括履约完成前发生的各种税费、保险费、杂费、以及伴随的其它服务费总报价。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3.2.3供应商根据上述规定所作分项报价的目的只是为了评标时对投标文件进行比较的方便，但并不限制采购人订立合同的权力。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3.2.4 投标报价应完全包括招标文件规定的招标及服务范围，不得任意分割或合并所规定的分项。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3.2.5 供应商的各项响应报价只允许有一个报价，采购人和采购代理机构不接受有任何选择报价的投标。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3.2.6 供应商不得以任何理由在开标后对投标报价予以修改，报价在投标有效期内是固定的，不因任何原因而改变。任何包含价格调整要求和条件的投标，将被视为非实质性响应投标而予以拒绝。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3.2.7 投标价格不作为中标的唯一因素，不保证最低价中标。</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 投标有效期</w:t>
      </w:r>
      <w:bookmarkEnd w:id="40"/>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出现特殊情况需要延长投标有效期的，采购人以书面形式通知所有投标人延长投标有效期。 投标人同意延长的， 不得要求或被允许修改或撤销其投标文件； 投标人拒绝延长的， 其投标失效。</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3.4 投标保证金(无)</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3.5 投标文件的制作</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投标人通过“全国公共资源交易平台(河南省 ·固始县)”网站下载中心栏目内下载或招标文件领取页面下载“固始县投标文件制作工具软件”。</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 使用“固始县投标文件制作工具”软件制作生成加密版的电子投标文件，软件操作手册可在网站下载中心下载或打开软件后在右上角菜单内领取。</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 投标人在电子投标文件制作完成后生成投标文件时须加盖电子签章/签名。其他要求签字盖章的投标文件格式内容，如无法进行电子签章/签名，投标人可将盖章/签名后的扫描件上传到电子投标文件中。签字盖章的其他要求详见投标人须知前附表。开标一览表报价将作为电子开标的唱标依据(若开标时电子唱标的开标一览表内容与投标文件内开标一览表内容不一致的，以投标文件内的开标一览表内容为准。)</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招标文件格式所要求包含的全部资料应全部制作在投标文件内，严格按照本项目招标文件所有格式如实填写(不涉及的内容除外)，不应存在漏项或缺项，否则将存在投标文件被拒绝的风险。</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3.5.5 投标人编辑电子投标文件时，最后一步生成电子投标文件时，请使用本单位的企业 CA 数字 证书。</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3.5.6 投标人应按照招标文件的要求，规范、明确、准时地提交投标文件。如果没有按照招标文件的要求提交全部资料并保证所提供全部资料的真实性，或没有对招标文件做出实质性响应，其风险应由投标人自行承担。</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41" w:name="_Toc26552"/>
      <w:r>
        <w:rPr>
          <w:rFonts w:hint="eastAsia" w:ascii="宋体" w:hAnsi="宋体" w:eastAsia="宋体" w:cs="宋体"/>
          <w:b/>
          <w:bCs/>
          <w:color w:val="auto"/>
          <w:sz w:val="21"/>
          <w:szCs w:val="21"/>
          <w:highlight w:val="none"/>
        </w:rPr>
        <w:t>4.投标</w:t>
      </w:r>
      <w:bookmarkEnd w:id="41"/>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42" w:name="_Toc19386"/>
      <w:r>
        <w:rPr>
          <w:rFonts w:hint="eastAsia" w:ascii="宋体" w:hAnsi="宋体" w:eastAsia="宋体" w:cs="宋体"/>
          <w:b/>
          <w:bCs/>
          <w:color w:val="auto"/>
          <w:sz w:val="21"/>
          <w:szCs w:val="21"/>
          <w:highlight w:val="none"/>
        </w:rPr>
        <w:t>4.1 投标文件的递交</w:t>
      </w:r>
      <w:bookmarkEnd w:id="42"/>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投标人必须在投标截止时间前通过固始县公共资源交易中心电子招投标系统上传加密的电子投标文件，本项目评标以电子投标文件为依据，未在投标截止时间前上传电子投标文件，视为自动放弃其投标。</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4.1.2 投标人因固始县电子招投标交易平台问题无法上传电子投标文件时，请在工作时间与交易中心联系：新点软件技术人员联系电话：18537677109，交易中心信息科：4096606。</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43" w:name="_Toc15059"/>
      <w:r>
        <w:rPr>
          <w:rFonts w:hint="eastAsia" w:ascii="宋体" w:hAnsi="宋体" w:eastAsia="宋体" w:cs="宋体"/>
          <w:b/>
          <w:bCs/>
          <w:color w:val="auto"/>
          <w:sz w:val="21"/>
          <w:szCs w:val="21"/>
          <w:highlight w:val="none"/>
        </w:rPr>
        <w:t>4.2 投标文件的修改与撤回</w:t>
      </w:r>
      <w:bookmarkEnd w:id="43"/>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 在规定的投标截止时间前，投标人可以多次修改或撤回已递交的投标文件，最终投标文件以投标截止时间前完成上传至固始县公共资源交易中心交易系统最后一份投标文件为准。</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 修改的投标文件应按照本章第 3.5 条、第 4.1条规定进行编制和递交。</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44" w:name="_Toc26586"/>
      <w:r>
        <w:rPr>
          <w:rFonts w:hint="eastAsia" w:ascii="宋体" w:hAnsi="宋体" w:eastAsia="宋体" w:cs="宋体"/>
          <w:b/>
          <w:bCs/>
          <w:color w:val="auto"/>
          <w:sz w:val="21"/>
          <w:szCs w:val="21"/>
          <w:highlight w:val="none"/>
        </w:rPr>
        <w:t>5.开标</w:t>
      </w:r>
      <w:bookmarkEnd w:id="44"/>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45" w:name="_Toc20157"/>
      <w:r>
        <w:rPr>
          <w:rFonts w:hint="eastAsia" w:ascii="宋体" w:hAnsi="宋体" w:eastAsia="宋体" w:cs="宋体"/>
          <w:b/>
          <w:bCs/>
          <w:color w:val="auto"/>
          <w:sz w:val="21"/>
          <w:szCs w:val="21"/>
          <w:highlight w:val="none"/>
        </w:rPr>
        <w:t>5.1 开标时间和地点</w:t>
      </w:r>
      <w:bookmarkEnd w:id="45"/>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 采购人在本章规定的投标截止时间(开标时间) 和投标人须知前附表规定的地点公开开标。</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 本项目采用“不见面开标”交易方式，不见面开标大厅网址为</w:t>
      </w:r>
      <w:r>
        <w:rPr>
          <w:rFonts w:hint="eastAsia" w:ascii="宋体" w:hAnsi="宋体" w:eastAsia="宋体" w:cs="宋体"/>
          <w:color w:val="auto"/>
          <w:sz w:val="21"/>
          <w:szCs w:val="21"/>
          <w:highlight w:val="none"/>
          <w:u w:val="none"/>
          <w:lang w:eastAsia="zh-CN"/>
        </w:rPr>
        <w:t>https://ggzyjy.xinyang.gov.cn/BidOpening/bidhall/xinyang/login.html</w:t>
      </w:r>
      <w:r>
        <w:rPr>
          <w:rFonts w:hint="eastAsia" w:ascii="宋体" w:hAnsi="宋体" w:eastAsia="宋体" w:cs="宋体"/>
          <w:color w:val="auto"/>
          <w:sz w:val="21"/>
          <w:szCs w:val="21"/>
          <w:highlight w:val="none"/>
        </w:rPr>
        <w:t>，投标人(供应商)无需寄送和递交非加密的电子投标文件，无需到现场参加开标会议，无需到达现场提交原件资料。</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投标人应当在投标截止时间前，使用投标人CA数字证书登录不见面开标大厅，在线签到并准时参加开标活动，并在规定时间内完成投标文件解密、答疑澄清等。</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逾期解密或者没有准时在线签到参加开标活动导致的一切后果投标人自行承担。</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不见面开标服务的具体事宜，请查阅固始县公共资源交易中心网站首页—下载中心—固始县不见面开标大厅系统操作手册。</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特别提示：投标人在线签到时，应如实准确地填写授权委托人的联系电话，开标当天请务必保证电话保持畅通。</w:t>
      </w:r>
      <w:bookmarkStart w:id="46" w:name="_Toc31067"/>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 开标程序</w:t>
      </w:r>
      <w:bookmarkEnd w:id="46"/>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47" w:name="_Toc8224"/>
      <w:r>
        <w:rPr>
          <w:rFonts w:hint="eastAsia" w:ascii="宋体" w:hAnsi="宋体" w:eastAsia="宋体" w:cs="宋体"/>
          <w:b/>
          <w:bCs/>
          <w:color w:val="auto"/>
          <w:sz w:val="21"/>
          <w:szCs w:val="21"/>
          <w:highlight w:val="none"/>
        </w:rPr>
        <w:t>5.3 开标异议</w:t>
      </w:r>
      <w:bookmarkEnd w:id="47"/>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开标过程中，投标人如有异议，须在开标结束前通过系统提出，否则视同认可开标记录。开标结束后，对开标记录的任何异议不再接受。</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48" w:name="_Toc10922"/>
      <w:r>
        <w:rPr>
          <w:rFonts w:hint="eastAsia" w:ascii="宋体" w:hAnsi="宋体" w:eastAsia="宋体" w:cs="宋体"/>
          <w:b/>
          <w:bCs/>
          <w:color w:val="auto"/>
          <w:sz w:val="21"/>
          <w:szCs w:val="21"/>
          <w:highlight w:val="none"/>
        </w:rPr>
        <w:t>6.评标</w:t>
      </w:r>
      <w:bookmarkEnd w:id="48"/>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49" w:name="_Toc30320"/>
      <w:r>
        <w:rPr>
          <w:rFonts w:hint="eastAsia" w:ascii="宋体" w:hAnsi="宋体" w:eastAsia="宋体" w:cs="宋体"/>
          <w:b/>
          <w:bCs/>
          <w:color w:val="auto"/>
          <w:sz w:val="21"/>
          <w:szCs w:val="21"/>
          <w:highlight w:val="none"/>
        </w:rPr>
        <w:t>6.1 评标委员会</w:t>
      </w:r>
      <w:bookmarkEnd w:id="49"/>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评标委员会成员有下列情形之一的，应当回避：</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(1)投标人或投标人主要负责人的近亲属；</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(3)与投标人有经济利益关系，可能影响对投标公正评审的；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(4)曾因在招标、评标以及其他与招标投标有关活动中从事违法行为而受过行政处罚或刑事处罚的；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(5)与投标人有其他利害关系。</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50" w:name="_Toc22817"/>
      <w:r>
        <w:rPr>
          <w:rFonts w:hint="eastAsia" w:ascii="宋体" w:hAnsi="宋体" w:eastAsia="宋体" w:cs="宋体"/>
          <w:b/>
          <w:bCs/>
          <w:color w:val="auto"/>
          <w:sz w:val="21"/>
          <w:szCs w:val="21"/>
          <w:highlight w:val="none"/>
        </w:rPr>
        <w:t>6.2 评标原则</w:t>
      </w:r>
      <w:bookmarkEnd w:id="50"/>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评标活动遵循公平、公正、科学和择优的原则。</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51" w:name="_Toc1653"/>
      <w:r>
        <w:rPr>
          <w:rFonts w:hint="eastAsia" w:ascii="宋体" w:hAnsi="宋体" w:eastAsia="宋体" w:cs="宋体"/>
          <w:b/>
          <w:bCs/>
          <w:color w:val="auto"/>
          <w:sz w:val="21"/>
          <w:szCs w:val="21"/>
          <w:highlight w:val="none"/>
        </w:rPr>
        <w:t>6.3 评标过程的保密</w:t>
      </w:r>
      <w:bookmarkEnd w:id="51"/>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公开开标后，直到授予中标人合同为止，凡属于对投标文件的审查、澄清、评价和比较的有关资料以及中标候选人的推荐情况、与评标有关的其他任何情况均应严格保密。</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52" w:name="_Toc18421"/>
      <w:r>
        <w:rPr>
          <w:rFonts w:hint="eastAsia" w:ascii="宋体" w:hAnsi="宋体" w:eastAsia="宋体" w:cs="宋体"/>
          <w:b/>
          <w:bCs/>
          <w:color w:val="auto"/>
          <w:sz w:val="21"/>
          <w:szCs w:val="21"/>
          <w:highlight w:val="none"/>
        </w:rPr>
        <w:t>6.4 评标</w:t>
      </w:r>
      <w:bookmarkEnd w:id="52"/>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评标委员会按照第三章“评标办法”规定的方法和程序对投标文件进行评审。第三章“评标办法”没有规定的方法和标准，不作为评标依据。</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53" w:name="_Toc2544"/>
      <w:r>
        <w:rPr>
          <w:rFonts w:hint="eastAsia" w:ascii="宋体" w:hAnsi="宋体" w:eastAsia="宋体" w:cs="宋体"/>
          <w:b/>
          <w:bCs/>
          <w:color w:val="auto"/>
          <w:sz w:val="21"/>
          <w:szCs w:val="21"/>
          <w:highlight w:val="none"/>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合同授予</w:t>
      </w:r>
      <w:bookmarkEnd w:id="53"/>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54" w:name="_Toc18364"/>
      <w:r>
        <w:rPr>
          <w:rFonts w:hint="eastAsia" w:ascii="宋体" w:hAnsi="宋体" w:eastAsia="宋体" w:cs="宋体"/>
          <w:b/>
          <w:bCs/>
          <w:color w:val="auto"/>
          <w:sz w:val="21"/>
          <w:szCs w:val="21"/>
          <w:highlight w:val="none"/>
        </w:rPr>
        <w:t>7.1 定标方式</w:t>
      </w:r>
      <w:bookmarkEnd w:id="54"/>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依据评标委员会推荐的中标候选人确定中标人，评标委员会推荐中标候选人的人数见投标人须知前附表。采购人将根据评审委员会推荐的名单，确定排名第一的投标人为中标人。如果排名第一的中标候选人放弃中标或因不可抗力提出不能履行合同，采购人将选择排名第二的投标人为中标人，以此类推。如中标候选人均放弃中标资格时，采购人将重新进行招标。</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评标委员会经评审，认为所有投标均不符合招标文件要求的，可以否决所有投标，所有投标被否决后，采购人当重新招标。</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55" w:name="_Toc32148"/>
      <w:r>
        <w:rPr>
          <w:rFonts w:hint="eastAsia" w:ascii="宋体" w:hAnsi="宋体" w:eastAsia="宋体" w:cs="宋体"/>
          <w:b/>
          <w:bCs/>
          <w:color w:val="auto"/>
          <w:sz w:val="21"/>
          <w:szCs w:val="21"/>
          <w:highlight w:val="none"/>
        </w:rPr>
        <w:t>7.2 中标通知</w:t>
      </w:r>
      <w:bookmarkEnd w:id="55"/>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款规定的投标有效期内，采购人以书面形式向中标人发出中标通知书，同时将中标结果通知未中标的投标人。</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56" w:name="_Toc24325"/>
      <w:r>
        <w:rPr>
          <w:rFonts w:hint="eastAsia" w:ascii="宋体" w:hAnsi="宋体" w:eastAsia="宋体" w:cs="宋体"/>
          <w:b/>
          <w:bCs/>
          <w:color w:val="auto"/>
          <w:sz w:val="21"/>
          <w:szCs w:val="21"/>
          <w:highlight w:val="none"/>
        </w:rPr>
        <w:t>7.3 履约担保</w:t>
      </w:r>
      <w:bookmarkEnd w:id="56"/>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免收履约保证金</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57" w:name="_Toc32691"/>
      <w:r>
        <w:rPr>
          <w:rFonts w:hint="eastAsia" w:ascii="宋体" w:hAnsi="宋体" w:eastAsia="宋体" w:cs="宋体"/>
          <w:b/>
          <w:bCs/>
          <w:color w:val="auto"/>
          <w:sz w:val="21"/>
          <w:szCs w:val="21"/>
          <w:highlight w:val="none"/>
        </w:rPr>
        <w:t>7.4 签订合同</w:t>
      </w:r>
      <w:bookmarkEnd w:id="57"/>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 采购人和中标人应当自中标通知书发出之日起 2-7天内，根据招标文件和中标人的投标文件订立书面合同。中标人无正当理由拒签合同的，采购人取消其中标资格。</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发出中标通知书后，采购人无正当理由拒签合同的，给中标人造成损失的，应当赔偿损失。</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58" w:name="_Toc9435"/>
      <w:r>
        <w:rPr>
          <w:rFonts w:hint="eastAsia" w:ascii="宋体" w:hAnsi="宋体" w:eastAsia="宋体" w:cs="宋体"/>
          <w:b/>
          <w:bCs/>
          <w:color w:val="auto"/>
          <w:sz w:val="21"/>
          <w:szCs w:val="21"/>
          <w:highlight w:val="none"/>
        </w:rPr>
        <w:t>8.重新招标和不再招标</w:t>
      </w:r>
      <w:bookmarkEnd w:id="58"/>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59" w:name="_Toc23872"/>
      <w:r>
        <w:rPr>
          <w:rFonts w:hint="eastAsia" w:ascii="宋体" w:hAnsi="宋体" w:eastAsia="宋体" w:cs="宋体"/>
          <w:b/>
          <w:bCs/>
          <w:color w:val="auto"/>
          <w:sz w:val="21"/>
          <w:szCs w:val="21"/>
          <w:highlight w:val="none"/>
        </w:rPr>
        <w:t>8.1 重新招标</w:t>
      </w:r>
      <w:bookmarkEnd w:id="59"/>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有下列情形之一的，采购人将重新招标：</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(1)投标截止时间止，投标人少于 3 个的；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(2)经评标委员会评审后否决所有投标的。</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60" w:name="_Toc17445"/>
      <w:r>
        <w:rPr>
          <w:rFonts w:hint="eastAsia" w:ascii="宋体" w:hAnsi="宋体" w:eastAsia="宋体" w:cs="宋体"/>
          <w:b/>
          <w:bCs/>
          <w:color w:val="auto"/>
          <w:sz w:val="21"/>
          <w:szCs w:val="21"/>
          <w:highlight w:val="none"/>
        </w:rPr>
        <w:t>8.2 不再招标</w:t>
      </w:r>
      <w:bookmarkEnd w:id="60"/>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重新招标后投标人仍少于3个或者所有投标被否决的，属于必须审批或核准的项目，经原审批或核准部门批准后不再进行招标。</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61" w:name="_Toc2087"/>
      <w:r>
        <w:rPr>
          <w:rFonts w:hint="eastAsia" w:ascii="宋体" w:hAnsi="宋体" w:eastAsia="宋体" w:cs="宋体"/>
          <w:b/>
          <w:bCs/>
          <w:color w:val="auto"/>
          <w:sz w:val="21"/>
          <w:szCs w:val="21"/>
          <w:highlight w:val="none"/>
        </w:rPr>
        <w:t>9.纪律和监督</w:t>
      </w:r>
      <w:bookmarkEnd w:id="61"/>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62" w:name="_Toc5954"/>
      <w:r>
        <w:rPr>
          <w:rFonts w:hint="eastAsia" w:ascii="宋体" w:hAnsi="宋体" w:eastAsia="宋体" w:cs="宋体"/>
          <w:b/>
          <w:bCs/>
          <w:color w:val="auto"/>
          <w:sz w:val="21"/>
          <w:szCs w:val="21"/>
          <w:highlight w:val="none"/>
        </w:rPr>
        <w:t>9.1 对采购人的纪律要求</w:t>
      </w:r>
      <w:bookmarkEnd w:id="62"/>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采购人不得泄露招标投标活动中应当保密的情况和资料，不得与投标人串通损害国家利益、社会公共利益或者他人合法权益。</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63" w:name="_Toc18686"/>
      <w:r>
        <w:rPr>
          <w:rFonts w:hint="eastAsia" w:ascii="宋体" w:hAnsi="宋体" w:eastAsia="宋体" w:cs="宋体"/>
          <w:b/>
          <w:bCs/>
          <w:color w:val="auto"/>
          <w:sz w:val="21"/>
          <w:szCs w:val="21"/>
          <w:highlight w:val="none"/>
        </w:rPr>
        <w:t>9.2 对投标人的纪律要求</w:t>
      </w:r>
      <w:bookmarkEnd w:id="63"/>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64" w:name="_Toc1366"/>
      <w:r>
        <w:rPr>
          <w:rFonts w:hint="eastAsia" w:ascii="宋体" w:hAnsi="宋体" w:eastAsia="宋体" w:cs="宋体"/>
          <w:b/>
          <w:bCs/>
          <w:color w:val="auto"/>
          <w:sz w:val="21"/>
          <w:szCs w:val="21"/>
          <w:highlight w:val="none"/>
        </w:rPr>
        <w:t>9.3 对评标委员会成员的纪律要求</w:t>
      </w:r>
      <w:bookmarkEnd w:id="64"/>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65" w:name="_Toc20377"/>
      <w:r>
        <w:rPr>
          <w:rFonts w:hint="eastAsia" w:ascii="宋体" w:hAnsi="宋体" w:eastAsia="宋体" w:cs="宋体"/>
          <w:b/>
          <w:bCs/>
          <w:color w:val="auto"/>
          <w:sz w:val="21"/>
          <w:szCs w:val="21"/>
          <w:highlight w:val="none"/>
        </w:rPr>
        <w:t>9.4 对与评标活动有关的工作人员的纪律要求</w:t>
      </w:r>
      <w:bookmarkEnd w:id="65"/>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66" w:name="_Toc22300"/>
      <w:r>
        <w:rPr>
          <w:rFonts w:hint="eastAsia" w:ascii="宋体" w:hAnsi="宋体" w:eastAsia="宋体" w:cs="宋体"/>
          <w:b/>
          <w:bCs/>
          <w:color w:val="auto"/>
          <w:sz w:val="21"/>
          <w:szCs w:val="21"/>
          <w:highlight w:val="none"/>
        </w:rPr>
        <w:t>9.5 投诉、质疑、处罚</w:t>
      </w:r>
      <w:bookmarkEnd w:id="66"/>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9.5.1 采购人的监督部门在招标过程中有履行全程监督的权力。</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9.5.2 采购人在招标过程中，因获知或可能获知监督举报(或其他方式)招标程序或其他内容存在问题，采购人有权采取相应的监督措施，投标人应予以配合。</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9.5.3 投标人和其他利害关系人认为本次招标活动违反法律、法规和规章规定的，有权向有关行政监督部门投诉。</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9.6 中标人确定后，采购人不对未中标人就评标过程以及未能中标原因做出任何解释。未中标人不得向评标委员会组成人员或其他有关人索问评标过程的情况和材料。</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67" w:name="_Toc8473"/>
      <w:r>
        <w:rPr>
          <w:rFonts w:hint="eastAsia" w:ascii="宋体" w:hAnsi="宋体" w:eastAsia="宋体" w:cs="宋体"/>
          <w:b/>
          <w:bCs/>
          <w:color w:val="auto"/>
          <w:sz w:val="21"/>
          <w:szCs w:val="21"/>
          <w:highlight w:val="none"/>
        </w:rPr>
        <w:t>10.注意事项</w:t>
      </w:r>
      <w:bookmarkEnd w:id="67"/>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采购人所提供的文字和任何其他形式的跟本次项目相关的补充说明，均为采购人的单方面意见，如投标人接受并由此所带来的后果，由投标人承担，采购人不负有任何责任。</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投标人应对照本招标技术文件各项技术要求做出实质性的响应，否则投标人的投标有可能被拒绝。</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 本招标文件的要求只是最低限度要求，并未对一切技术细节做出规定。在本招标文件中未提到的或投标人认为更能体现和满足采购人的实际需要的功能和要求，投标人可依据自己的实际经验，在投标人方案中体现。</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本招标技术文件未尽事宜，由甲乙双方在合同技术谈判时协商确定。</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68" w:name="_Toc10051"/>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保密和保证</w:t>
      </w:r>
      <w:bookmarkEnd w:id="68"/>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(1)参与招标投标活动的各方应对招标文件和投标文件中的商业和技术等秘密保密，违者应对由此造成的后果承担法律责任。</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(2)投标人应保证在投标文件中所提交的资料和数据是真实的。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(3)本项目不接受联合体投标，中标人应当按照合同约定履行义务，完成中标项目。中标人不得向他人转让中标项目，也不得将中标项目肢解后分别向他人转让。否则，取消其中标资格，并追究其违约责任。</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69" w:name="_Toc5975"/>
      <w:r>
        <w:rPr>
          <w:rFonts w:hint="eastAsia" w:ascii="宋体" w:hAnsi="宋体" w:eastAsia="宋体" w:cs="宋体"/>
          <w:b/>
          <w:bCs/>
          <w:color w:val="auto"/>
          <w:sz w:val="21"/>
          <w:szCs w:val="21"/>
          <w:highlight w:val="none"/>
        </w:rPr>
        <w:t>11.需要补充的其他内容</w:t>
      </w:r>
      <w:bookmarkEnd w:id="69"/>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0" w:name="_Toc29331"/>
      <w:r>
        <w:rPr>
          <w:rFonts w:hint="eastAsia" w:ascii="宋体" w:hAnsi="宋体" w:eastAsia="宋体" w:cs="宋体"/>
          <w:color w:val="auto"/>
          <w:sz w:val="21"/>
          <w:szCs w:val="21"/>
          <w:highlight w:val="none"/>
        </w:rPr>
        <w:t>11.1 采购人不承诺最低价中标，而且采购人没有义务解释说明未中标原因。</w:t>
      </w:r>
      <w:bookmarkEnd w:id="70"/>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其他未尽事宜，按国家有关法律、法规执行。</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本招标文件解释权归</w:t>
      </w:r>
      <w:r>
        <w:rPr>
          <w:rFonts w:hint="eastAsia" w:ascii="宋体" w:hAnsi="宋体" w:eastAsia="宋体" w:cs="宋体"/>
          <w:color w:val="auto"/>
          <w:sz w:val="21"/>
          <w:szCs w:val="21"/>
          <w:highlight w:val="none"/>
          <w:lang w:eastAsia="zh-CN"/>
        </w:rPr>
        <w:t>固始县残疾人联合会</w:t>
      </w:r>
      <w:r>
        <w:rPr>
          <w:rFonts w:hint="eastAsia" w:ascii="宋体" w:hAnsi="宋体" w:eastAsia="宋体" w:cs="宋体"/>
          <w:color w:val="auto"/>
          <w:sz w:val="21"/>
          <w:szCs w:val="21"/>
          <w:highlight w:val="none"/>
        </w:rPr>
        <w:t>。</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监督单位：固始县财政局政府采购监督科。</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1 1.5.需要落实的政府采购政策</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非专门面向中小企业适用，非盈利单位按小微企业标准</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11.5.1 小型微型企业认定及评标价格评审</w:t>
      </w:r>
    </w:p>
    <w:tbl>
      <w:tblPr>
        <w:tblStyle w:val="31"/>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5"/>
        <w:gridCol w:w="1469"/>
        <w:gridCol w:w="1397"/>
        <w:gridCol w:w="2131"/>
        <w:gridCol w:w="2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99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1469"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大型企业</w:t>
            </w:r>
          </w:p>
        </w:tc>
        <w:tc>
          <w:tcPr>
            <w:tcW w:w="1397"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中型企业</w:t>
            </w:r>
          </w:p>
        </w:tc>
        <w:tc>
          <w:tcPr>
            <w:tcW w:w="2131"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小型企业</w:t>
            </w:r>
          </w:p>
        </w:tc>
        <w:tc>
          <w:tcPr>
            <w:tcW w:w="2326"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995"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投标价格=</w:t>
            </w:r>
          </w:p>
        </w:tc>
        <w:tc>
          <w:tcPr>
            <w:tcW w:w="1469"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1397"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131"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投标报价×(1-20%)</w:t>
            </w:r>
          </w:p>
        </w:tc>
        <w:tc>
          <w:tcPr>
            <w:tcW w:w="2326" w:type="dxa"/>
            <w:tcBorders>
              <w:top w:val="single" w:color="000000" w:sz="2" w:space="0"/>
              <w:bottom w:val="single" w:color="000000" w:sz="2" w:space="0"/>
            </w:tcBorders>
            <w:vAlign w:val="center"/>
          </w:tcPr>
          <w:p>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投标报价×(1-20%)</w:t>
            </w:r>
          </w:p>
        </w:tc>
      </w:tr>
    </w:tbl>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11.5.2 根据《政府采购促进中小企业发展管理办法》(财库[2020]46 号) 的规定、《工业和信息化部、国家统计局、国家发展和改革委员会、财政部关于印发中小企业划型标准规定的通知》(工信部联企业[2011]300 号)、河南省财政厅河南省工业和信息化厅《关于政府采购促进小型微型企业发展的实施意见》(豫财购[2013]14 号) 文件规定，对小型和微型企业产品的价格给予 20%的扣除，用扣除后的价格参与评审。</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11.5.3 根据财政部、司法部联合印发《关于政府采购支持监狱企业发展有关问题的通知》(财库【2014】68 号)文件规定，凡监狱企业参加政府采购活动视同小型、微型企业，享受评审价格扣除的政府采购优惠政策。此次若有监狱企业参加投标的其报价享受20%的价格扣除，但必须提供由省级以上监狱管理局、戒毒管理局(含新疆生产建设兵团) 出具的属于监狱企业的证明文件，否则评审时不予价格扣除优惠</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11.5.4 根据财库(2017)141 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 (见投标文件格式),并对声明的真实性负责。</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11.5.5 根据(财政部国家环保总局联合印发《关于环境标志产品政府采购实施的意见》的通知) 财库〔1906〕90 号文件的有关要求，投标人本次投标活动中， 如果所投设备属于最新发布“环境标志产品政府采购清单”中的品目时，在性能、技术、服务等指标同等条件下，将优先采购清单中的产品。</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11.5.6 根据(财政部国家发展改革委关于印发《节能产品政府采购实施意见》的通知) 财库〔1904〕185 号文件的有关要求，投标人本次投标活动中， 如果所投设备属于最新发布“节能产品政府采购清单”中的品目时，在性能、技术、服务等指标同等条件下，将优先采购清单中的产品。</w:t>
      </w: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headerReference r:id="rId7" w:type="default"/>
          <w:footerReference r:id="rId8" w:type="default"/>
          <w:pgSz w:w="11909" w:h="16834"/>
          <w:pgMar w:top="1440" w:right="1080" w:bottom="1440" w:left="1080" w:header="850" w:footer="850" w:gutter="0"/>
          <w:pgNumType w:fmt="decimal"/>
          <w:cols w:space="720" w:num="1"/>
        </w:sectPr>
      </w:pPr>
    </w:p>
    <w:p>
      <w:pPr>
        <w:keepNext w:val="0"/>
        <w:keepLines w:val="0"/>
        <w:pageBreakBefore w:val="0"/>
        <w:kinsoku/>
        <w:wordWrap w:val="0"/>
        <w:overflowPunct w:val="0"/>
        <w:topLinePunct/>
        <w:autoSpaceDE w:val="0"/>
        <w:autoSpaceDN w:val="0"/>
        <w:bidi w:val="0"/>
        <w:spacing w:before="55" w:line="221" w:lineRule="auto"/>
        <w:ind w:left="442"/>
        <w:outlineLvl w:val="0"/>
        <w:rPr>
          <w:rFonts w:hint="eastAsia" w:ascii="宋体" w:hAnsi="宋体" w:eastAsia="宋体" w:cs="宋体"/>
          <w:color w:val="auto"/>
          <w:sz w:val="27"/>
          <w:szCs w:val="27"/>
          <w:highlight w:val="none"/>
        </w:rPr>
      </w:pPr>
      <w:bookmarkStart w:id="71" w:name="_Toc12826"/>
      <w:bookmarkStart w:id="72" w:name="_Toc1256"/>
      <w:r>
        <w:rPr>
          <w:rFonts w:hint="eastAsia" w:ascii="宋体" w:hAnsi="宋体" w:eastAsia="宋体" w:cs="宋体"/>
          <w:color w:val="auto"/>
          <w:spacing w:val="1"/>
          <w:sz w:val="27"/>
          <w:szCs w:val="27"/>
          <w:highlight w:val="none"/>
        </w:rPr>
        <w:t>附件一：问题澄清</w:t>
      </w:r>
      <w:r>
        <w:rPr>
          <w:rFonts w:hint="eastAsia" w:ascii="宋体" w:hAnsi="宋体" w:eastAsia="宋体" w:cs="宋体"/>
          <w:color w:val="auto"/>
          <w:sz w:val="27"/>
          <w:szCs w:val="27"/>
          <w:highlight w:val="none"/>
        </w:rPr>
        <w:t>通知</w:t>
      </w:r>
      <w:bookmarkEnd w:id="71"/>
      <w:bookmarkEnd w:id="72"/>
    </w:p>
    <w:p>
      <w:pPr>
        <w:keepNext w:val="0"/>
        <w:keepLines w:val="0"/>
        <w:pageBreakBefore w:val="0"/>
        <w:kinsoku/>
        <w:wordWrap w:val="0"/>
        <w:overflowPunct w:val="0"/>
        <w:topLinePunct/>
        <w:autoSpaceDE w:val="0"/>
        <w:autoSpaceDN w:val="0"/>
        <w:bidi w:val="0"/>
        <w:spacing w:line="332"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333"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88" w:line="481" w:lineRule="exact"/>
        <w:ind w:left="3840"/>
        <w:rPr>
          <w:rFonts w:hint="eastAsia" w:ascii="宋体" w:hAnsi="宋体" w:eastAsia="宋体" w:cs="宋体"/>
          <w:color w:val="auto"/>
          <w:sz w:val="27"/>
          <w:szCs w:val="27"/>
          <w:highlight w:val="none"/>
        </w:rPr>
      </w:pPr>
      <w:r>
        <w:rPr>
          <w:rFonts w:hint="eastAsia" w:ascii="宋体" w:hAnsi="宋体" w:eastAsia="宋体" w:cs="宋体"/>
          <w:color w:val="auto"/>
          <w:spacing w:val="-4"/>
          <w:position w:val="15"/>
          <w:sz w:val="27"/>
          <w:szCs w:val="27"/>
          <w:highlight w:val="none"/>
        </w:rPr>
        <w:t>问</w:t>
      </w:r>
      <w:r>
        <w:rPr>
          <w:rFonts w:hint="eastAsia" w:ascii="宋体" w:hAnsi="宋体" w:eastAsia="宋体" w:cs="宋体"/>
          <w:color w:val="auto"/>
          <w:spacing w:val="-3"/>
          <w:position w:val="15"/>
          <w:sz w:val="27"/>
          <w:szCs w:val="27"/>
          <w:highlight w:val="none"/>
        </w:rPr>
        <w:t>题</w:t>
      </w:r>
      <w:r>
        <w:rPr>
          <w:rFonts w:hint="eastAsia" w:ascii="宋体" w:hAnsi="宋体" w:eastAsia="宋体" w:cs="宋体"/>
          <w:color w:val="auto"/>
          <w:spacing w:val="-2"/>
          <w:position w:val="15"/>
          <w:sz w:val="27"/>
          <w:szCs w:val="27"/>
          <w:highlight w:val="none"/>
        </w:rPr>
        <w:t>澄清通知</w:t>
      </w:r>
    </w:p>
    <w:p>
      <w:pPr>
        <w:keepNext w:val="0"/>
        <w:keepLines w:val="0"/>
        <w:pageBreakBefore w:val="0"/>
        <w:kinsoku/>
        <w:wordWrap w:val="0"/>
        <w:overflowPunct w:val="0"/>
        <w:topLinePunct/>
        <w:autoSpaceDE w:val="0"/>
        <w:autoSpaceDN w:val="0"/>
        <w:bidi w:val="0"/>
        <w:spacing w:line="224" w:lineRule="auto"/>
        <w:ind w:left="326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编</w:t>
      </w:r>
      <w:r>
        <w:rPr>
          <w:rFonts w:hint="eastAsia" w:ascii="宋体" w:hAnsi="宋体" w:eastAsia="宋体" w:cs="宋体"/>
          <w:color w:val="auto"/>
          <w:spacing w:val="-9"/>
          <w:sz w:val="21"/>
          <w:szCs w:val="21"/>
          <w:highlight w:val="none"/>
        </w:rPr>
        <w:t>号：</w:t>
      </w:r>
    </w:p>
    <w:p>
      <w:pPr>
        <w:keepNext w:val="0"/>
        <w:keepLines w:val="0"/>
        <w:pageBreakBefore w:val="0"/>
        <w:kinsoku/>
        <w:wordWrap w:val="0"/>
        <w:overflowPunct w:val="0"/>
        <w:topLinePunct/>
        <w:autoSpaceDE w:val="0"/>
        <w:autoSpaceDN w:val="0"/>
        <w:bidi w:val="0"/>
        <w:spacing w:line="282"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83" w:lineRule="auto"/>
        <w:rPr>
          <w:rFonts w:hint="eastAsia" w:ascii="宋体" w:hAnsi="宋体" w:eastAsia="宋体" w:cs="宋体"/>
          <w:color w:val="auto"/>
          <w:sz w:val="21"/>
          <w:highlight w:val="none"/>
        </w:rPr>
      </w:pPr>
    </w:p>
    <w:p>
      <w:pPr>
        <w:keepNext w:val="0"/>
        <w:keepLines w:val="0"/>
        <w:pageBreakBefore w:val="0"/>
        <w:tabs>
          <w:tab w:val="left" w:pos="2320"/>
        </w:tabs>
        <w:kinsoku/>
        <w:wordWrap w:val="0"/>
        <w:overflowPunct w:val="0"/>
        <w:topLinePunct/>
        <w:autoSpaceDE w:val="0"/>
        <w:autoSpaceDN w:val="0"/>
        <w:bidi w:val="0"/>
        <w:spacing w:before="69" w:line="226" w:lineRule="auto"/>
        <w:ind w:left="2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1"/>
          <w:sz w:val="21"/>
          <w:szCs w:val="21"/>
          <w:highlight w:val="none"/>
        </w:rPr>
        <w:t>(投标人名称)</w:t>
      </w:r>
      <w:r>
        <w:rPr>
          <w:rFonts w:hint="eastAsia" w:ascii="宋体" w:hAnsi="宋体" w:eastAsia="宋体" w:cs="宋体"/>
          <w:color w:val="auto"/>
          <w:spacing w:val="10"/>
          <w:sz w:val="21"/>
          <w:szCs w:val="21"/>
          <w:highlight w:val="none"/>
        </w:rPr>
        <w:t>：</w:t>
      </w:r>
    </w:p>
    <w:p>
      <w:pPr>
        <w:keepNext w:val="0"/>
        <w:keepLines w:val="0"/>
        <w:pageBreakBefore w:val="0"/>
        <w:kinsoku/>
        <w:wordWrap w:val="0"/>
        <w:overflowPunct w:val="0"/>
        <w:topLinePunct/>
        <w:autoSpaceDE w:val="0"/>
        <w:autoSpaceDN w:val="0"/>
        <w:bidi w:val="0"/>
        <w:spacing w:line="27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75" w:lineRule="auto"/>
        <w:rPr>
          <w:rFonts w:hint="eastAsia" w:ascii="宋体" w:hAnsi="宋体" w:eastAsia="宋体" w:cs="宋体"/>
          <w:color w:val="auto"/>
          <w:sz w:val="21"/>
          <w:highlight w:val="none"/>
        </w:rPr>
      </w:pPr>
    </w:p>
    <w:p>
      <w:pPr>
        <w:keepNext w:val="0"/>
        <w:keepLines w:val="0"/>
        <w:pageBreakBefore w:val="0"/>
        <w:tabs>
          <w:tab w:val="left" w:pos="2306"/>
        </w:tabs>
        <w:kinsoku/>
        <w:wordWrap w:val="0"/>
        <w:overflowPunct w:val="0"/>
        <w:topLinePunct/>
        <w:autoSpaceDE w:val="0"/>
        <w:autoSpaceDN w:val="0"/>
        <w:bidi w:val="0"/>
        <w:spacing w:before="68" w:line="388" w:lineRule="auto"/>
        <w:ind w:firstLine="6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5"/>
          <w:sz w:val="21"/>
          <w:szCs w:val="21"/>
          <w:highlight w:val="none"/>
        </w:rPr>
        <w:t>项目名称) 的评标委员会， 对你方的投标文件进行了仔细的审查，现需你方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对下</w:t>
      </w:r>
      <w:r>
        <w:rPr>
          <w:rFonts w:hint="eastAsia" w:ascii="宋体" w:hAnsi="宋体" w:eastAsia="宋体" w:cs="宋体"/>
          <w:color w:val="auto"/>
          <w:spacing w:val="5"/>
          <w:sz w:val="21"/>
          <w:szCs w:val="21"/>
          <w:highlight w:val="none"/>
        </w:rPr>
        <w:t>列</w:t>
      </w:r>
      <w:r>
        <w:rPr>
          <w:rFonts w:hint="eastAsia" w:ascii="宋体" w:hAnsi="宋体" w:eastAsia="宋体" w:cs="宋体"/>
          <w:color w:val="auto"/>
          <w:spacing w:val="3"/>
          <w:sz w:val="21"/>
          <w:szCs w:val="21"/>
          <w:highlight w:val="none"/>
        </w:rPr>
        <w:t>问题以书面形式予以澄清：</w:t>
      </w:r>
    </w:p>
    <w:p>
      <w:pPr>
        <w:keepNext w:val="0"/>
        <w:keepLines w:val="0"/>
        <w:pageBreakBefore w:val="0"/>
        <w:kinsoku/>
        <w:wordWrap w:val="0"/>
        <w:overflowPunct w:val="0"/>
        <w:topLinePunct/>
        <w:autoSpaceDE w:val="0"/>
        <w:autoSpaceDN w:val="0"/>
        <w:bidi w:val="0"/>
        <w:spacing w:line="394"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9" w:line="186" w:lineRule="auto"/>
        <w:ind w:left="44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w:t>
      </w:r>
    </w:p>
    <w:p>
      <w:pPr>
        <w:keepNext w:val="0"/>
        <w:keepLines w:val="0"/>
        <w:pageBreakBefore w:val="0"/>
        <w:kinsoku/>
        <w:wordWrap w:val="0"/>
        <w:overflowPunct w:val="0"/>
        <w:topLinePunct/>
        <w:autoSpaceDE w:val="0"/>
        <w:autoSpaceDN w:val="0"/>
        <w:bidi w:val="0"/>
        <w:spacing w:before="235" w:line="186"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p>
    <w:p>
      <w:pPr>
        <w:keepNext w:val="0"/>
        <w:keepLines w:val="0"/>
        <w:pageBreakBefore w:val="0"/>
        <w:kinsoku/>
        <w:wordWrap w:val="0"/>
        <w:overflowPunct w:val="0"/>
        <w:topLinePunct/>
        <w:autoSpaceDE w:val="0"/>
        <w:autoSpaceDN w:val="0"/>
        <w:bidi w:val="0"/>
        <w:spacing w:line="274"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9" w:line="88" w:lineRule="exact"/>
        <w:ind w:left="526"/>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w:t>
      </w:r>
    </w:p>
    <w:p>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pPr>
        <w:keepNext w:val="0"/>
        <w:keepLines w:val="0"/>
        <w:pageBreakBefore w:val="0"/>
        <w:tabs>
          <w:tab w:val="left" w:pos="6170"/>
        </w:tabs>
        <w:kinsoku/>
        <w:wordWrap w:val="0"/>
        <w:overflowPunct w:val="0"/>
        <w:topLinePunct/>
        <w:autoSpaceDE w:val="0"/>
        <w:autoSpaceDN w:val="0"/>
        <w:bidi w:val="0"/>
        <w:spacing w:before="68" w:line="224" w:lineRule="auto"/>
        <w:ind w:left="45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8"/>
          <w:sz w:val="21"/>
          <w:szCs w:val="21"/>
          <w:highlight w:val="none"/>
        </w:rPr>
        <w:t>(项</w:t>
      </w:r>
      <w:r>
        <w:rPr>
          <w:rFonts w:hint="eastAsia" w:ascii="宋体" w:hAnsi="宋体" w:eastAsia="宋体" w:cs="宋体"/>
          <w:color w:val="auto"/>
          <w:spacing w:val="-4"/>
          <w:sz w:val="21"/>
          <w:szCs w:val="21"/>
          <w:highlight w:val="none"/>
        </w:rPr>
        <w:t>目名称) 评标委员会</w:t>
      </w:r>
    </w:p>
    <w:p>
      <w:pPr>
        <w:keepNext w:val="0"/>
        <w:keepLines w:val="0"/>
        <w:pageBreakBefore w:val="0"/>
        <w:kinsoku/>
        <w:wordWrap w:val="0"/>
        <w:overflowPunct w:val="0"/>
        <w:topLinePunct/>
        <w:autoSpaceDE w:val="0"/>
        <w:autoSpaceDN w:val="0"/>
        <w:bidi w:val="0"/>
        <w:spacing w:line="276"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76" w:lineRule="auto"/>
        <w:rPr>
          <w:rFonts w:hint="eastAsia" w:ascii="宋体" w:hAnsi="宋体" w:eastAsia="宋体" w:cs="宋体"/>
          <w:color w:val="auto"/>
          <w:sz w:val="21"/>
          <w:highlight w:val="none"/>
        </w:rPr>
      </w:pPr>
    </w:p>
    <w:p>
      <w:pPr>
        <w:keepNext w:val="0"/>
        <w:keepLines w:val="0"/>
        <w:pageBreakBefore w:val="0"/>
        <w:tabs>
          <w:tab w:val="left" w:pos="6315"/>
        </w:tabs>
        <w:kinsoku/>
        <w:wordWrap w:val="0"/>
        <w:overflowPunct w:val="0"/>
        <w:topLinePunct/>
        <w:autoSpaceDE w:val="0"/>
        <w:autoSpaceDN w:val="0"/>
        <w:bidi w:val="0"/>
        <w:spacing w:before="69" w:line="225" w:lineRule="auto"/>
        <w:ind w:left="57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8"/>
          <w:sz w:val="21"/>
          <w:szCs w:val="21"/>
          <w:highlight w:val="none"/>
        </w:rPr>
        <w:t>年</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10"/>
          <w:sz w:val="21"/>
          <w:szCs w:val="21"/>
          <w:highlight w:val="none"/>
        </w:rPr>
        <w:t>月</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10"/>
          <w:sz w:val="21"/>
          <w:szCs w:val="21"/>
          <w:highlight w:val="none"/>
        </w:rPr>
        <w:t>日</w:t>
      </w: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pgSz w:w="11909" w:h="16834"/>
          <w:pgMar w:top="1440" w:right="1080" w:bottom="1440" w:left="1080" w:header="850" w:footer="850" w:gutter="0"/>
          <w:pgNumType w:fmt="decimal"/>
          <w:cols w:space="720" w:num="1"/>
        </w:sectPr>
      </w:pPr>
    </w:p>
    <w:p>
      <w:pPr>
        <w:keepNext w:val="0"/>
        <w:keepLines w:val="0"/>
        <w:pageBreakBefore w:val="0"/>
        <w:kinsoku/>
        <w:wordWrap w:val="0"/>
        <w:overflowPunct w:val="0"/>
        <w:topLinePunct/>
        <w:autoSpaceDE w:val="0"/>
        <w:autoSpaceDN w:val="0"/>
        <w:bidi w:val="0"/>
        <w:spacing w:before="63" w:line="221" w:lineRule="auto"/>
        <w:ind w:left="32"/>
        <w:rPr>
          <w:rFonts w:hint="eastAsia" w:ascii="宋体" w:hAnsi="宋体" w:eastAsia="宋体" w:cs="宋体"/>
          <w:color w:val="auto"/>
          <w:sz w:val="27"/>
          <w:szCs w:val="27"/>
          <w:highlight w:val="none"/>
        </w:rPr>
      </w:pPr>
      <w:r>
        <w:rPr>
          <w:rFonts w:hint="eastAsia" w:ascii="宋体" w:hAnsi="宋体" w:eastAsia="宋体" w:cs="宋体"/>
          <w:color w:val="auto"/>
          <w:spacing w:val="1"/>
          <w:sz w:val="27"/>
          <w:szCs w:val="27"/>
          <w:highlight w:val="none"/>
        </w:rPr>
        <w:t>附件二：</w:t>
      </w:r>
      <w:r>
        <w:rPr>
          <w:rFonts w:hint="eastAsia" w:ascii="宋体" w:hAnsi="宋体" w:eastAsia="宋体" w:cs="宋体"/>
          <w:color w:val="auto"/>
          <w:sz w:val="27"/>
          <w:szCs w:val="27"/>
          <w:highlight w:val="none"/>
        </w:rPr>
        <w:t>问题的澄清</w:t>
      </w:r>
    </w:p>
    <w:p>
      <w:pPr>
        <w:keepNext w:val="0"/>
        <w:keepLines w:val="0"/>
        <w:pageBreakBefore w:val="0"/>
        <w:kinsoku/>
        <w:wordWrap w:val="0"/>
        <w:overflowPunct w:val="0"/>
        <w:topLinePunct/>
        <w:autoSpaceDE w:val="0"/>
        <w:autoSpaceDN w:val="0"/>
        <w:bidi w:val="0"/>
        <w:spacing w:line="393"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87" w:line="454" w:lineRule="exact"/>
        <w:ind w:left="3977"/>
        <w:rPr>
          <w:rFonts w:hint="eastAsia" w:ascii="宋体" w:hAnsi="宋体" w:eastAsia="宋体" w:cs="宋体"/>
          <w:color w:val="auto"/>
          <w:sz w:val="27"/>
          <w:szCs w:val="27"/>
          <w:highlight w:val="none"/>
        </w:rPr>
      </w:pPr>
      <w:r>
        <w:rPr>
          <w:rFonts w:hint="eastAsia" w:ascii="宋体" w:hAnsi="宋体" w:eastAsia="宋体" w:cs="宋体"/>
          <w:color w:val="auto"/>
          <w:spacing w:val="-6"/>
          <w:position w:val="13"/>
          <w:sz w:val="27"/>
          <w:szCs w:val="27"/>
          <w:highlight w:val="none"/>
        </w:rPr>
        <w:t>问</w:t>
      </w:r>
      <w:r>
        <w:rPr>
          <w:rFonts w:hint="eastAsia" w:ascii="宋体" w:hAnsi="宋体" w:eastAsia="宋体" w:cs="宋体"/>
          <w:color w:val="auto"/>
          <w:spacing w:val="-3"/>
          <w:position w:val="13"/>
          <w:sz w:val="27"/>
          <w:szCs w:val="27"/>
          <w:highlight w:val="none"/>
        </w:rPr>
        <w:t>题的澄清</w:t>
      </w:r>
    </w:p>
    <w:p>
      <w:pPr>
        <w:keepNext w:val="0"/>
        <w:keepLines w:val="0"/>
        <w:pageBreakBefore w:val="0"/>
        <w:kinsoku/>
        <w:wordWrap w:val="0"/>
        <w:overflowPunct w:val="0"/>
        <w:topLinePunct/>
        <w:autoSpaceDE w:val="0"/>
        <w:autoSpaceDN w:val="0"/>
        <w:bidi w:val="0"/>
        <w:spacing w:line="224" w:lineRule="auto"/>
        <w:ind w:left="348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编</w:t>
      </w:r>
      <w:r>
        <w:rPr>
          <w:rFonts w:hint="eastAsia" w:ascii="宋体" w:hAnsi="宋体" w:eastAsia="宋体" w:cs="宋体"/>
          <w:color w:val="auto"/>
          <w:spacing w:val="-9"/>
          <w:sz w:val="21"/>
          <w:szCs w:val="21"/>
          <w:highlight w:val="none"/>
        </w:rPr>
        <w:t>号：</w:t>
      </w: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tabs>
          <w:tab w:val="left" w:pos="2025"/>
        </w:tabs>
        <w:kinsoku/>
        <w:wordWrap w:val="0"/>
        <w:overflowPunct w:val="0"/>
        <w:topLinePunct/>
        <w:autoSpaceDE w:val="0"/>
        <w:autoSpaceDN w:val="0"/>
        <w:bidi w:val="0"/>
        <w:spacing w:before="68" w:line="224"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2"/>
          <w:sz w:val="21"/>
          <w:szCs w:val="21"/>
          <w:highlight w:val="none"/>
        </w:rPr>
        <w:t>(项目名称) 评标委员</w:t>
      </w:r>
      <w:r>
        <w:rPr>
          <w:rFonts w:hint="eastAsia" w:ascii="宋体" w:hAnsi="宋体" w:eastAsia="宋体" w:cs="宋体"/>
          <w:color w:val="auto"/>
          <w:spacing w:val="1"/>
          <w:sz w:val="21"/>
          <w:szCs w:val="21"/>
          <w:highlight w:val="none"/>
        </w:rPr>
        <w:t>会</w:t>
      </w:r>
      <w:r>
        <w:rPr>
          <w:rFonts w:hint="eastAsia" w:ascii="宋体" w:hAnsi="宋体" w:eastAsia="宋体" w:cs="宋体"/>
          <w:color w:val="auto"/>
          <w:sz w:val="21"/>
          <w:szCs w:val="21"/>
          <w:highlight w:val="none"/>
        </w:rPr>
        <w:t>：</w:t>
      </w:r>
    </w:p>
    <w:p>
      <w:pPr>
        <w:keepNext w:val="0"/>
        <w:keepLines w:val="0"/>
        <w:pageBreakBefore w:val="0"/>
        <w:kinsoku/>
        <w:wordWrap w:val="0"/>
        <w:overflowPunct w:val="0"/>
        <w:topLinePunct/>
        <w:autoSpaceDE w:val="0"/>
        <w:autoSpaceDN w:val="0"/>
        <w:bidi w:val="0"/>
        <w:spacing w:line="276"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76"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9" w:line="424" w:lineRule="auto"/>
        <w:ind w:left="45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问题澄清</w:t>
      </w:r>
      <w:r>
        <w:rPr>
          <w:rFonts w:hint="eastAsia" w:ascii="宋体" w:hAnsi="宋体" w:eastAsia="宋体" w:cs="宋体"/>
          <w:color w:val="auto"/>
          <w:spacing w:val="5"/>
          <w:sz w:val="21"/>
          <w:szCs w:val="21"/>
          <w:highlight w:val="none"/>
        </w:rPr>
        <w:t>通</w:t>
      </w:r>
      <w:r>
        <w:rPr>
          <w:rFonts w:hint="eastAsia" w:ascii="宋体" w:hAnsi="宋体" w:eastAsia="宋体" w:cs="宋体"/>
          <w:color w:val="auto"/>
          <w:spacing w:val="4"/>
          <w:sz w:val="21"/>
          <w:szCs w:val="21"/>
          <w:highlight w:val="none"/>
        </w:rPr>
        <w:t>知(编号：</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)已收悉，现澄清如下：</w:t>
      </w:r>
    </w:p>
    <w:p>
      <w:pPr>
        <w:keepNext w:val="0"/>
        <w:keepLines w:val="0"/>
        <w:pageBreakBefore w:val="0"/>
        <w:kinsoku/>
        <w:wordWrap w:val="0"/>
        <w:overflowPunct w:val="0"/>
        <w:topLinePunct/>
        <w:autoSpaceDE w:val="0"/>
        <w:autoSpaceDN w:val="0"/>
        <w:bidi w:val="0"/>
        <w:spacing w:before="1" w:line="186" w:lineRule="auto"/>
        <w:ind w:left="75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w:t>
      </w:r>
    </w:p>
    <w:p>
      <w:pPr>
        <w:keepNext w:val="0"/>
        <w:keepLines w:val="0"/>
        <w:pageBreakBefore w:val="0"/>
        <w:kinsoku/>
        <w:wordWrap w:val="0"/>
        <w:overflowPunct w:val="0"/>
        <w:topLinePunct/>
        <w:autoSpaceDE w:val="0"/>
        <w:autoSpaceDN w:val="0"/>
        <w:bidi w:val="0"/>
        <w:spacing w:before="234" w:line="186" w:lineRule="auto"/>
        <w:ind w:left="74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p>
    <w:p>
      <w:pPr>
        <w:keepNext w:val="0"/>
        <w:keepLines w:val="0"/>
        <w:pageBreakBefore w:val="0"/>
        <w:kinsoku/>
        <w:wordWrap w:val="0"/>
        <w:overflowPunct w:val="0"/>
        <w:topLinePunct/>
        <w:autoSpaceDE w:val="0"/>
        <w:autoSpaceDN w:val="0"/>
        <w:bidi w:val="0"/>
        <w:spacing w:line="274"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9" w:line="88" w:lineRule="exact"/>
        <w:ind w:left="6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w:t>
      </w:r>
    </w:p>
    <w:p>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9" w:line="226" w:lineRule="auto"/>
        <w:ind w:left="3168"/>
        <w:rPr>
          <w:rFonts w:hint="eastAsia" w:ascii="宋体" w:hAnsi="宋体" w:eastAsia="宋体" w:cs="宋体"/>
          <w:color w:val="auto"/>
          <w:sz w:val="21"/>
          <w:szCs w:val="21"/>
          <w:highlight w:val="none"/>
        </w:rPr>
      </w:pPr>
      <w:r>
        <w:rPr>
          <w:rFonts w:hint="eastAsia" w:ascii="宋体" w:hAnsi="宋体" w:eastAsia="宋体" w:cs="宋体"/>
          <w:color w:val="auto"/>
          <w:spacing w:val="-27"/>
          <w:sz w:val="21"/>
          <w:szCs w:val="21"/>
          <w:highlight w:val="none"/>
        </w:rPr>
        <w:t>投标人：</w:t>
      </w:r>
      <w:r>
        <w:rPr>
          <w:rFonts w:hint="eastAsia" w:ascii="宋体" w:hAnsi="宋体" w:eastAsia="宋体" w:cs="宋体"/>
          <w:color w:val="auto"/>
          <w:sz w:val="21"/>
          <w:szCs w:val="21"/>
          <w:highlight w:val="none"/>
          <w:u w:val="single" w:color="auto"/>
        </w:rPr>
        <w:t xml:space="preserve">                           </w:t>
      </w:r>
    </w:p>
    <w:p>
      <w:pPr>
        <w:keepNext w:val="0"/>
        <w:keepLines w:val="0"/>
        <w:pageBreakBefore w:val="0"/>
        <w:kinsoku/>
        <w:wordWrap w:val="0"/>
        <w:overflowPunct w:val="0"/>
        <w:topLinePunct/>
        <w:autoSpaceDE w:val="0"/>
        <w:autoSpaceDN w:val="0"/>
        <w:bidi w:val="0"/>
        <w:spacing w:line="27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7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70" w:line="225" w:lineRule="auto"/>
        <w:ind w:left="316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法定</w:t>
      </w:r>
      <w:r>
        <w:rPr>
          <w:rFonts w:hint="eastAsia" w:ascii="宋体" w:hAnsi="宋体" w:eastAsia="宋体" w:cs="宋体"/>
          <w:color w:val="auto"/>
          <w:spacing w:val="-3"/>
          <w:sz w:val="21"/>
          <w:szCs w:val="21"/>
          <w:highlight w:val="none"/>
        </w:rPr>
        <w:t>代表人或其委托代理人：</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(签字)</w:t>
      </w:r>
    </w:p>
    <w:p>
      <w:pPr>
        <w:keepNext w:val="0"/>
        <w:keepLines w:val="0"/>
        <w:pageBreakBefore w:val="0"/>
        <w:kinsoku/>
        <w:wordWrap w:val="0"/>
        <w:overflowPunct w:val="0"/>
        <w:topLinePunct/>
        <w:autoSpaceDE w:val="0"/>
        <w:autoSpaceDN w:val="0"/>
        <w:bidi w:val="0"/>
        <w:spacing w:line="27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76" w:lineRule="auto"/>
        <w:rPr>
          <w:rFonts w:hint="eastAsia" w:ascii="宋体" w:hAnsi="宋体" w:eastAsia="宋体" w:cs="宋体"/>
          <w:color w:val="auto"/>
          <w:sz w:val="21"/>
          <w:highlight w:val="none"/>
        </w:rPr>
      </w:pPr>
    </w:p>
    <w:p>
      <w:pPr>
        <w:keepNext w:val="0"/>
        <w:keepLines w:val="0"/>
        <w:pageBreakBefore w:val="0"/>
        <w:tabs>
          <w:tab w:val="left" w:pos="4522"/>
        </w:tabs>
        <w:kinsoku/>
        <w:wordWrap w:val="0"/>
        <w:overflowPunct w:val="0"/>
        <w:topLinePunct/>
        <w:autoSpaceDE w:val="0"/>
        <w:autoSpaceDN w:val="0"/>
        <w:bidi w:val="0"/>
        <w:spacing w:before="68" w:line="225" w:lineRule="auto"/>
        <w:ind w:left="40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rPr>
        <w:t>日</w:t>
      </w: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pgSz w:w="11909" w:h="16834"/>
          <w:pgMar w:top="1440" w:right="1080" w:bottom="1440" w:left="1080" w:header="850" w:footer="850" w:gutter="0"/>
          <w:pgNumType w:fmt="decimal"/>
          <w:cols w:space="720" w:num="1"/>
        </w:sect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bookmarkStart w:id="73" w:name="_Toc11895"/>
      <w:bookmarkStart w:id="74" w:name="_Toc11735"/>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第三章 评标办法(综合评分法)</w:t>
      </w:r>
      <w:bookmarkEnd w:id="73"/>
      <w:bookmarkEnd w:id="74"/>
    </w:p>
    <w:p>
      <w:pPr>
        <w:keepNext w:val="0"/>
        <w:keepLines w:val="0"/>
        <w:pageBreakBefore w:val="0"/>
        <w:kinsoku/>
        <w:wordWrap w:val="0"/>
        <w:overflowPunct w:val="0"/>
        <w:topLinePunct/>
        <w:autoSpaceDE w:val="0"/>
        <w:autoSpaceDN w:val="0"/>
        <w:bidi w:val="0"/>
        <w:spacing w:line="360" w:lineRule="auto"/>
        <w:rPr>
          <w:rFonts w:hint="eastAsia" w:ascii="宋体" w:hAnsi="宋体" w:eastAsia="宋体" w:cs="宋体"/>
          <w:b/>
          <w:bCs/>
          <w:color w:val="auto"/>
          <w:highlight w:val="none"/>
        </w:rPr>
      </w:pPr>
      <w:bookmarkStart w:id="75" w:name="_Toc27153"/>
    </w:p>
    <w:p>
      <w:pPr>
        <w:keepNext w:val="0"/>
        <w:keepLines w:val="0"/>
        <w:pageBreakBefore w:val="0"/>
        <w:kinsoku/>
        <w:wordWrap w:val="0"/>
        <w:overflowPunct w:val="0"/>
        <w:topLinePunct/>
        <w:autoSpaceDE w:val="0"/>
        <w:autoSpaceDN w:val="0"/>
        <w:bidi w:val="0"/>
        <w:spacing w:line="360" w:lineRule="auto"/>
        <w:rPr>
          <w:rFonts w:hint="eastAsia" w:ascii="宋体" w:hAnsi="宋体" w:eastAsia="宋体" w:cs="宋体"/>
          <w:b/>
          <w:bCs/>
          <w:color w:val="auto"/>
          <w:highlight w:val="none"/>
        </w:rPr>
      </w:pPr>
    </w:p>
    <w:p>
      <w:pPr>
        <w:keepNext w:val="0"/>
        <w:keepLines w:val="0"/>
        <w:pageBreakBefore w:val="0"/>
        <w:kinsoku/>
        <w:wordWrap w:val="0"/>
        <w:overflowPunct w:val="0"/>
        <w:topLinePunct/>
        <w:autoSpaceDE w:val="0"/>
        <w:autoSpaceDN w:val="0"/>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一、初步评审</w:t>
      </w:r>
      <w:bookmarkEnd w:id="75"/>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初步评审分为资格性检查和符合性检查。</w:t>
      </w:r>
    </w:p>
    <w:p>
      <w:pPr>
        <w:keepNext w:val="0"/>
        <w:keepLines w:val="0"/>
        <w:pageBreakBefore w:val="0"/>
        <w:kinsoku/>
        <w:wordWrap w:val="0"/>
        <w:overflowPunct w:val="0"/>
        <w:topLinePunct/>
        <w:autoSpaceDE w:val="0"/>
        <w:autoSpaceDN w:val="0"/>
        <w:bidi w:val="0"/>
        <w:spacing w:line="360" w:lineRule="auto"/>
        <w:ind w:firstLine="422" w:firstLineChars="200"/>
        <w:rPr>
          <w:rFonts w:hint="eastAsia" w:ascii="宋体" w:hAnsi="宋体" w:eastAsia="宋体" w:cs="宋体"/>
          <w:b/>
          <w:bCs/>
          <w:color w:val="auto"/>
          <w:highlight w:val="none"/>
        </w:rPr>
      </w:pPr>
      <w:bookmarkStart w:id="76" w:name="_Toc16543"/>
    </w:p>
    <w:p>
      <w:pPr>
        <w:keepNext w:val="0"/>
        <w:keepLines w:val="0"/>
        <w:pageBreakBefore w:val="0"/>
        <w:kinsoku/>
        <w:wordWrap w:val="0"/>
        <w:overflowPunct w:val="0"/>
        <w:topLinePunct/>
        <w:autoSpaceDE w:val="0"/>
        <w:autoSpaceDN w:val="0"/>
        <w:bidi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1.资格性检查</w:t>
      </w:r>
      <w:bookmarkEnd w:id="76"/>
    </w:p>
    <w:p>
      <w:pPr>
        <w:keepNext w:val="0"/>
        <w:keepLines w:val="0"/>
        <w:pageBreakBefore w:val="0"/>
        <w:kinsoku/>
        <w:wordWrap w:val="0"/>
        <w:overflowPunct w:val="0"/>
        <w:topLinePunct/>
        <w:autoSpaceDE w:val="0"/>
        <w:autoSpaceDN w:val="0"/>
        <w:bidi w:val="0"/>
        <w:spacing w:line="109" w:lineRule="exact"/>
        <w:rPr>
          <w:rFonts w:hint="eastAsia" w:ascii="宋体" w:hAnsi="宋体" w:eastAsia="宋体" w:cs="宋体"/>
          <w:color w:val="auto"/>
          <w:highlight w:val="none"/>
        </w:rPr>
      </w:pPr>
    </w:p>
    <w:tbl>
      <w:tblPr>
        <w:tblStyle w:val="1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5"/>
        <w:gridCol w:w="887"/>
        <w:gridCol w:w="2936"/>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582" w:type="dxa"/>
            <w:gridSpan w:val="2"/>
            <w:tcBorders>
              <w:tl2br w:val="nil"/>
              <w:tr2bl w:val="nil"/>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2936" w:type="dxa"/>
            <w:tcBorders>
              <w:tl2br w:val="nil"/>
              <w:tr2bl w:val="nil"/>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评审因素</w:t>
            </w:r>
          </w:p>
        </w:tc>
        <w:tc>
          <w:tcPr>
            <w:tcW w:w="4180" w:type="dxa"/>
            <w:tcBorders>
              <w:tl2br w:val="nil"/>
              <w:tr2bl w:val="nil"/>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695" w:type="dxa"/>
            <w:vMerge w:val="restart"/>
            <w:tcBorders>
              <w:tl2br w:val="nil"/>
              <w:tr2bl w:val="nil"/>
            </w:tcBorders>
            <w:noWrap w:val="0"/>
            <w:vAlign w:val="center"/>
          </w:tcPr>
          <w:p>
            <w:pPr>
              <w:keepNext w:val="0"/>
              <w:keepLines w:val="0"/>
              <w:pageBreakBefore w:val="0"/>
              <w:kinsoku/>
              <w:wordWrap w:val="0"/>
              <w:overflowPunct w:val="0"/>
              <w:topLinePunct/>
              <w:autoSpaceDE w:val="0"/>
              <w:autoSpaceDN w:val="0"/>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2.1</w:t>
            </w:r>
          </w:p>
        </w:tc>
        <w:tc>
          <w:tcPr>
            <w:tcW w:w="887" w:type="dxa"/>
            <w:vMerge w:val="restart"/>
            <w:tcBorders>
              <w:tl2br w:val="nil"/>
              <w:tr2bl w:val="nil"/>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资格评审标准</w:t>
            </w:r>
          </w:p>
        </w:tc>
        <w:tc>
          <w:tcPr>
            <w:tcW w:w="2936" w:type="dxa"/>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具有</w:t>
            </w:r>
            <w:r>
              <w:rPr>
                <w:rFonts w:hint="eastAsia" w:ascii="宋体" w:hAnsi="宋体" w:eastAsia="宋体" w:cs="宋体"/>
                <w:color w:val="auto"/>
                <w:highlight w:val="none"/>
                <w:lang w:val="en-US" w:eastAsia="zh-CN"/>
              </w:rPr>
              <w:t>二级或以上综合医院资质</w:t>
            </w:r>
          </w:p>
        </w:tc>
        <w:tc>
          <w:tcPr>
            <w:tcW w:w="4180" w:type="dxa"/>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提供</w:t>
            </w:r>
            <w:r>
              <w:rPr>
                <w:rFonts w:hint="eastAsia" w:ascii="宋体" w:hAnsi="宋体" w:eastAsia="宋体" w:cs="宋体"/>
                <w:color w:val="auto"/>
                <w:highlight w:val="none"/>
                <w:lang w:val="en-US" w:eastAsia="zh-CN"/>
              </w:rPr>
              <w:t>卫生部门核准的《医疗机构执业许可证》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695" w:type="dxa"/>
            <w:vMerge w:val="continue"/>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887" w:type="dxa"/>
            <w:vMerge w:val="continue"/>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2936" w:type="dxa"/>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highlight w:val="none"/>
              </w:rPr>
              <w:t>具有履行合同所必需的设备和专业技术能力</w:t>
            </w:r>
          </w:p>
        </w:tc>
        <w:tc>
          <w:tcPr>
            <w:tcW w:w="4180" w:type="dxa"/>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highlight w:val="none"/>
              </w:rPr>
              <w:t>提供企业承诺书，格式自拟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695" w:type="dxa"/>
            <w:vMerge w:val="continue"/>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887" w:type="dxa"/>
            <w:vMerge w:val="continue"/>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2936" w:type="dxa"/>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highlight w:val="none"/>
                <w:lang w:val="en-US" w:eastAsia="zh-CN"/>
              </w:rPr>
              <w:t>具备医保定点医院资质</w:t>
            </w:r>
          </w:p>
        </w:tc>
        <w:tc>
          <w:tcPr>
            <w:tcW w:w="4180" w:type="dxa"/>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highlight w:val="none"/>
                <w:lang w:val="en-US" w:eastAsia="zh-CN"/>
              </w:rPr>
              <w:t>提供医保定点医院的证明材料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695" w:type="dxa"/>
            <w:vMerge w:val="continue"/>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887" w:type="dxa"/>
            <w:vMerge w:val="continue"/>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2936" w:type="dxa"/>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w:t>
            </w:r>
          </w:p>
        </w:tc>
        <w:tc>
          <w:tcPr>
            <w:tcW w:w="4180" w:type="dxa"/>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提供企业承诺书，格式自拟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695" w:type="dxa"/>
            <w:vMerge w:val="continue"/>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887" w:type="dxa"/>
            <w:vMerge w:val="continue"/>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2936" w:type="dxa"/>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highlight w:val="none"/>
                <w:lang w:val="en-US" w:eastAsia="zh-CN"/>
              </w:rPr>
              <w:t>信用记录</w:t>
            </w:r>
          </w:p>
        </w:tc>
        <w:tc>
          <w:tcPr>
            <w:tcW w:w="4180" w:type="dxa"/>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highlight w:val="none"/>
                <w:lang w:val="en-US" w:eastAsia="zh-CN"/>
              </w:rPr>
              <w:t>对列入失信被执行人、重大税收违法失信主体、政府采购严重违法失信行为记录名单的供应商，拒绝参与本项目采购活动；[查询渠道：“信用中国”网站（www.creditchina.gov.cn）“中国政府采购网”（www.ccgp.gov.cn）]提供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695" w:type="dxa"/>
            <w:vMerge w:val="continue"/>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887" w:type="dxa"/>
            <w:vMerge w:val="continue"/>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2936" w:type="dxa"/>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highlight w:val="none"/>
              </w:rPr>
              <w:t>法律、行政法规规定的其他条件</w:t>
            </w:r>
          </w:p>
        </w:tc>
        <w:tc>
          <w:tcPr>
            <w:tcW w:w="4180" w:type="dxa"/>
            <w:tcBorders>
              <w:tl2br w:val="nil"/>
              <w:tr2bl w:val="nil"/>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highlight w:val="none"/>
              </w:rPr>
              <w:t>提供企业承诺书，格式自拟</w:t>
            </w:r>
          </w:p>
        </w:tc>
      </w:tr>
    </w:tbl>
    <w:p>
      <w:pPr>
        <w:keepNext w:val="0"/>
        <w:keepLines w:val="0"/>
        <w:pageBreakBefore w:val="0"/>
        <w:kinsoku/>
        <w:wordWrap w:val="0"/>
        <w:overflowPunct w:val="0"/>
        <w:topLinePunct/>
        <w:autoSpaceDE w:val="0"/>
        <w:autoSpaceDN w:val="0"/>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注： 本项目为资格后审，由采购人代表或代理机构人员进行资格性审查。</w:t>
      </w:r>
    </w:p>
    <w:p>
      <w:pPr>
        <w:keepNext w:val="0"/>
        <w:keepLines w:val="0"/>
        <w:pageBreakBefore w:val="0"/>
        <w:kinsoku/>
        <w:wordWrap w:val="0"/>
        <w:overflowPunct w:val="0"/>
        <w:topLinePunct/>
        <w:autoSpaceDE w:val="0"/>
        <w:autoSpaceDN w:val="0"/>
        <w:bidi w:val="0"/>
        <w:spacing w:line="360" w:lineRule="auto"/>
        <w:ind w:firstLine="422" w:firstLineChars="200"/>
        <w:rPr>
          <w:rFonts w:hint="eastAsia" w:ascii="宋体" w:hAnsi="宋体" w:eastAsia="宋体" w:cs="宋体"/>
          <w:b/>
          <w:bCs/>
          <w:color w:val="auto"/>
          <w:highlight w:val="none"/>
        </w:rPr>
      </w:pPr>
    </w:p>
    <w:p>
      <w:pPr>
        <w:keepNext w:val="0"/>
        <w:keepLines w:val="0"/>
        <w:pageBreakBefore w:val="0"/>
        <w:kinsoku/>
        <w:wordWrap w:val="0"/>
        <w:overflowPunct w:val="0"/>
        <w:topLinePunct/>
        <w:autoSpaceDE w:val="0"/>
        <w:autoSpaceDN w:val="0"/>
        <w:bidi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2.符合性审查</w:t>
      </w:r>
    </w:p>
    <w:p>
      <w:pPr>
        <w:keepNext w:val="0"/>
        <w:keepLines w:val="0"/>
        <w:pageBreakBefore w:val="0"/>
        <w:kinsoku/>
        <w:wordWrap w:val="0"/>
        <w:overflowPunct w:val="0"/>
        <w:topLinePunct/>
        <w:autoSpaceDE w:val="0"/>
        <w:autoSpaceDN w:val="0"/>
        <w:bidi w:val="0"/>
        <w:spacing w:line="95" w:lineRule="exact"/>
        <w:rPr>
          <w:rFonts w:hint="eastAsia" w:ascii="宋体" w:hAnsi="宋体" w:eastAsia="宋体" w:cs="宋体"/>
          <w:color w:val="auto"/>
          <w:highlight w:val="none"/>
        </w:rPr>
      </w:pPr>
    </w:p>
    <w:tbl>
      <w:tblPr>
        <w:tblStyle w:val="31"/>
        <w:tblW w:w="8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1"/>
        <w:gridCol w:w="1196"/>
        <w:gridCol w:w="2135"/>
        <w:gridCol w:w="4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231"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1196"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评审因素</w:t>
            </w:r>
          </w:p>
        </w:tc>
        <w:tc>
          <w:tcPr>
            <w:tcW w:w="6292" w:type="dxa"/>
            <w:gridSpan w:val="2"/>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31" w:type="dxa"/>
            <w:vMerge w:val="restart"/>
            <w:tcBorders>
              <w:top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p>
        </w:tc>
        <w:tc>
          <w:tcPr>
            <w:tcW w:w="1196" w:type="dxa"/>
            <w:vMerge w:val="restart"/>
            <w:tcBorders>
              <w:top w:val="single" w:color="000000" w:sz="2"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符合性评审标准</w:t>
            </w:r>
          </w:p>
        </w:tc>
        <w:tc>
          <w:tcPr>
            <w:tcW w:w="2135"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415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与</w:t>
            </w:r>
            <w:r>
              <w:rPr>
                <w:rFonts w:hint="eastAsia" w:ascii="宋体" w:hAnsi="宋体" w:eastAsia="宋体" w:cs="宋体"/>
                <w:color w:val="auto"/>
                <w:highlight w:val="none"/>
                <w:lang w:val="en-US" w:eastAsia="zh-CN"/>
              </w:rPr>
              <w:t>《医疗机构执业许可证》</w:t>
            </w:r>
            <w:r>
              <w:rPr>
                <w:rFonts w:hint="eastAsia" w:ascii="宋体" w:hAnsi="宋体" w:eastAsia="宋体" w:cs="宋体"/>
                <w:color w:val="auto"/>
                <w:highlight w:val="none"/>
              </w:rPr>
              <w:t>等证明文件一致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231" w:type="dxa"/>
            <w:vMerge w:val="continue"/>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1196" w:type="dxa"/>
            <w:vMerge w:val="continue"/>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p>
        </w:tc>
        <w:tc>
          <w:tcPr>
            <w:tcW w:w="2135"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函签字盖章</w:t>
            </w:r>
          </w:p>
        </w:tc>
        <w:tc>
          <w:tcPr>
            <w:tcW w:w="415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满足</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签字盖章的要求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231" w:type="dxa"/>
            <w:vMerge w:val="continue"/>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1196" w:type="dxa"/>
            <w:vMerge w:val="continue"/>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p>
        </w:tc>
        <w:tc>
          <w:tcPr>
            <w:tcW w:w="2135"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格式</w:t>
            </w:r>
          </w:p>
        </w:tc>
        <w:tc>
          <w:tcPr>
            <w:tcW w:w="415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符合第六</w:t>
            </w:r>
            <w:r>
              <w:rPr>
                <w:rFonts w:hint="eastAsia" w:ascii="宋体" w:hAnsi="宋体" w:eastAsia="宋体" w:cs="宋体"/>
                <w:color w:val="auto"/>
                <w:highlight w:val="none"/>
                <w:lang w:val="en-US" w:eastAsia="zh-CN"/>
              </w:rPr>
              <w:t>章</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231" w:type="dxa"/>
            <w:vMerge w:val="continue"/>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1196" w:type="dxa"/>
            <w:vMerge w:val="continue"/>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p>
        </w:tc>
        <w:tc>
          <w:tcPr>
            <w:tcW w:w="2135"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质量要求</w:t>
            </w:r>
          </w:p>
        </w:tc>
        <w:tc>
          <w:tcPr>
            <w:tcW w:w="415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满足</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231" w:type="dxa"/>
            <w:vMerge w:val="continue"/>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1196" w:type="dxa"/>
            <w:vMerge w:val="continue"/>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p>
        </w:tc>
        <w:tc>
          <w:tcPr>
            <w:tcW w:w="2135"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合同履行期限</w:t>
            </w:r>
          </w:p>
        </w:tc>
        <w:tc>
          <w:tcPr>
            <w:tcW w:w="415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满足</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231" w:type="dxa"/>
            <w:vMerge w:val="continue"/>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1196" w:type="dxa"/>
            <w:vMerge w:val="continue"/>
            <w:tcBorders>
              <w:bottom w:val="single" w:color="000000" w:sz="2" w:space="0"/>
            </w:tcBorders>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p>
        </w:tc>
        <w:tc>
          <w:tcPr>
            <w:tcW w:w="2135"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4157" w:type="dxa"/>
            <w:tcBorders>
              <w:top w:val="single" w:color="000000" w:sz="2" w:space="0"/>
              <w:bottom w:val="single" w:color="000000" w:sz="2" w:space="0"/>
            </w:tcBorders>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满足</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p>
        </w:tc>
      </w:tr>
    </w:tbl>
    <w:p>
      <w:pPr>
        <w:keepNext w:val="0"/>
        <w:keepLines w:val="0"/>
        <w:pageBreakBefore w:val="0"/>
        <w:kinsoku/>
        <w:wordWrap w:val="0"/>
        <w:overflowPunct w:val="0"/>
        <w:topLinePunct/>
        <w:autoSpaceDE w:val="0"/>
        <w:autoSpaceDN w:val="0"/>
        <w:bidi w:val="0"/>
        <w:spacing w:line="363"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363"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360" w:lineRule="auto"/>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3.详细评审</w:t>
      </w:r>
    </w:p>
    <w:p>
      <w:pPr>
        <w:keepNext w:val="0"/>
        <w:keepLines w:val="0"/>
        <w:pageBreakBefore w:val="0"/>
        <w:kinsoku/>
        <w:wordWrap w:val="0"/>
        <w:overflowPunct w:val="0"/>
        <w:topLinePunct/>
        <w:autoSpaceDE w:val="0"/>
        <w:autoSpaceDN w:val="0"/>
        <w:bidi w:val="0"/>
        <w:spacing w:line="360" w:lineRule="auto"/>
        <w:rPr>
          <w:rFonts w:hint="eastAsia" w:ascii="宋体" w:hAnsi="宋体" w:eastAsia="宋体" w:cs="宋体"/>
          <w:b/>
          <w:bCs/>
          <w:color w:val="auto"/>
          <w:highlight w:val="none"/>
          <w:lang w:val="en-US" w:eastAsia="zh-CN"/>
        </w:rPr>
      </w:pPr>
    </w:p>
    <w:tbl>
      <w:tblPr>
        <w:tblStyle w:val="15"/>
        <w:tblW w:w="88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1"/>
        <w:gridCol w:w="1107"/>
        <w:gridCol w:w="66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041"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条款内容</w:t>
            </w:r>
          </w:p>
        </w:tc>
        <w:tc>
          <w:tcPr>
            <w:tcW w:w="6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1041" w:type="dxa"/>
            <w:tcBorders>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分值构成</w:t>
            </w: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(100分)</w:t>
            </w:r>
          </w:p>
        </w:tc>
        <w:tc>
          <w:tcPr>
            <w:tcW w:w="6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商务部分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2.技术</w:t>
            </w:r>
            <w:r>
              <w:rPr>
                <w:rFonts w:hint="eastAsia" w:ascii="宋体" w:hAnsi="宋体" w:eastAsia="宋体" w:cs="宋体"/>
                <w:color w:val="auto"/>
                <w:highlight w:val="none"/>
                <w:lang w:val="en-US" w:eastAsia="zh-CN"/>
              </w:rPr>
              <w:t>部分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50</w:t>
            </w:r>
            <w:r>
              <w:rPr>
                <w:rFonts w:hint="eastAsia" w:ascii="宋体" w:hAnsi="宋体" w:eastAsia="宋体" w:cs="宋体"/>
                <w:color w:val="auto"/>
                <w:highlight w:val="none"/>
              </w:rPr>
              <w:t>分</w:t>
            </w: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综合部分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041" w:type="dxa"/>
            <w:tcBorders>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ind w:right="-134" w:rightChars="-64"/>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商务部分（30分）</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投标报价（30分）</w:t>
            </w:r>
          </w:p>
        </w:tc>
        <w:tc>
          <w:tcPr>
            <w:tcW w:w="6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val="0"/>
              <w:overflowPunct w:val="0"/>
              <w:topLinePunct/>
              <w:autoSpaceDE w:val="0"/>
              <w:autoSpaceDN w:val="0"/>
              <w:bidi w:val="0"/>
              <w:ind w:right="-170" w:rightChars="-81"/>
              <w:rPr>
                <w:rFonts w:hint="eastAsia" w:ascii="宋体" w:hAnsi="宋体" w:eastAsia="宋体" w:cs="宋体"/>
                <w:color w:val="auto"/>
                <w:highlight w:val="none"/>
                <w:lang w:val="en-US" w:eastAsia="zh-CN"/>
              </w:rPr>
            </w:pPr>
            <w:r>
              <w:rPr>
                <w:rFonts w:hint="eastAsia" w:ascii="宋体" w:hAnsi="宋体" w:eastAsia="宋体" w:cs="宋体"/>
                <w:snapToGrid w:val="0"/>
                <w:color w:val="auto"/>
                <w:kern w:val="0"/>
                <w:sz w:val="21"/>
                <w:szCs w:val="21"/>
                <w:lang w:val="en-US" w:eastAsia="zh-CN"/>
              </w:rPr>
              <w:t>1.</w:t>
            </w:r>
            <w:r>
              <w:rPr>
                <w:rFonts w:hint="eastAsia" w:ascii="宋体" w:hAnsi="宋体" w:eastAsia="宋体" w:cs="宋体"/>
                <w:color w:val="auto"/>
                <w:highlight w:val="none"/>
                <w:lang w:val="en-US" w:eastAsia="zh-CN"/>
              </w:rPr>
              <w:t>项目以通过资格审查和符合性审查的投标文件中标注的承诺收费床位比例为报价。</w:t>
            </w:r>
          </w:p>
          <w:p>
            <w:pPr>
              <w:keepNext w:val="0"/>
              <w:keepLines w:val="0"/>
              <w:pageBreakBefore w:val="0"/>
              <w:numPr>
                <w:ilvl w:val="0"/>
                <w:numId w:val="0"/>
              </w:numPr>
              <w:kinsoku/>
              <w:wordWrap w:val="0"/>
              <w:overflowPunct w:val="0"/>
              <w:topLinePunct/>
              <w:autoSpaceDE w:val="0"/>
              <w:autoSpaceDN w:val="0"/>
              <w:bidi w:val="0"/>
              <w:ind w:right="-170" w:rightChars="-8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.满足招标文件要求且评标报价最</w:t>
            </w:r>
            <w:r>
              <w:rPr>
                <w:rFonts w:hint="eastAsia" w:ascii="宋体" w:hAnsi="宋体" w:eastAsia="宋体" w:cs="宋体"/>
                <w:color w:val="auto"/>
                <w:highlight w:val="none"/>
                <w:lang w:val="en-US" w:eastAsia="zh-CN"/>
              </w:rPr>
              <w:t>低</w:t>
            </w:r>
            <w:r>
              <w:rPr>
                <w:rFonts w:hint="eastAsia" w:ascii="宋体" w:hAnsi="宋体" w:eastAsia="宋体" w:cs="宋体"/>
                <w:color w:val="auto"/>
                <w:highlight w:val="none"/>
              </w:rPr>
              <w:t>的评标报价为评标基准价，其价格分为满分。其他投标人的价格分统一按照下列公式计算：</w:t>
            </w:r>
          </w:p>
          <w:p>
            <w:pPr>
              <w:keepNext w:val="0"/>
              <w:keepLines w:val="0"/>
              <w:pageBreakBefore w:val="0"/>
              <w:kinsoku/>
              <w:wordWrap w:val="0"/>
              <w:overflowPunct w:val="0"/>
              <w:topLinePunct/>
              <w:autoSpaceDE w:val="0"/>
              <w:autoSpaceDN w:val="0"/>
              <w:bidi w:val="0"/>
              <w:ind w:right="-170" w:rightChars="-81"/>
              <w:rPr>
                <w:rFonts w:hint="eastAsia" w:ascii="宋体" w:hAnsi="宋体" w:eastAsia="宋体" w:cs="宋体"/>
                <w:color w:val="auto"/>
                <w:highlight w:val="none"/>
              </w:rPr>
            </w:pPr>
            <w:r>
              <w:rPr>
                <w:rFonts w:hint="eastAsia" w:ascii="宋体" w:hAnsi="宋体" w:eastAsia="宋体" w:cs="宋体"/>
                <w:color w:val="auto"/>
                <w:highlight w:val="none"/>
              </w:rPr>
              <w:t>投标报价得分=(评标基准价／评标报价)×30。</w:t>
            </w:r>
          </w:p>
          <w:p>
            <w:pPr>
              <w:keepNext w:val="0"/>
              <w:keepLines w:val="0"/>
              <w:pageBreakBefore w:val="0"/>
              <w:kinsoku/>
              <w:wordWrap w:val="0"/>
              <w:overflowPunct w:val="0"/>
              <w:topLinePunct/>
              <w:autoSpaceDE w:val="0"/>
              <w:autoSpaceDN w:val="0"/>
              <w:bidi w:val="0"/>
              <w:ind w:right="-170" w:rightChars="-81"/>
              <w:rPr>
                <w:rFonts w:hint="default" w:ascii="宋体" w:hAnsi="宋体" w:eastAsia="宋体" w:cs="宋体"/>
                <w:color w:val="auto"/>
                <w:highlight w:val="none"/>
                <w:lang w:val="en-US" w:eastAsia="zh-CN"/>
              </w:rPr>
            </w:pPr>
            <w:r>
              <w:rPr>
                <w:spacing w:val="1"/>
              </w:rPr>
              <w:t>注：价格分计算保留小数点后两位。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jc w:val="center"/>
        </w:trPr>
        <w:tc>
          <w:tcPr>
            <w:tcW w:w="1041" w:type="dxa"/>
            <w:vMerge w:val="restart"/>
            <w:tcBorders>
              <w:right w:val="single" w:color="auto" w:sz="4" w:space="0"/>
            </w:tcBorders>
            <w:noWrap w:val="0"/>
            <w:vAlign w:val="center"/>
          </w:tcPr>
          <w:p>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技术部分（50分）</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ind w:right="-94" w:rightChars="-45"/>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服务方案（25分）</w:t>
            </w:r>
          </w:p>
        </w:tc>
        <w:tc>
          <w:tcPr>
            <w:tcW w:w="6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val="0"/>
              <w:overflowPunct w:val="0"/>
              <w:topLinePunct/>
              <w:autoSpaceDE w:val="0"/>
              <w:autoSpaceDN w:val="0"/>
              <w:bidi w:val="0"/>
              <w:ind w:left="-88" w:leftChars="-42" w:right="-94" w:rightChars="-45" w:firstLine="299" w:firstLineChars="142"/>
              <w:rPr>
                <w:rFonts w:hint="eastAsia" w:ascii="宋体" w:hAnsi="宋体" w:eastAsia="宋体" w:cs="宋体"/>
                <w:color w:val="auto"/>
                <w:highlight w:val="none"/>
                <w:lang w:val="en-US" w:eastAsia="zh-CN"/>
              </w:rPr>
            </w:pPr>
            <w:r>
              <w:rPr>
                <w:rFonts w:hint="eastAsia" w:ascii="宋体" w:hAnsi="宋体" w:eastAsia="宋体" w:cs="宋体"/>
                <w:b/>
                <w:bCs/>
                <w:snapToGrid w:val="0"/>
                <w:color w:val="auto"/>
                <w:kern w:val="0"/>
                <w:sz w:val="21"/>
                <w:szCs w:val="21"/>
                <w:lang w:val="en-US" w:eastAsia="zh-CN"/>
              </w:rPr>
              <w:t>1.</w:t>
            </w:r>
            <w:r>
              <w:rPr>
                <w:rFonts w:hint="eastAsia" w:ascii="宋体" w:hAnsi="宋体" w:eastAsia="宋体" w:cs="宋体"/>
                <w:b/>
                <w:bCs/>
                <w:color w:val="auto"/>
                <w:highlight w:val="none"/>
                <w:lang w:val="en-US" w:eastAsia="zh-CN"/>
              </w:rPr>
              <w:t>服务内容及实施方案</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8" w:firstLineChars="14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应根据选择的服务内容编制对应的实施方案，实施方案应完整合理、结构严谨、科学精准，并满足采购项目各项需求，主要包括组织架构、管理制度、服务流程、调度机制、人员培训、奖惩体系以及发展规划等。</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8" w:firstLineChars="14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方案的完整性和可行性综合进行打分，结合项目实际，内容完整、准确详实、全面合理、逻辑清晰、可行性程度高的得10分；内容完整、准确详实、全面合理、具有可行性的得8分；内容基本完整、可行性一般的得6分，缺项不得分。</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9" w:firstLineChars="142"/>
              <w:rPr>
                <w:rFonts w:hint="eastAsia" w:ascii="宋体" w:hAnsi="宋体" w:eastAsia="宋体" w:cs="宋体"/>
                <w:b/>
                <w:bCs/>
                <w:color w:val="auto"/>
                <w:highlight w:val="none"/>
                <w:lang w:val="en-US" w:eastAsia="zh-CN"/>
              </w:rPr>
            </w:pPr>
            <w:r>
              <w:rPr>
                <w:rFonts w:hint="eastAsia" w:ascii="宋体" w:hAnsi="宋体" w:eastAsia="宋体" w:cs="宋体"/>
                <w:b/>
                <w:bCs/>
                <w:snapToGrid w:val="0"/>
                <w:color w:val="auto"/>
                <w:kern w:val="0"/>
                <w:sz w:val="21"/>
                <w:szCs w:val="21"/>
                <w:lang w:val="en-US" w:eastAsia="zh-CN"/>
              </w:rPr>
              <w:t>2.</w:t>
            </w:r>
            <w:r>
              <w:rPr>
                <w:rFonts w:hint="eastAsia" w:ascii="宋体" w:hAnsi="宋体" w:eastAsia="宋体" w:cs="宋体"/>
                <w:b/>
                <w:bCs/>
                <w:color w:val="auto"/>
                <w:highlight w:val="none"/>
                <w:lang w:val="en-US" w:eastAsia="zh-CN"/>
              </w:rPr>
              <w:t>服务进度保障措施</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8" w:firstLineChars="14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由评委根据供应商进度安排是否满足项目整体要求，且科学合理、可操作性强。评标委员会根据各供应商服务进度保障措施进行横向对比打分。</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8" w:firstLineChars="14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根据方案的完整性和可行性综合进行打分，全面合理、逻辑清晰、可操作程度高的得5分；全面合理、具有可操作性的得3分；内容基本完整、可操作性一般的得1分，缺项不得分。</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9" w:firstLineChars="142"/>
              <w:rPr>
                <w:rFonts w:hint="eastAsia" w:ascii="宋体" w:hAnsi="宋体" w:eastAsia="宋体" w:cs="宋体"/>
                <w:color w:val="auto"/>
                <w:highlight w:val="none"/>
                <w:lang w:val="en-US" w:eastAsia="zh-CN"/>
              </w:rPr>
            </w:pPr>
            <w:r>
              <w:rPr>
                <w:rFonts w:hint="eastAsia" w:ascii="宋体" w:hAnsi="宋体" w:eastAsia="宋体" w:cs="宋体"/>
                <w:b/>
                <w:bCs/>
                <w:snapToGrid w:val="0"/>
                <w:color w:val="auto"/>
                <w:kern w:val="0"/>
                <w:sz w:val="21"/>
                <w:szCs w:val="21"/>
                <w:lang w:val="en-US" w:eastAsia="zh-CN"/>
              </w:rPr>
              <w:t>3.</w:t>
            </w:r>
            <w:r>
              <w:rPr>
                <w:rFonts w:hint="eastAsia" w:ascii="宋体" w:hAnsi="宋体" w:eastAsia="宋体" w:cs="宋体"/>
                <w:b/>
                <w:bCs/>
                <w:color w:val="auto"/>
                <w:highlight w:val="none"/>
                <w:lang w:val="en-US" w:eastAsia="zh-CN"/>
              </w:rPr>
              <w:t>服务管理制度</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8" w:firstLineChars="14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供应商应建立完善的管理制度，包括绩效考核管理制度、服务管理制度、安全管理制度、财务制度和培训制度等。评标委员会根据各供应商管理制度进行横向对比打分。</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8" w:firstLineChars="14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方案的完整性和可行性综合进行打分，内容完整、准确详实、全面合理、逻辑清晰、可行性程度高的得5分；内容完整、准确详实、全面合理、具有可操作性的得3分；内容基本完整、可操作性一般的得1分，缺项不得分。</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9" w:firstLineChars="142"/>
              <w:rPr>
                <w:rFonts w:hint="eastAsia" w:ascii="宋体" w:hAnsi="宋体" w:eastAsia="宋体" w:cs="宋体"/>
                <w:b/>
                <w:bCs/>
                <w:color w:val="auto"/>
                <w:highlight w:val="none"/>
                <w:lang w:val="en-US" w:eastAsia="zh-CN"/>
              </w:rPr>
            </w:pPr>
            <w:r>
              <w:rPr>
                <w:rFonts w:hint="eastAsia" w:ascii="宋体" w:hAnsi="宋体" w:eastAsia="宋体" w:cs="宋体"/>
                <w:b/>
                <w:bCs/>
                <w:snapToGrid w:val="0"/>
                <w:color w:val="auto"/>
                <w:kern w:val="0"/>
                <w:sz w:val="21"/>
                <w:szCs w:val="21"/>
                <w:lang w:val="en-US" w:eastAsia="zh-CN"/>
              </w:rPr>
              <w:t>4.</w:t>
            </w:r>
            <w:r>
              <w:rPr>
                <w:rFonts w:hint="eastAsia" w:ascii="宋体" w:hAnsi="宋体" w:eastAsia="宋体" w:cs="宋体"/>
                <w:b/>
                <w:bCs/>
                <w:color w:val="auto"/>
                <w:highlight w:val="none"/>
                <w:lang w:val="en-US" w:eastAsia="zh-CN"/>
              </w:rPr>
              <w:t>服务质量保障</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8" w:firstLineChars="14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建立服务质量回访机制，对服务质量负责。评标委员会根据各供应商服务质量回访机制进行横向对比打分。</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8" w:firstLineChars="14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根据方案的完整性和可行性综合进行打分，描述详细完整、清晰完整得3分，仅进行简单描述得2分，缺项不得分。</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9" w:firstLineChars="142"/>
              <w:rPr>
                <w:rFonts w:hint="eastAsia" w:ascii="宋体" w:hAnsi="宋体" w:eastAsia="宋体" w:cs="宋体"/>
                <w:b/>
                <w:bCs/>
                <w:color w:val="auto"/>
                <w:highlight w:val="none"/>
                <w:lang w:val="en-US" w:eastAsia="zh-CN"/>
              </w:rPr>
            </w:pPr>
            <w:r>
              <w:rPr>
                <w:rFonts w:hint="eastAsia" w:ascii="宋体" w:hAnsi="宋体" w:eastAsia="宋体" w:cs="宋体"/>
                <w:b/>
                <w:bCs/>
                <w:snapToGrid w:val="0"/>
                <w:color w:val="auto"/>
                <w:kern w:val="0"/>
                <w:sz w:val="21"/>
                <w:szCs w:val="21"/>
                <w:lang w:val="en-US" w:eastAsia="zh-CN"/>
              </w:rPr>
              <w:t>5.</w:t>
            </w:r>
            <w:r>
              <w:rPr>
                <w:rFonts w:hint="eastAsia" w:ascii="宋体" w:hAnsi="宋体" w:eastAsia="宋体" w:cs="宋体"/>
                <w:b/>
                <w:bCs/>
                <w:color w:val="auto"/>
                <w:highlight w:val="none"/>
                <w:lang w:val="en-US" w:eastAsia="zh-CN"/>
              </w:rPr>
              <w:t>应急响应预案</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8" w:firstLineChars="14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制定应急情况处理预案,包括对患者紧急救援、活动现场突发事件、设备故障、平台故障、个人事故、呼叫异常、投诉及媒体采访等公共危机处理方案。</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8" w:firstLineChars="142"/>
              <w:rPr>
                <w:rFonts w:hint="default" w:ascii="宋体" w:hAnsi="宋体" w:cs="宋体"/>
                <w:sz w:val="24"/>
                <w:szCs w:val="24"/>
                <w:lang w:val="en-US" w:eastAsia="zh-CN"/>
              </w:rPr>
            </w:pPr>
            <w:r>
              <w:rPr>
                <w:rFonts w:hint="eastAsia" w:ascii="宋体" w:hAnsi="宋体" w:eastAsia="宋体" w:cs="宋体"/>
                <w:color w:val="auto"/>
                <w:highlight w:val="none"/>
                <w:lang w:val="en-US" w:eastAsia="zh-CN"/>
              </w:rPr>
              <w:t>根据方案的完整性和可行性综合进行打分，描述详细完整、清晰完整得2分，仅进行简单描述得1分，缺项不得分。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8" w:hRule="atLeast"/>
          <w:jc w:val="center"/>
        </w:trPr>
        <w:tc>
          <w:tcPr>
            <w:tcW w:w="1041" w:type="dxa"/>
            <w:vMerge w:val="continue"/>
            <w:tcBorders>
              <w:right w:val="single" w:color="auto" w:sz="4" w:space="0"/>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服务人员配备   （20分）</w:t>
            </w:r>
          </w:p>
        </w:tc>
        <w:tc>
          <w:tcPr>
            <w:tcW w:w="6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val="0"/>
              <w:overflowPunct w:val="0"/>
              <w:topLinePunct/>
              <w:autoSpaceDE w:val="0"/>
              <w:autoSpaceDN w:val="0"/>
              <w:bidi w:val="0"/>
              <w:ind w:left="-88" w:leftChars="-42" w:right="-94" w:rightChars="-45" w:firstLine="298" w:firstLineChars="142"/>
              <w:rPr>
                <w:rFonts w:hint="eastAsia" w:ascii="宋体" w:hAnsi="宋体" w:eastAsia="宋体" w:cs="宋体"/>
                <w:color w:val="auto"/>
                <w:highlight w:val="none"/>
                <w:lang w:val="en-US" w:eastAsia="zh-CN"/>
              </w:rPr>
            </w:pPr>
            <w:r>
              <w:rPr>
                <w:rFonts w:hint="eastAsia" w:ascii="宋体" w:hAnsi="宋体" w:eastAsia="宋体" w:cs="宋体"/>
                <w:snapToGrid w:val="0"/>
                <w:color w:val="auto"/>
                <w:kern w:val="0"/>
                <w:sz w:val="21"/>
                <w:szCs w:val="21"/>
                <w:lang w:val="en-US" w:eastAsia="zh-CN"/>
              </w:rPr>
              <w:t>1、</w:t>
            </w:r>
            <w:r>
              <w:rPr>
                <w:rFonts w:hint="eastAsia" w:ascii="宋体" w:hAnsi="宋体" w:eastAsia="宋体" w:cs="宋体"/>
                <w:color w:val="auto"/>
                <w:highlight w:val="none"/>
                <w:lang w:val="en-US" w:eastAsia="zh-CN"/>
              </w:rPr>
              <w:t>本项目拟派人员中具有护士执业证书的人员应不低于3人，在3人以外每增加1人得1分,最高得12分。</w:t>
            </w:r>
          </w:p>
          <w:p>
            <w:pPr>
              <w:keepNext w:val="0"/>
              <w:keepLines w:val="0"/>
              <w:pageBreakBefore w:val="0"/>
              <w:numPr>
                <w:ilvl w:val="0"/>
                <w:numId w:val="0"/>
              </w:numPr>
              <w:kinsoku/>
              <w:wordWrap w:val="0"/>
              <w:overflowPunct w:val="0"/>
              <w:topLinePunct/>
              <w:autoSpaceDE w:val="0"/>
              <w:autoSpaceDN w:val="0"/>
              <w:bidi w:val="0"/>
              <w:ind w:left="-88" w:leftChars="-42" w:right="-94" w:rightChars="-45" w:firstLine="298" w:firstLineChars="142"/>
              <w:rPr>
                <w:rFonts w:hint="eastAsia" w:ascii="宋体" w:hAnsi="宋体" w:eastAsia="宋体" w:cs="宋体"/>
                <w:color w:val="auto"/>
                <w:highlight w:val="none"/>
                <w:lang w:val="en-US" w:eastAsia="zh-CN"/>
              </w:rPr>
            </w:pPr>
            <w:r>
              <w:rPr>
                <w:rFonts w:hint="eastAsia" w:ascii="宋体" w:hAnsi="宋体" w:eastAsia="宋体" w:cs="宋体"/>
                <w:snapToGrid w:val="0"/>
                <w:color w:val="auto"/>
                <w:kern w:val="0"/>
                <w:sz w:val="21"/>
                <w:szCs w:val="21"/>
                <w:lang w:val="en-US" w:eastAsia="zh-CN"/>
              </w:rPr>
              <w:t>2、</w:t>
            </w:r>
            <w:r>
              <w:rPr>
                <w:rFonts w:hint="eastAsia" w:ascii="宋体" w:hAnsi="宋体" w:eastAsia="宋体" w:cs="宋体"/>
                <w:color w:val="auto"/>
                <w:highlight w:val="none"/>
                <w:lang w:val="en-US" w:eastAsia="zh-CN"/>
              </w:rPr>
              <w:t>本项目拟派人员中具有执业医师资格证书的，每有1人得2分,最高得8分。</w:t>
            </w:r>
          </w:p>
          <w:p>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注：投标文件中须提供相关证明文件的复印件或扫描件，不提供的不得分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1041" w:type="dxa"/>
            <w:vMerge w:val="continue"/>
            <w:tcBorders>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服务承诺（5分）</w:t>
            </w:r>
          </w:p>
        </w:tc>
        <w:tc>
          <w:tcPr>
            <w:tcW w:w="66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针对项目要求提供响应及时性的承诺；遵守采购人各项规章制度，服从管理方面的承诺；关于规范运作，确保人员权益方面的承诺及其他相关相关承诺，承诺做好各项协调工作，减轻采购人工作负担，保证工作顺利进行。评标委员会根据各供应商保证服务的承诺和措施进行横向对比打分。</w:t>
            </w:r>
          </w:p>
          <w:p>
            <w:pPr>
              <w:keepNext w:val="0"/>
              <w:keepLines w:val="0"/>
              <w:pageBreakBefore w:val="0"/>
              <w:numPr>
                <w:ilvl w:val="0"/>
                <w:numId w:val="0"/>
              </w:numPr>
              <w:kinsoku/>
              <w:wordWrap w:val="0"/>
              <w:overflowPunct w:val="0"/>
              <w:topLinePunct/>
              <w:autoSpaceDE w:val="0"/>
              <w:autoSpaceDN w:val="0"/>
              <w:bidi w:val="0"/>
              <w:ind w:right="-71" w:rightChars="-3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根据方案的完整性和可行性综合进行打分，描述详细、清晰完整得5分，仅进行简单描述得3分，缺项不得分。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1041" w:type="dxa"/>
            <w:vMerge w:val="restart"/>
            <w:tcBorders>
              <w:top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ind w:right="-113" w:rightChars="-54"/>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综合部分</w:t>
            </w:r>
          </w:p>
          <w:p>
            <w:pPr>
              <w:keepNext w:val="0"/>
              <w:keepLines w:val="0"/>
              <w:pageBreakBefore w:val="0"/>
              <w:kinsoku/>
              <w:wordWrap w:val="0"/>
              <w:overflowPunct w:val="0"/>
              <w:topLinePunct/>
              <w:autoSpaceDE w:val="0"/>
              <w:autoSpaceDN w:val="0"/>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（20分）</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企业信誉（5分）</w:t>
            </w:r>
          </w:p>
        </w:tc>
        <w:tc>
          <w:tcPr>
            <w:tcW w:w="6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ind w:right="-170" w:rightChars="-8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供应商2020年以来获得过省级荣誉的得3分，市县级荣誉的得2分。最高得5分。(提供行政主管部门颁发的相关资料）</w:t>
            </w:r>
          </w:p>
          <w:p>
            <w:pPr>
              <w:keepNext w:val="0"/>
              <w:keepLines w:val="0"/>
              <w:pageBreakBefore w:val="0"/>
              <w:kinsoku/>
              <w:wordWrap w:val="0"/>
              <w:overflowPunct w:val="0"/>
              <w:topLinePunct/>
              <w:autoSpaceDE w:val="0"/>
              <w:autoSpaceDN w:val="0"/>
              <w:bidi w:val="0"/>
              <w:ind w:right="-170" w:rightChars="-81"/>
              <w:rPr>
                <w:rFonts w:hint="eastAsia"/>
                <w:spacing w:val="1"/>
              </w:rPr>
            </w:pPr>
            <w:r>
              <w:rPr>
                <w:rFonts w:hint="eastAsia" w:ascii="宋体" w:hAnsi="宋体" w:eastAsia="宋体" w:cs="宋体"/>
                <w:b/>
                <w:bCs/>
                <w:color w:val="auto"/>
                <w:highlight w:val="none"/>
                <w:lang w:val="en-US" w:eastAsia="zh-CN"/>
              </w:rPr>
              <w:t>注：</w:t>
            </w:r>
            <w:r>
              <w:rPr>
                <w:rFonts w:hint="eastAsia" w:ascii="宋体" w:hAnsi="宋体" w:eastAsia="宋体" w:cs="宋体"/>
                <w:b/>
                <w:bCs/>
                <w:color w:val="auto"/>
                <w:highlight w:val="none"/>
              </w:rPr>
              <w:t>投标文件中须提供相关证明文件的复印件或扫描件，提供不完整或不提供不得分。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1041" w:type="dxa"/>
            <w:vMerge w:val="continue"/>
            <w:tcBorders>
              <w:right w:val="single" w:color="auto" w:sz="4" w:space="0"/>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tc>
        <w:tc>
          <w:tcPr>
            <w:tcW w:w="1107" w:type="dxa"/>
            <w:tcBorders>
              <w:top w:val="single" w:color="auto" w:sz="4" w:space="0"/>
              <w:left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企业实力</w:t>
            </w: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（6分）</w:t>
            </w:r>
          </w:p>
        </w:tc>
        <w:tc>
          <w:tcPr>
            <w:tcW w:w="6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ind w:left="-99" w:leftChars="-47" w:right="-170" w:rightChars="-81" w:firstLine="0" w:firstLineChars="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CN"/>
              </w:rPr>
              <w:t>为三级以上综合医院的，得6分。</w:t>
            </w:r>
          </w:p>
          <w:p>
            <w:pPr>
              <w:keepNext w:val="0"/>
              <w:keepLines w:val="0"/>
              <w:pageBreakBefore w:val="0"/>
              <w:kinsoku/>
              <w:wordWrap w:val="0"/>
              <w:overflowPunct w:val="0"/>
              <w:topLinePunct/>
              <w:autoSpaceDE w:val="0"/>
              <w:autoSpaceDN w:val="0"/>
              <w:bidi w:val="0"/>
              <w:ind w:left="-99" w:leftChars="-47" w:right="-170" w:rightChars="-81" w:firstLine="0" w:firstLineChars="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w:t>
            </w:r>
            <w:r>
              <w:rPr>
                <w:rFonts w:hint="eastAsia" w:ascii="宋体" w:hAnsi="宋体" w:eastAsia="宋体" w:cs="宋体"/>
                <w:b/>
                <w:bCs/>
                <w:color w:val="auto"/>
                <w:highlight w:val="none"/>
              </w:rPr>
              <w:t>投标文件中须提供</w:t>
            </w:r>
            <w:r>
              <w:rPr>
                <w:rFonts w:hint="eastAsia" w:ascii="宋体" w:hAnsi="宋体" w:eastAsia="宋体" w:cs="宋体"/>
                <w:b/>
                <w:bCs/>
                <w:color w:val="auto"/>
                <w:highlight w:val="none"/>
                <w:lang w:val="en-US" w:eastAsia="zh-CN"/>
              </w:rPr>
              <w:t>卫生部门核准的《医疗机构执业许可证》</w:t>
            </w:r>
            <w:r>
              <w:rPr>
                <w:rFonts w:hint="eastAsia" w:ascii="宋体" w:hAnsi="宋体" w:eastAsia="宋体" w:cs="宋体"/>
                <w:b/>
                <w:bCs/>
                <w:color w:val="auto"/>
                <w:highlight w:val="none"/>
              </w:rPr>
              <w:t>的复印件或扫描件，提供不完整或不提供不得分。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1041" w:type="dxa"/>
            <w:vMerge w:val="continue"/>
            <w:tcBorders>
              <w:right w:val="single" w:color="auto" w:sz="4" w:space="0"/>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本地化服务能力（5分）</w:t>
            </w:r>
          </w:p>
        </w:tc>
        <w:tc>
          <w:tcPr>
            <w:tcW w:w="6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ind w:left="-99" w:leftChars="-47" w:right="-170" w:rightChars="-81" w:firstLine="0" w:firstLineChars="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具有本地化的服务能力的得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分，没有得0分</w:t>
            </w:r>
            <w:r>
              <w:rPr>
                <w:rFonts w:hint="eastAsia" w:ascii="宋体" w:hAnsi="宋体" w:eastAsia="宋体" w:cs="宋体"/>
                <w:color w:val="auto"/>
                <w:highlight w:val="none"/>
                <w:lang w:eastAsia="zh-CN"/>
              </w:rPr>
              <w:t>。</w:t>
            </w:r>
          </w:p>
          <w:p>
            <w:pPr>
              <w:keepNext w:val="0"/>
              <w:keepLines w:val="0"/>
              <w:pageBreakBefore w:val="0"/>
              <w:kinsoku/>
              <w:wordWrap w:val="0"/>
              <w:overflowPunct w:val="0"/>
              <w:topLinePunct/>
              <w:autoSpaceDE w:val="0"/>
              <w:autoSpaceDN w:val="0"/>
              <w:bidi w:val="0"/>
              <w:ind w:left="-99" w:leftChars="-47" w:right="-170" w:rightChars="-81" w:firstLine="0" w:firstLineChars="0"/>
              <w:jc w:val="both"/>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注：</w:t>
            </w:r>
            <w:r>
              <w:rPr>
                <w:rFonts w:hint="eastAsia" w:ascii="宋体" w:hAnsi="宋体" w:eastAsia="宋体" w:cs="宋体"/>
                <w:b/>
                <w:bCs/>
                <w:color w:val="auto"/>
                <w:highlight w:val="none"/>
              </w:rPr>
              <w:t>供应商提供相关</w:t>
            </w:r>
            <w:r>
              <w:rPr>
                <w:rFonts w:hint="eastAsia" w:ascii="宋体" w:hAnsi="宋体" w:eastAsia="宋体" w:cs="宋体"/>
                <w:b/>
                <w:bCs/>
                <w:color w:val="auto"/>
                <w:highlight w:val="none"/>
                <w:lang w:val="en-US" w:eastAsia="zh-CN"/>
              </w:rPr>
              <w:t>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1041" w:type="dxa"/>
            <w:vMerge w:val="continue"/>
            <w:tcBorders>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pStyle w:val="39"/>
              <w:tabs>
                <w:tab w:val="left" w:pos="1060"/>
              </w:tabs>
              <w:spacing w:before="68" w:line="239" w:lineRule="auto"/>
              <w:ind w:left="-82" w:leftChars="0" w:right="-94" w:rightChars="-45" w:hanging="18" w:firstLineChars="0"/>
              <w:jc w:val="center"/>
              <w:rPr>
                <w:rFonts w:hint="eastAsia" w:ascii="宋体" w:hAnsi="宋体" w:eastAsia="宋体" w:cs="宋体"/>
                <w:color w:val="auto"/>
                <w:highlight w:val="none"/>
                <w:lang w:val="en-US" w:eastAsia="zh-CN"/>
              </w:rPr>
            </w:pPr>
            <w:r>
              <w:rPr>
                <w:rFonts w:hint="eastAsia"/>
                <w:spacing w:val="5"/>
                <w:sz w:val="21"/>
                <w:szCs w:val="21"/>
                <w:lang w:val="en-US" w:eastAsia="zh-CN"/>
              </w:rPr>
              <w:t xml:space="preserve">投标文件 编制规范   </w:t>
            </w:r>
            <w:r>
              <w:rPr>
                <w:spacing w:val="-2"/>
                <w:sz w:val="21"/>
                <w:szCs w:val="21"/>
              </w:rPr>
              <w:t>（</w:t>
            </w:r>
            <w:r>
              <w:rPr>
                <w:rFonts w:hint="eastAsia"/>
                <w:spacing w:val="-2"/>
                <w:sz w:val="21"/>
                <w:szCs w:val="21"/>
                <w:lang w:val="en-US" w:eastAsia="zh-CN"/>
              </w:rPr>
              <w:t>4</w:t>
            </w:r>
            <w:r>
              <w:rPr>
                <w:spacing w:val="-2"/>
                <w:sz w:val="21"/>
                <w:szCs w:val="21"/>
              </w:rPr>
              <w:t>分）</w:t>
            </w:r>
          </w:p>
        </w:tc>
        <w:tc>
          <w:tcPr>
            <w:tcW w:w="6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val="0"/>
              <w:topLinePunct/>
              <w:autoSpaceDE w:val="0"/>
              <w:autoSpaceDN w:val="0"/>
              <w:bidi w:val="0"/>
              <w:ind w:left="-120" w:leftChars="-57" w:right="-94" w:rightChars="-45" w:firstLine="18" w:firstLineChars="9"/>
              <w:rPr>
                <w:rFonts w:hint="eastAsia" w:ascii="宋体" w:hAnsi="宋体" w:eastAsia="宋体" w:cs="宋体"/>
                <w:snapToGrid w:val="0"/>
                <w:color w:val="auto"/>
                <w:kern w:val="0"/>
                <w:sz w:val="21"/>
                <w:szCs w:val="21"/>
                <w:highlight w:val="none"/>
              </w:rPr>
            </w:pPr>
            <w:r>
              <w:rPr>
                <w:rFonts w:hint="eastAsia" w:ascii="宋体" w:hAnsi="宋体" w:eastAsia="宋体" w:cs="宋体"/>
                <w:color w:val="auto"/>
                <w:highlight w:val="none"/>
                <w:lang w:val="en-US" w:eastAsia="zh-CN"/>
              </w:rPr>
              <w:t>投标文件的编制符合招标文件的规定，逻辑严紧、描述规范的，得4分；逻辑较为严紧、描述较为规范的，得2分；编制无逻辑、描述与现行规范差别较大的，得0分。</w:t>
            </w:r>
          </w:p>
        </w:tc>
      </w:tr>
    </w:tbl>
    <w:p>
      <w:pPr>
        <w:keepNext w:val="0"/>
        <w:keepLines w:val="0"/>
        <w:pageBreakBefore w:val="0"/>
        <w:kinsoku/>
        <w:wordWrap w:val="0"/>
        <w:overflowPunct w:val="0"/>
        <w:topLinePunct/>
        <w:autoSpaceDE w:val="0"/>
        <w:autoSpaceDN w:val="0"/>
        <w:bidi w:val="0"/>
        <w:spacing w:before="69" w:line="225" w:lineRule="auto"/>
        <w:rPr>
          <w:rFonts w:hint="eastAsia" w:ascii="宋体" w:hAnsi="宋体" w:eastAsia="宋体" w:cs="宋体"/>
          <w:color w:val="auto"/>
          <w:spacing w:val="5"/>
          <w:sz w:val="21"/>
          <w:szCs w:val="21"/>
          <w:highlight w:val="none"/>
          <w14:textOutline w14:w="3918" w14:cap="flat" w14:cmpd="sng">
            <w14:solidFill>
              <w14:srgbClr w14:val="000000"/>
            </w14:solidFill>
            <w14:prstDash w14:val="solid"/>
            <w14:miter w14:val="0"/>
          </w14:textOutline>
        </w:rPr>
      </w:pP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 xml:space="preserve">1．初步评审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评委会首先按招标文件要求对供应商的投标文件进行符合性评审。确认其投标文件是否实质上响应了招标文件的要求，对实质上响应招标文件要求的投标文件进行下一步评审。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宋体"/>
          <w:color w:val="auto"/>
          <w:sz w:val="24"/>
          <w:szCs w:val="24"/>
          <w:highlight w:val="none"/>
        </w:rPr>
      </w:pPr>
      <w:bookmarkStart w:id="77" w:name="_Toc19027"/>
      <w:r>
        <w:rPr>
          <w:rFonts w:hint="eastAsia" w:ascii="宋体" w:hAnsi="宋体" w:eastAsia="宋体" w:cs="宋体"/>
          <w:b/>
          <w:bCs/>
          <w:snapToGrid w:val="0"/>
          <w:color w:val="auto"/>
          <w:kern w:val="0"/>
          <w:sz w:val="24"/>
          <w:szCs w:val="24"/>
          <w:highlight w:val="none"/>
          <w:lang w:val="en-US" w:eastAsia="zh-CN" w:bidi="ar"/>
        </w:rPr>
        <w:t>2．细微偏差不影响投标文件的有效性</w:t>
      </w:r>
      <w:bookmarkEnd w:id="77"/>
      <w:r>
        <w:rPr>
          <w:rFonts w:hint="eastAsia" w:ascii="宋体" w:hAnsi="宋体" w:eastAsia="宋体" w:cs="宋体"/>
          <w:b/>
          <w:bCs/>
          <w:snapToGrid w:val="0"/>
          <w:color w:val="auto"/>
          <w:kern w:val="0"/>
          <w:sz w:val="24"/>
          <w:szCs w:val="24"/>
          <w:highlight w:val="none"/>
          <w:lang w:val="en-US" w:eastAsia="zh-CN" w:bidi="ar"/>
        </w:rPr>
        <w:t xml:space="preserve">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细微偏差是指投标文件在实质上响应招标文件要求，但个别地方存在漏项或者提供不了完整的技术信息和数据等情况，并且补正这些遗漏或者不完整不会对其他供应商造成不公平的结果。如投标文件中数字大写和小写不一致的，以大写为准。对于实质上符合招标文件要求的投标文件，采购人将对其投标文件的细微偏差进行校核。并对算数上和累积运算上的差错给与修正，这种修正应取得供应商的同意并确认修正后的最终结果。如果供应商拒绝确认，则其投标文件将不予评审。评标委员会不对无效标评审。评标委员会不接受供应商在投标文件递交截止时间之后主动进行的一切修正或撤销其不符合要求的偏差。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宋体"/>
          <w:color w:val="auto"/>
          <w:sz w:val="24"/>
          <w:szCs w:val="24"/>
          <w:highlight w:val="none"/>
        </w:rPr>
      </w:pPr>
      <w:bookmarkStart w:id="78" w:name="_Toc18638"/>
      <w:r>
        <w:rPr>
          <w:rFonts w:hint="eastAsia" w:ascii="宋体" w:hAnsi="宋体" w:eastAsia="宋体" w:cs="宋体"/>
          <w:b/>
          <w:bCs/>
          <w:snapToGrid w:val="0"/>
          <w:color w:val="auto"/>
          <w:kern w:val="0"/>
          <w:sz w:val="24"/>
          <w:szCs w:val="24"/>
          <w:highlight w:val="none"/>
          <w:lang w:val="en-US" w:eastAsia="zh-CN" w:bidi="ar"/>
        </w:rPr>
        <w:t>3．详细评审</w:t>
      </w:r>
      <w:bookmarkEnd w:id="78"/>
      <w:r>
        <w:rPr>
          <w:rFonts w:hint="eastAsia" w:ascii="宋体" w:hAnsi="宋体" w:eastAsia="宋体" w:cs="宋体"/>
          <w:b/>
          <w:bCs/>
          <w:snapToGrid w:val="0"/>
          <w:color w:val="auto"/>
          <w:kern w:val="0"/>
          <w:sz w:val="24"/>
          <w:szCs w:val="24"/>
          <w:highlight w:val="none"/>
          <w:lang w:val="en-US" w:eastAsia="zh-CN" w:bidi="ar"/>
        </w:rPr>
        <w:t xml:space="preserve">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经初步评审合格的投标文件，评标委员会根据招标文件确定的评标标准和方法，对其投标文件做进一步评审与比较。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宋体"/>
          <w:color w:val="auto"/>
          <w:sz w:val="24"/>
          <w:szCs w:val="24"/>
          <w:highlight w:val="none"/>
        </w:rPr>
      </w:pPr>
      <w:bookmarkStart w:id="79" w:name="_Toc28549"/>
      <w:r>
        <w:rPr>
          <w:rFonts w:hint="eastAsia" w:ascii="宋体" w:hAnsi="宋体" w:eastAsia="宋体" w:cs="宋体"/>
          <w:b/>
          <w:bCs/>
          <w:snapToGrid w:val="0"/>
          <w:color w:val="auto"/>
          <w:kern w:val="0"/>
          <w:sz w:val="24"/>
          <w:szCs w:val="24"/>
          <w:highlight w:val="none"/>
          <w:lang w:val="en-US" w:eastAsia="zh-CN" w:bidi="ar"/>
        </w:rPr>
        <w:t>4．评标保密</w:t>
      </w:r>
      <w:bookmarkEnd w:id="79"/>
      <w:r>
        <w:rPr>
          <w:rFonts w:hint="eastAsia" w:ascii="宋体" w:hAnsi="宋体" w:eastAsia="宋体" w:cs="宋体"/>
          <w:b/>
          <w:bCs/>
          <w:snapToGrid w:val="0"/>
          <w:color w:val="auto"/>
          <w:kern w:val="0"/>
          <w:sz w:val="24"/>
          <w:szCs w:val="24"/>
          <w:highlight w:val="none"/>
          <w:lang w:val="en-US" w:eastAsia="zh-CN" w:bidi="ar"/>
        </w:rPr>
        <w:t xml:space="preserve">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在确认中标供应商之前，凡属于投标文件的审查、澄清、评价和比较及有关授予合同的信息，凡参与评标的所有人员都不得向供应商或与该过程无公务关系的其他人泄露。如果供应商试图对采购人的评标过程或定标决定施加影响，则会导致其投标文件被拒绝。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宋体"/>
          <w:color w:val="auto"/>
          <w:sz w:val="24"/>
          <w:szCs w:val="24"/>
          <w:highlight w:val="none"/>
        </w:rPr>
      </w:pPr>
      <w:bookmarkStart w:id="80" w:name="_Toc30235"/>
      <w:r>
        <w:rPr>
          <w:rFonts w:hint="eastAsia" w:ascii="宋体" w:hAnsi="宋体" w:eastAsia="宋体" w:cs="宋体"/>
          <w:b/>
          <w:bCs/>
          <w:snapToGrid w:val="0"/>
          <w:color w:val="auto"/>
          <w:kern w:val="0"/>
          <w:sz w:val="24"/>
          <w:szCs w:val="24"/>
          <w:highlight w:val="none"/>
          <w:lang w:val="en-US" w:eastAsia="zh-CN" w:bidi="ar"/>
        </w:rPr>
        <w:t>5．评标结果</w:t>
      </w:r>
      <w:bookmarkEnd w:id="80"/>
      <w:r>
        <w:rPr>
          <w:rFonts w:hint="eastAsia" w:ascii="宋体" w:hAnsi="宋体" w:eastAsia="宋体" w:cs="宋体"/>
          <w:b/>
          <w:bCs/>
          <w:snapToGrid w:val="0"/>
          <w:color w:val="auto"/>
          <w:kern w:val="0"/>
          <w:sz w:val="24"/>
          <w:szCs w:val="24"/>
          <w:highlight w:val="none"/>
          <w:lang w:val="en-US" w:eastAsia="zh-CN" w:bidi="ar"/>
        </w:rPr>
        <w:t xml:space="preserve">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评标委员会每位成员根据评标办法和标准，对所有投标文件进行集中审核分别打分后。各评委评分的算术平均值作为该供应商的最终得分，计分取至小数点后两位，计分过程中小数点后第三位四舍五入。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宋体"/>
          <w:color w:val="auto"/>
          <w:sz w:val="24"/>
          <w:szCs w:val="24"/>
          <w:highlight w:val="none"/>
        </w:rPr>
      </w:pPr>
      <w:bookmarkStart w:id="81" w:name="_Toc3732"/>
      <w:r>
        <w:rPr>
          <w:rFonts w:hint="eastAsia" w:ascii="宋体" w:hAnsi="宋体" w:eastAsia="宋体" w:cs="宋体"/>
          <w:b/>
          <w:bCs/>
          <w:snapToGrid w:val="0"/>
          <w:color w:val="auto"/>
          <w:kern w:val="0"/>
          <w:sz w:val="24"/>
          <w:szCs w:val="24"/>
          <w:highlight w:val="none"/>
          <w:lang w:val="en-US" w:eastAsia="zh-CN" w:bidi="ar"/>
        </w:rPr>
        <w:t>6．定标</w:t>
      </w:r>
      <w:bookmarkEnd w:id="81"/>
      <w:r>
        <w:rPr>
          <w:rFonts w:hint="eastAsia" w:ascii="宋体" w:hAnsi="宋体" w:eastAsia="宋体" w:cs="宋体"/>
          <w:b/>
          <w:bCs/>
          <w:snapToGrid w:val="0"/>
          <w:color w:val="auto"/>
          <w:kern w:val="0"/>
          <w:sz w:val="24"/>
          <w:szCs w:val="24"/>
          <w:highlight w:val="none"/>
          <w:lang w:val="en-US" w:eastAsia="zh-CN" w:bidi="ar"/>
        </w:rPr>
        <w:t xml:space="preserve">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评标委员会将向采购人提交评标报告，并按照得分高低的顺序向采购人推荐排序前三名为中标候选供应商，采购人应当接受评标委员会推荐的中标候选供应商，不得在评标委员会推荐的中标候选供应商之外确定中标供应商。排名第一的中标候选供应商因不可抗力放弃中标或提出不能履行合同，采购人可以确定排名第二的中标候选供应商为中标供应商。若三名中标候选供应商均放弃中标的，或者考察全部不合格时，应根据实际情况，按有关规定执行。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宋体"/>
          <w:color w:val="auto"/>
          <w:sz w:val="24"/>
          <w:szCs w:val="24"/>
          <w:highlight w:val="none"/>
        </w:rPr>
      </w:pPr>
      <w:bookmarkStart w:id="82" w:name="_Toc11049"/>
      <w:r>
        <w:rPr>
          <w:rFonts w:hint="eastAsia" w:ascii="宋体" w:hAnsi="宋体" w:eastAsia="宋体" w:cs="宋体"/>
          <w:b/>
          <w:bCs/>
          <w:snapToGrid w:val="0"/>
          <w:color w:val="auto"/>
          <w:kern w:val="0"/>
          <w:sz w:val="24"/>
          <w:szCs w:val="24"/>
          <w:highlight w:val="none"/>
          <w:lang w:val="en-US" w:eastAsia="zh-CN" w:bidi="ar"/>
        </w:rPr>
        <w:t>7.评标的标准</w:t>
      </w:r>
      <w:bookmarkEnd w:id="82"/>
      <w:r>
        <w:rPr>
          <w:rFonts w:hint="eastAsia" w:ascii="宋体" w:hAnsi="宋体" w:eastAsia="宋体" w:cs="宋体"/>
          <w:b/>
          <w:bCs/>
          <w:snapToGrid w:val="0"/>
          <w:color w:val="auto"/>
          <w:kern w:val="0"/>
          <w:sz w:val="24"/>
          <w:szCs w:val="24"/>
          <w:highlight w:val="none"/>
          <w:lang w:val="en-US" w:eastAsia="zh-CN" w:bidi="ar"/>
        </w:rPr>
        <w:t xml:space="preserve">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1"/>
          <w:highlight w:val="none"/>
        </w:rPr>
      </w:pPr>
      <w:r>
        <w:rPr>
          <w:rFonts w:hint="eastAsia" w:ascii="宋体" w:hAnsi="宋体" w:eastAsia="宋体" w:cs="宋体"/>
          <w:snapToGrid w:val="0"/>
          <w:color w:val="auto"/>
          <w:kern w:val="0"/>
          <w:sz w:val="24"/>
          <w:szCs w:val="24"/>
          <w:highlight w:val="none"/>
          <w:lang w:val="en-US" w:eastAsia="zh-CN" w:bidi="ar"/>
        </w:rPr>
        <w:t>评标委员会对初审后满足招标文件实质性要求的投标文件，按照本评分标准进行打分，并按得分由高到低顺序推荐1-3 名中标候选供应商。综合评分相等时，以投标报价低的优先；投标报价也相等的，由采购人自行确定。</w:t>
      </w:r>
    </w:p>
    <w:p>
      <w:pPr>
        <w:keepNext w:val="0"/>
        <w:keepLines w:val="0"/>
        <w:pageBreakBefore w:val="0"/>
        <w:kinsoku/>
        <w:wordWrap w:val="0"/>
        <w:overflowPunct w:val="0"/>
        <w:topLinePunct/>
        <w:autoSpaceDE w:val="0"/>
        <w:autoSpaceDN w:val="0"/>
        <w:bidi w:val="0"/>
        <w:spacing w:line="360" w:lineRule="auto"/>
        <w:rPr>
          <w:rFonts w:hint="eastAsia" w:ascii="宋体" w:hAnsi="宋体" w:eastAsia="宋体" w:cs="宋体"/>
          <w:b/>
          <w:bCs/>
          <w:color w:val="auto"/>
          <w:highlight w:val="none"/>
        </w:rPr>
      </w:pPr>
      <w:bookmarkStart w:id="83" w:name="_Toc9052"/>
      <w:bookmarkStart w:id="84" w:name="_Toc25409"/>
      <w:r>
        <w:rPr>
          <w:rFonts w:hint="eastAsia" w:ascii="宋体" w:hAnsi="宋体" w:eastAsia="宋体" w:cs="宋体"/>
          <w:b/>
          <w:bCs/>
          <w:color w:val="auto"/>
          <w:highlight w:val="none"/>
        </w:rPr>
        <w:t>附件：无效投标的条件</w:t>
      </w:r>
      <w:bookmarkEnd w:id="83"/>
      <w:bookmarkEnd w:id="84"/>
    </w:p>
    <w:p>
      <w:pPr>
        <w:keepNext w:val="0"/>
        <w:keepLines w:val="0"/>
        <w:pageBreakBefore w:val="0"/>
        <w:kinsoku/>
        <w:wordWrap w:val="0"/>
        <w:overflowPunct w:val="0"/>
        <w:topLinePunct/>
        <w:autoSpaceDE w:val="0"/>
        <w:autoSpaceDN w:val="0"/>
        <w:bidi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无效投标的条件</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本附件所集中列示的无效投标条件，是本章“评标办法”的组成部分，是对第二章“投标人须知”和本章正文部分所规定的无效投标条件的总结和补充，如果出现相互矛盾的情况，以第二章“投标人须知”和本章正文部分的规定为准。</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1.未通过评标办法初步评审的；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2.不按评标委员会要求澄清、说明或补正的；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3.投标有效期不满足招标文件要求的；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4.投标报价有算术性错误，投标人不接受修正价格的；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5.以他人的名义投标、以行贿手段谋取中标或者以其他弄虚作假方式投标的；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6.属于串(围) 标行为的；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7.不符合招标文件规定的其他实质性要求及相关法律、法规或规章规定可以否决投标的其他情形。</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bookmarkStart w:id="85" w:name="_Toc2702"/>
      <w:bookmarkStart w:id="86" w:name="_Toc4382"/>
      <w:r>
        <w:rPr>
          <w:rFonts w:hint="eastAsia" w:ascii="宋体" w:hAnsi="宋体" w:eastAsia="宋体" w:cs="宋体"/>
          <w:b/>
          <w:bCs/>
          <w:color w:val="auto"/>
          <w:sz w:val="30"/>
          <w:szCs w:val="30"/>
          <w:highlight w:val="none"/>
          <w:lang w:val="en-US" w:eastAsia="zh-CN"/>
        </w:rPr>
        <w:t>第四章  采购需求</w:t>
      </w:r>
      <w:bookmarkEnd w:id="85"/>
      <w:bookmarkEnd w:id="86"/>
    </w:p>
    <w:p>
      <w:pPr>
        <w:rPr>
          <w:rFonts w:hint="eastAsia"/>
          <w:lang w:val="en-US" w:eastAsia="zh-CN"/>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bookmarkStart w:id="87" w:name="_Toc1077"/>
      <w:bookmarkStart w:id="88" w:name="_Toc14775"/>
      <w:bookmarkStart w:id="89" w:name="_Toc17467"/>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采购需求：供应商需对采购需求做出全文承诺，否则视同不满足本项目采购要求，原则上否决其投标。</w:t>
      </w:r>
      <w:bookmarkEnd w:id="87"/>
      <w:bookmarkEnd w:id="88"/>
      <w:bookmarkEnd w:id="89"/>
      <w:r>
        <w:rPr>
          <w:rFonts w:hint="eastAsia" w:ascii="宋体" w:hAnsi="宋体" w:eastAsia="宋体" w:cs="宋体"/>
          <w:b/>
          <w:bCs/>
          <w:color w:val="auto"/>
          <w:sz w:val="24"/>
          <w:szCs w:val="24"/>
          <w:highlight w:val="none"/>
          <w:lang w:val="en-US" w:eastAsia="zh-CN"/>
        </w:rPr>
        <w:t xml:space="preserve"> </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1、项目概况</w:t>
      </w:r>
      <w:r>
        <w:rPr>
          <w:rFonts w:hint="eastAsia" w:ascii="宋体" w:hAnsi="宋体" w:eastAsia="宋体" w:cs="宋体"/>
          <w:snapToGrid w:val="0"/>
          <w:color w:val="auto"/>
          <w:kern w:val="0"/>
          <w:sz w:val="24"/>
          <w:szCs w:val="24"/>
          <w:highlight w:val="none"/>
          <w:lang w:val="en-US" w:eastAsia="zh-CN" w:bidi="ar"/>
        </w:rPr>
        <w:t>：</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为特殊困难残疾人提供集中托养服务，做好入住机构的残疾人基本生活服务，做好残疾人健康管理工作，做好残疾人常见病及多发病的护理工作，提供适合残疾人的的病理服务工作。</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2、总体要求</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20" w:firstLineChars="200"/>
        <w:jc w:val="left"/>
        <w:textAlignment w:val="baseline"/>
        <w:rPr>
          <w:rFonts w:hint="default"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2.1 投标企业按照招标人要求配备项目所需的医疗设备、后勤设施以及相关专业医护人员（详见3设备要求），同时建立完善的管服务理制度，为残疾人提供生活照料、康复保健训练、心理健康医疗等服务，为服务对象提供贴心的照料服务和温暖的心理关怀。</w:t>
      </w:r>
      <w:r>
        <w:rPr>
          <w:rFonts w:hint="eastAsia" w:ascii="宋体" w:hAnsi="宋体" w:eastAsia="宋体" w:cs="宋体"/>
          <w:b/>
          <w:bCs/>
          <w:color w:val="auto"/>
          <w:highlight w:val="none"/>
          <w:lang w:val="en-US" w:eastAsia="zh-CN"/>
        </w:rPr>
        <w:t>投标人应严格按照要求配备设备及人员，投标文件中应列出相应的承诺，无承诺视为非实质性响应招标文件。</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 本次采用优惠率方式采购，即本项目限价为投标单位承诺提供免费床位数不低于总床位数的30%（即36张床位，免费范围为免除床位费），否则其投标将不被接受，供应商要充分考虑运营成本、项目管理、服务周期、劳务政策等因素，所报优惠率必须根据本项目的实际情况及采购要求报出。合同期内无论何种情况，成交供应商所成交的优惠率均不予调整。</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3、设备及人员配置要求</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20" w:firstLineChars="200"/>
        <w:jc w:val="left"/>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投标人需按照以下要求配置项目运行所需设备并将相应的医护人员配置到位，合同期内不得变更。</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22" w:firstLineChars="200"/>
        <w:jc w:val="left"/>
        <w:textAlignment w:val="baseline"/>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3.1 医疗设备</w:t>
      </w:r>
    </w:p>
    <w:tbl>
      <w:tblPr>
        <w:tblStyle w:val="15"/>
        <w:tblpPr w:leftFromText="180" w:rightFromText="180" w:vertAnchor="text" w:horzAnchor="page" w:tblpX="1576" w:tblpY="928"/>
        <w:tblOverlap w:val="never"/>
        <w:tblW w:w="4536" w:type="pct"/>
        <w:tblInd w:w="0" w:type="dxa"/>
        <w:tblLayout w:type="autofit"/>
        <w:tblCellMar>
          <w:top w:w="0" w:type="dxa"/>
          <w:left w:w="108" w:type="dxa"/>
          <w:bottom w:w="0" w:type="dxa"/>
          <w:right w:w="108" w:type="dxa"/>
        </w:tblCellMar>
      </w:tblPr>
      <w:tblGrid>
        <w:gridCol w:w="894"/>
        <w:gridCol w:w="3525"/>
        <w:gridCol w:w="2006"/>
        <w:gridCol w:w="2424"/>
      </w:tblGrid>
      <w:tr>
        <w:tblPrEx>
          <w:tblCellMar>
            <w:top w:w="0" w:type="dxa"/>
            <w:left w:w="108" w:type="dxa"/>
            <w:bottom w:w="0" w:type="dxa"/>
            <w:right w:w="108" w:type="dxa"/>
          </w:tblCellMar>
        </w:tblPrEx>
        <w:trPr>
          <w:trHeight w:val="312" w:hRule="atLeast"/>
        </w:trPr>
        <w:tc>
          <w:tcPr>
            <w:tcW w:w="505" w:type="pct"/>
            <w:vMerge w:val="restart"/>
            <w:tcBorders>
              <w:top w:val="single" w:color="auto" w:sz="4" w:space="0"/>
              <w:left w:val="single" w:color="auto" w:sz="4" w:space="0"/>
              <w:bottom w:val="single" w:color="auto" w:sz="4" w:space="0"/>
              <w:right w:val="single" w:color="000000" w:sz="8" w:space="0"/>
            </w:tcBorders>
            <w:shd w:val="clear" w:color="auto" w:fill="auto"/>
            <w:noWrap/>
            <w:vAlign w:val="center"/>
          </w:tcPr>
          <w:p>
            <w:pPr>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991" w:type="pct"/>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设备名称　</w:t>
            </w:r>
          </w:p>
        </w:tc>
        <w:tc>
          <w:tcPr>
            <w:tcW w:w="1133" w:type="pct"/>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b/>
                <w:bCs/>
                <w:snapToGrid w:val="0"/>
                <w:color w:val="000000"/>
                <w:kern w:val="0"/>
                <w:sz w:val="18"/>
                <w:szCs w:val="18"/>
              </w:rPr>
            </w:pPr>
            <w:r>
              <w:rPr>
                <w:rFonts w:hint="eastAsia" w:ascii="宋体" w:hAnsi="宋体" w:eastAsia="宋体" w:cs="宋体"/>
                <w:b/>
                <w:bCs/>
                <w:color w:val="000000"/>
                <w:kern w:val="0"/>
                <w:sz w:val="18"/>
                <w:szCs w:val="18"/>
              </w:rPr>
              <w:t>单位</w:t>
            </w:r>
          </w:p>
        </w:tc>
        <w:tc>
          <w:tcPr>
            <w:tcW w:w="1369" w:type="pct"/>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r>
      <w:tr>
        <w:tblPrEx>
          <w:tblCellMar>
            <w:top w:w="0" w:type="dxa"/>
            <w:left w:w="108" w:type="dxa"/>
            <w:bottom w:w="0" w:type="dxa"/>
            <w:right w:w="108" w:type="dxa"/>
          </w:tblCellMar>
        </w:tblPrEx>
        <w:trPr>
          <w:trHeight w:val="312" w:hRule="atLeast"/>
        </w:trPr>
        <w:tc>
          <w:tcPr>
            <w:tcW w:w="505"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18"/>
                <w:szCs w:val="18"/>
              </w:rPr>
            </w:pPr>
          </w:p>
        </w:tc>
        <w:tc>
          <w:tcPr>
            <w:tcW w:w="19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18"/>
                <w:szCs w:val="18"/>
              </w:rPr>
            </w:pPr>
          </w:p>
        </w:tc>
        <w:tc>
          <w:tcPr>
            <w:tcW w:w="113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rPr>
                <w:rFonts w:ascii="宋体" w:hAnsi="宋体" w:eastAsia="宋体" w:cs="宋体"/>
                <w:b/>
                <w:bCs/>
                <w:snapToGrid w:val="0"/>
                <w:color w:val="000000"/>
                <w:kern w:val="0"/>
                <w:sz w:val="18"/>
                <w:szCs w:val="18"/>
              </w:rPr>
            </w:pPr>
          </w:p>
        </w:tc>
        <w:tc>
          <w:tcPr>
            <w:tcW w:w="136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310" w:hRule="atLeast"/>
        </w:trPr>
        <w:tc>
          <w:tcPr>
            <w:tcW w:w="505" w:type="pct"/>
            <w:tcBorders>
              <w:top w:val="single" w:color="auto" w:sz="4"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991" w:type="pct"/>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多功能神经康复诊疗系统</w:t>
            </w:r>
          </w:p>
        </w:tc>
        <w:tc>
          <w:tcPr>
            <w:tcW w:w="1133" w:type="pct"/>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经皮穴位电刺激仪</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半导体微波治疗仪</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神经康复功能评定系统</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腰背训练器</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红外光灸疗机</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智能磨砂板</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智能运动康复机</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艾灸治疗仪</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auto" w:sz="4"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991" w:type="pct"/>
            <w:tcBorders>
              <w:top w:val="nil"/>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吞咽神经和肌肉电刺激仪</w:t>
            </w:r>
          </w:p>
        </w:tc>
        <w:tc>
          <w:tcPr>
            <w:tcW w:w="1133" w:type="pct"/>
            <w:tcBorders>
              <w:top w:val="nil"/>
              <w:left w:val="nil"/>
              <w:bottom w:val="single" w:color="auto" w:sz="4"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991" w:type="pc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下肢功率车</w:t>
            </w:r>
          </w:p>
        </w:tc>
        <w:tc>
          <w:tcPr>
            <w:tcW w:w="1133" w:type="pc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single" w:color="auto" w:sz="4"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991" w:type="pct"/>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鹘关节训练器</w:t>
            </w:r>
          </w:p>
        </w:tc>
        <w:tc>
          <w:tcPr>
            <w:tcW w:w="1133" w:type="pct"/>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多关键主被动训练仪</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上肢关节康复训练器</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下肢关节康复训练器</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auto" w:sz="4"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991" w:type="pct"/>
            <w:tcBorders>
              <w:top w:val="nil"/>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PT 训练床</w:t>
            </w:r>
          </w:p>
        </w:tc>
        <w:tc>
          <w:tcPr>
            <w:tcW w:w="1133" w:type="pct"/>
            <w:tcBorders>
              <w:top w:val="nil"/>
              <w:left w:val="nil"/>
              <w:bottom w:val="single" w:color="auto" w:sz="4"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r>
      <w:tr>
        <w:tblPrEx>
          <w:tblCellMar>
            <w:top w:w="0" w:type="dxa"/>
            <w:left w:w="108" w:type="dxa"/>
            <w:bottom w:w="0" w:type="dxa"/>
            <w:right w:w="108" w:type="dxa"/>
          </w:tblCellMar>
        </w:tblPrEx>
        <w:trPr>
          <w:trHeight w:val="322" w:hRule="atLeast"/>
        </w:trPr>
        <w:tc>
          <w:tcPr>
            <w:tcW w:w="505" w:type="pct"/>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991" w:type="pc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经颅磁脑病生理治疗仪</w:t>
            </w:r>
          </w:p>
        </w:tc>
        <w:tc>
          <w:tcPr>
            <w:tcW w:w="1133" w:type="pct"/>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single" w:color="auto" w:sz="4"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991" w:type="pct"/>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脑电仿生电刺激仪</w:t>
            </w:r>
          </w:p>
        </w:tc>
        <w:tc>
          <w:tcPr>
            <w:tcW w:w="1133" w:type="pct"/>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超声波治疗仪</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复合超声关节炎治疗仪</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智能红外光炎疗仪</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超短波电疗机</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多功能神经康复诊疗系统</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干扰电治疗仪</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短波治疗仪</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电针仪</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TOP 神灯</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急救车</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不锈钢治疗车</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r>
      <w:tr>
        <w:tblPrEx>
          <w:tblCellMar>
            <w:top w:w="0" w:type="dxa"/>
            <w:left w:w="108" w:type="dxa"/>
            <w:bottom w:w="0" w:type="dxa"/>
            <w:right w:w="108" w:type="dxa"/>
          </w:tblCellMar>
        </w:tblPrEx>
        <w:trPr>
          <w:trHeight w:val="322"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体重秤</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345" w:hRule="atLeast"/>
        </w:trPr>
        <w:tc>
          <w:tcPr>
            <w:tcW w:w="50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99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移动式空气消毒机</w:t>
            </w:r>
          </w:p>
        </w:tc>
        <w:tc>
          <w:tcPr>
            <w:tcW w:w="11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snapToGrid w:val="0"/>
                <w:color w:val="000000"/>
                <w:kern w:val="0"/>
                <w:sz w:val="18"/>
                <w:szCs w:val="18"/>
              </w:rPr>
            </w:pPr>
            <w:r>
              <w:rPr>
                <w:rFonts w:hint="eastAsia" w:ascii="宋体" w:hAnsi="宋体" w:eastAsia="宋体" w:cs="宋体"/>
                <w:color w:val="000000"/>
                <w:kern w:val="0"/>
                <w:sz w:val="18"/>
                <w:szCs w:val="18"/>
              </w:rPr>
              <w:t>台</w:t>
            </w:r>
          </w:p>
        </w:tc>
        <w:tc>
          <w:tcPr>
            <w:tcW w:w="1369"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bl>
    <w:tbl>
      <w:tblPr>
        <w:tblStyle w:val="16"/>
        <w:tblpPr w:leftFromText="180" w:rightFromText="180" w:vertAnchor="page" w:horzAnchor="page" w:tblpX="1726" w:tblpY="10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gridCol w:w="3829"/>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c>
          <w:tcPr>
            <w:tcW w:w="3829"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规格</w:t>
            </w: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TCL电视</w:t>
            </w:r>
          </w:p>
        </w:tc>
        <w:tc>
          <w:tcPr>
            <w:tcW w:w="3829"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32寸</w:t>
            </w: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美的热水器</w:t>
            </w:r>
          </w:p>
        </w:tc>
        <w:tc>
          <w:tcPr>
            <w:tcW w:w="3829"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60升</w:t>
            </w: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开水器</w:t>
            </w:r>
          </w:p>
        </w:tc>
        <w:tc>
          <w:tcPr>
            <w:tcW w:w="3829"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6千瓦</w:t>
            </w: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窗帘</w:t>
            </w:r>
          </w:p>
        </w:tc>
        <w:tc>
          <w:tcPr>
            <w:tcW w:w="3829" w:type="dxa"/>
          </w:tcPr>
          <w:p>
            <w:pPr>
              <w:widowControl/>
              <w:jc w:val="center"/>
              <w:rPr>
                <w:rFonts w:ascii="宋体" w:hAnsi="宋体" w:eastAsia="宋体" w:cs="宋体"/>
                <w:color w:val="000000"/>
                <w:kern w:val="0"/>
                <w:sz w:val="18"/>
                <w:szCs w:val="18"/>
              </w:rPr>
            </w:pP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双摇床</w:t>
            </w:r>
          </w:p>
        </w:tc>
        <w:tc>
          <w:tcPr>
            <w:tcW w:w="3829"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床垫+轮子+护栏</w:t>
            </w: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床头柜</w:t>
            </w:r>
          </w:p>
        </w:tc>
        <w:tc>
          <w:tcPr>
            <w:tcW w:w="3829" w:type="dxa"/>
          </w:tcPr>
          <w:p>
            <w:pPr>
              <w:widowControl/>
              <w:jc w:val="center"/>
              <w:rPr>
                <w:rFonts w:ascii="宋体" w:hAnsi="宋体" w:eastAsia="宋体" w:cs="宋体"/>
                <w:color w:val="000000"/>
                <w:kern w:val="0"/>
                <w:sz w:val="18"/>
                <w:szCs w:val="18"/>
              </w:rPr>
            </w:pP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床单</w:t>
            </w:r>
          </w:p>
        </w:tc>
        <w:tc>
          <w:tcPr>
            <w:tcW w:w="3829" w:type="dxa"/>
          </w:tcPr>
          <w:p>
            <w:pPr>
              <w:widowControl/>
              <w:jc w:val="center"/>
              <w:rPr>
                <w:rFonts w:ascii="宋体" w:hAnsi="宋体" w:eastAsia="宋体" w:cs="宋体"/>
                <w:color w:val="000000"/>
                <w:kern w:val="0"/>
                <w:sz w:val="18"/>
                <w:szCs w:val="18"/>
              </w:rPr>
            </w:pP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被罩</w:t>
            </w:r>
          </w:p>
        </w:tc>
        <w:tc>
          <w:tcPr>
            <w:tcW w:w="3829" w:type="dxa"/>
          </w:tcPr>
          <w:p>
            <w:pPr>
              <w:widowControl/>
              <w:jc w:val="center"/>
              <w:rPr>
                <w:rFonts w:ascii="宋体" w:hAnsi="宋体" w:eastAsia="宋体" w:cs="宋体"/>
                <w:color w:val="000000"/>
                <w:kern w:val="0"/>
                <w:sz w:val="18"/>
                <w:szCs w:val="18"/>
              </w:rPr>
            </w:pP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枕套</w:t>
            </w:r>
          </w:p>
        </w:tc>
        <w:tc>
          <w:tcPr>
            <w:tcW w:w="3829" w:type="dxa"/>
          </w:tcPr>
          <w:p>
            <w:pPr>
              <w:widowControl/>
              <w:jc w:val="center"/>
              <w:rPr>
                <w:rFonts w:ascii="宋体" w:hAnsi="宋体" w:eastAsia="宋体" w:cs="宋体"/>
                <w:color w:val="000000"/>
                <w:kern w:val="0"/>
                <w:sz w:val="18"/>
                <w:szCs w:val="18"/>
              </w:rPr>
            </w:pP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被子</w:t>
            </w:r>
          </w:p>
        </w:tc>
        <w:tc>
          <w:tcPr>
            <w:tcW w:w="3829" w:type="dxa"/>
          </w:tcPr>
          <w:p>
            <w:pPr>
              <w:widowControl/>
              <w:jc w:val="center"/>
              <w:rPr>
                <w:rFonts w:ascii="宋体" w:hAnsi="宋体" w:eastAsia="宋体" w:cs="宋体"/>
                <w:color w:val="000000"/>
                <w:kern w:val="0"/>
                <w:sz w:val="18"/>
                <w:szCs w:val="18"/>
              </w:rPr>
            </w:pP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褥子</w:t>
            </w:r>
          </w:p>
        </w:tc>
        <w:tc>
          <w:tcPr>
            <w:tcW w:w="3829" w:type="dxa"/>
          </w:tcPr>
          <w:p>
            <w:pPr>
              <w:widowControl/>
              <w:jc w:val="center"/>
              <w:rPr>
                <w:rFonts w:ascii="宋体" w:hAnsi="宋体" w:eastAsia="宋体" w:cs="宋体"/>
                <w:color w:val="000000"/>
                <w:kern w:val="0"/>
                <w:sz w:val="18"/>
                <w:szCs w:val="18"/>
              </w:rPr>
            </w:pP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枕芯</w:t>
            </w:r>
          </w:p>
        </w:tc>
        <w:tc>
          <w:tcPr>
            <w:tcW w:w="3829" w:type="dxa"/>
          </w:tcPr>
          <w:p>
            <w:pPr>
              <w:widowControl/>
              <w:jc w:val="center"/>
              <w:rPr>
                <w:rFonts w:ascii="宋体" w:hAnsi="宋体" w:eastAsia="宋体" w:cs="宋体"/>
                <w:color w:val="000000"/>
                <w:kern w:val="0"/>
                <w:sz w:val="18"/>
                <w:szCs w:val="18"/>
              </w:rPr>
            </w:pP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轮椅</w:t>
            </w:r>
          </w:p>
        </w:tc>
        <w:tc>
          <w:tcPr>
            <w:tcW w:w="3829" w:type="dxa"/>
          </w:tcPr>
          <w:p>
            <w:pPr>
              <w:widowControl/>
              <w:jc w:val="center"/>
              <w:rPr>
                <w:rFonts w:ascii="宋体" w:hAnsi="宋体" w:eastAsia="宋体" w:cs="宋体"/>
                <w:color w:val="000000"/>
                <w:kern w:val="0"/>
                <w:sz w:val="18"/>
                <w:szCs w:val="18"/>
              </w:rPr>
            </w:pP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衣柜</w:t>
            </w:r>
          </w:p>
        </w:tc>
        <w:tc>
          <w:tcPr>
            <w:tcW w:w="3829" w:type="dxa"/>
          </w:tcPr>
          <w:p>
            <w:pPr>
              <w:widowControl/>
              <w:jc w:val="center"/>
              <w:rPr>
                <w:rFonts w:ascii="宋体" w:hAnsi="宋体" w:eastAsia="宋体" w:cs="宋体"/>
                <w:color w:val="000000"/>
                <w:kern w:val="0"/>
                <w:sz w:val="18"/>
                <w:szCs w:val="18"/>
              </w:rPr>
            </w:pP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办公桌</w:t>
            </w:r>
          </w:p>
        </w:tc>
        <w:tc>
          <w:tcPr>
            <w:tcW w:w="3829" w:type="dxa"/>
          </w:tcPr>
          <w:p>
            <w:pPr>
              <w:widowControl/>
              <w:jc w:val="center"/>
              <w:rPr>
                <w:rFonts w:ascii="宋体" w:hAnsi="宋体" w:eastAsia="宋体" w:cs="宋体"/>
                <w:color w:val="000000"/>
                <w:kern w:val="0"/>
                <w:sz w:val="18"/>
                <w:szCs w:val="18"/>
              </w:rPr>
            </w:pP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办公椅</w:t>
            </w:r>
          </w:p>
        </w:tc>
        <w:tc>
          <w:tcPr>
            <w:tcW w:w="3829" w:type="dxa"/>
          </w:tcPr>
          <w:p>
            <w:pPr>
              <w:widowControl/>
              <w:jc w:val="center"/>
              <w:rPr>
                <w:rFonts w:ascii="宋体" w:hAnsi="宋体" w:eastAsia="宋体" w:cs="宋体"/>
                <w:color w:val="000000"/>
                <w:kern w:val="0"/>
                <w:sz w:val="18"/>
                <w:szCs w:val="18"/>
              </w:rPr>
            </w:pP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97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资料柜</w:t>
            </w:r>
          </w:p>
        </w:tc>
        <w:tc>
          <w:tcPr>
            <w:tcW w:w="3829" w:type="dxa"/>
          </w:tcPr>
          <w:p>
            <w:pPr>
              <w:widowControl/>
              <w:jc w:val="center"/>
              <w:rPr>
                <w:rFonts w:ascii="宋体" w:hAnsi="宋体" w:eastAsia="宋体" w:cs="宋体"/>
                <w:color w:val="000000"/>
                <w:kern w:val="0"/>
                <w:sz w:val="18"/>
                <w:szCs w:val="18"/>
              </w:rPr>
            </w:pPr>
          </w:p>
        </w:tc>
        <w:tc>
          <w:tcPr>
            <w:tcW w:w="210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20个</w:t>
            </w:r>
          </w:p>
        </w:tc>
      </w:tr>
    </w:tbl>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723" w:firstLineChars="300"/>
        <w:jc w:val="left"/>
        <w:textAlignment w:val="baseline"/>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3.2 后勤设备</w:t>
      </w:r>
    </w:p>
    <w:p>
      <w:pPr>
        <w:widowControl/>
        <w:jc w:val="center"/>
        <w:rPr>
          <w:rFonts w:ascii="宋体" w:hAnsi="宋体" w:eastAsia="宋体" w:cs="宋体"/>
          <w:color w:val="000000"/>
          <w:kern w:val="0"/>
          <w:sz w:val="18"/>
          <w:szCs w:val="18"/>
        </w:rPr>
      </w:pP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rPr>
          <w:rFonts w:hint="default"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3.3 信息化设备</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20" w:firstLineChars="200"/>
        <w:jc w:val="left"/>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网络交换机及光纤1套、床旁呼叫系统1套、电脑12台、打印机20台、养老管理系统1套、监控1套、网络电视30套。</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3.4 人员配备要求</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具体护理员的人数需要根据实际入住老人的身体状况来配备，按照120张床位成立一个护理单，需要3名执业护士；能自理老人的护理员配置比例1:6，需要20名护理员；半自理老人的护理员配置比例1:4，需要30名护理员；不能自理老人的护理员配置比例1:3，需要40名护理员。 </w:t>
      </w: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723" w:firstLineChars="300"/>
        <w:jc w:val="left"/>
        <w:textAlignment w:val="baseline"/>
        <w:rPr>
          <w:rFonts w:hint="eastAsia" w:ascii="宋体" w:hAnsi="宋体" w:eastAsia="宋体" w:cs="宋体"/>
          <w:b/>
          <w:bCs/>
          <w:snapToGrid w:val="0"/>
          <w:color w:val="auto"/>
          <w:kern w:val="0"/>
          <w:sz w:val="24"/>
          <w:szCs w:val="24"/>
          <w:highlight w:val="none"/>
          <w:lang w:val="en-US" w:eastAsia="zh-CN" w:bidi="ar"/>
        </w:rPr>
      </w:pPr>
    </w:p>
    <w:p>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723" w:firstLineChars="300"/>
        <w:jc w:val="left"/>
        <w:textAlignment w:val="baseline"/>
        <w:rPr>
          <w:rFonts w:hint="default" w:ascii="宋体" w:hAnsi="宋体" w:eastAsia="宋体" w:cs="宋体"/>
          <w:b/>
          <w:bCs/>
          <w:snapToGrid w:val="0"/>
          <w:color w:val="auto"/>
          <w:kern w:val="0"/>
          <w:sz w:val="24"/>
          <w:szCs w:val="24"/>
          <w:highlight w:val="none"/>
          <w:lang w:val="en-US" w:eastAsia="zh-CN" w:bidi="ar"/>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bookmarkStart w:id="90" w:name="_Toc2561"/>
      <w:bookmarkStart w:id="91" w:name="_Toc29518"/>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t>第五章 政府采购合同（参考）</w:t>
      </w:r>
      <w:bookmarkEnd w:id="90"/>
      <w:bookmarkEnd w:id="91"/>
    </w:p>
    <w:p>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(以实际签订合同为准)</w:t>
      </w:r>
    </w:p>
    <w:p>
      <w:pPr>
        <w:keepNext w:val="0"/>
        <w:keepLines w:val="0"/>
        <w:pageBreakBefore w:val="0"/>
        <w:kinsoku/>
        <w:wordWrap w:val="0"/>
        <w:overflowPunct w:val="0"/>
        <w:topLinePunct/>
        <w:autoSpaceDE w:val="0"/>
        <w:autoSpaceDN w:val="0"/>
        <w:bidi w:val="0"/>
        <w:spacing w:before="253" w:line="418"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服务合同</w:t>
      </w:r>
    </w:p>
    <w:p>
      <w:pPr>
        <w:keepNext w:val="0"/>
        <w:keepLines w:val="0"/>
        <w:pageBreakBefore w:val="0"/>
        <w:widowControl/>
        <w:kinsoku/>
        <w:wordWrap w:val="0"/>
        <w:overflowPunct w:val="0"/>
        <w:topLinePunct/>
        <w:autoSpaceDE w:val="0"/>
        <w:autoSpaceDN w:val="0"/>
        <w:bidi w:val="0"/>
        <w:adjustRightInd w:val="0"/>
        <w:snapToGrid w:val="0"/>
        <w:spacing w:before="199" w:line="400" w:lineRule="exact"/>
        <w:ind w:left="43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发包人</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(甲方)</w:t>
      </w:r>
    </w:p>
    <w:p>
      <w:pPr>
        <w:keepNext w:val="0"/>
        <w:keepLines w:val="0"/>
        <w:pageBreakBefore w:val="0"/>
        <w:widowControl/>
        <w:kinsoku/>
        <w:wordWrap w:val="0"/>
        <w:overflowPunct w:val="0"/>
        <w:topLinePunct/>
        <w:autoSpaceDE w:val="0"/>
        <w:autoSpaceDN w:val="0"/>
        <w:bidi w:val="0"/>
        <w:adjustRightInd w:val="0"/>
        <w:snapToGrid w:val="0"/>
        <w:spacing w:before="1"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承包</w:t>
      </w:r>
      <w:r>
        <w:rPr>
          <w:rFonts w:hint="eastAsia" w:ascii="宋体" w:hAnsi="宋体" w:eastAsia="宋体" w:cs="宋体"/>
          <w:color w:val="auto"/>
          <w:spacing w:val="-3"/>
          <w:sz w:val="21"/>
          <w:szCs w:val="21"/>
          <w:highlight w:val="none"/>
        </w:rPr>
        <w:t>人：</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(乙方)</w:t>
      </w:r>
    </w:p>
    <w:p>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9" w:right="16" w:firstLine="4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根据《中</w:t>
      </w:r>
      <w:r>
        <w:rPr>
          <w:rFonts w:hint="eastAsia" w:ascii="宋体" w:hAnsi="宋体" w:eastAsia="宋体" w:cs="宋体"/>
          <w:color w:val="auto"/>
          <w:spacing w:val="9"/>
          <w:sz w:val="21"/>
          <w:szCs w:val="21"/>
          <w:highlight w:val="none"/>
        </w:rPr>
        <w:t>华</w:t>
      </w:r>
      <w:r>
        <w:rPr>
          <w:rFonts w:hint="eastAsia" w:ascii="宋体" w:hAnsi="宋体" w:eastAsia="宋体" w:cs="宋体"/>
          <w:color w:val="auto"/>
          <w:spacing w:val="8"/>
          <w:sz w:val="21"/>
          <w:szCs w:val="21"/>
          <w:highlight w:val="none"/>
        </w:rPr>
        <w:t>人民共和国</w:t>
      </w:r>
      <w:r>
        <w:rPr>
          <w:rFonts w:hint="eastAsia" w:ascii="宋体" w:hAnsi="宋体" w:eastAsia="宋体" w:cs="宋体"/>
          <w:color w:val="auto"/>
          <w:spacing w:val="8"/>
          <w:sz w:val="21"/>
          <w:szCs w:val="21"/>
          <w:highlight w:val="none"/>
          <w:lang w:val="en-US" w:eastAsia="zh-CN"/>
        </w:rPr>
        <w:t>民法典</w:t>
      </w:r>
      <w:r>
        <w:rPr>
          <w:rFonts w:hint="eastAsia" w:ascii="宋体" w:hAnsi="宋体" w:eastAsia="宋体" w:cs="宋体"/>
          <w:color w:val="auto"/>
          <w:spacing w:val="8"/>
          <w:sz w:val="21"/>
          <w:szCs w:val="21"/>
          <w:highlight w:val="none"/>
        </w:rPr>
        <w:t>》有关规定，为保证所购的服务质量，明确双方的权利义务，甲乙双</w:t>
      </w:r>
      <w:r>
        <w:rPr>
          <w:rFonts w:hint="eastAsia" w:ascii="宋体" w:hAnsi="宋体" w:eastAsia="宋体" w:cs="宋体"/>
          <w:color w:val="auto"/>
          <w:spacing w:val="10"/>
          <w:sz w:val="21"/>
          <w:szCs w:val="21"/>
          <w:highlight w:val="none"/>
        </w:rPr>
        <w:t>方在平</w:t>
      </w:r>
      <w:r>
        <w:rPr>
          <w:rFonts w:hint="eastAsia" w:ascii="宋体" w:hAnsi="宋体" w:eastAsia="宋体" w:cs="宋体"/>
          <w:color w:val="auto"/>
          <w:spacing w:val="8"/>
          <w:sz w:val="21"/>
          <w:szCs w:val="21"/>
          <w:highlight w:val="none"/>
        </w:rPr>
        <w:t>等</w:t>
      </w:r>
      <w:r>
        <w:rPr>
          <w:rFonts w:hint="eastAsia" w:ascii="宋体" w:hAnsi="宋体" w:eastAsia="宋体" w:cs="宋体"/>
          <w:color w:val="auto"/>
          <w:spacing w:val="5"/>
          <w:sz w:val="21"/>
          <w:szCs w:val="21"/>
          <w:highlight w:val="none"/>
        </w:rPr>
        <w:t>、自愿、协商一致的基础上，就有关事宜达成如下协议：</w:t>
      </w:r>
    </w:p>
    <w:p>
      <w:pPr>
        <w:keepNext w:val="0"/>
        <w:keepLines w:val="0"/>
        <w:pageBreakBefore w:val="0"/>
        <w:widowControl/>
        <w:kinsoku/>
        <w:wordWrap w:val="0"/>
        <w:overflowPunct w:val="0"/>
        <w:topLinePunct/>
        <w:autoSpaceDE w:val="0"/>
        <w:autoSpaceDN w:val="0"/>
        <w:bidi w:val="0"/>
        <w:adjustRightInd w:val="0"/>
        <w:snapToGrid w:val="0"/>
        <w:spacing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第</w:t>
      </w:r>
      <w:r>
        <w:rPr>
          <w:rFonts w:hint="eastAsia" w:ascii="宋体" w:hAnsi="宋体" w:eastAsia="宋体" w:cs="宋体"/>
          <w:color w:val="auto"/>
          <w:spacing w:val="8"/>
          <w:sz w:val="21"/>
          <w:szCs w:val="21"/>
          <w:highlight w:val="none"/>
        </w:rPr>
        <w:t>一条：项目内容</w:t>
      </w:r>
    </w:p>
    <w:p>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position w:val="15"/>
          <w:sz w:val="21"/>
          <w:szCs w:val="21"/>
          <w:highlight w:val="none"/>
        </w:rPr>
        <w:t>招</w:t>
      </w:r>
      <w:r>
        <w:rPr>
          <w:rFonts w:hint="eastAsia" w:ascii="宋体" w:hAnsi="宋体" w:eastAsia="宋体" w:cs="宋体"/>
          <w:color w:val="auto"/>
          <w:spacing w:val="9"/>
          <w:position w:val="15"/>
          <w:sz w:val="21"/>
          <w:szCs w:val="21"/>
          <w:highlight w:val="none"/>
        </w:rPr>
        <w:t>标文件中所涉及的相关作业内容</w:t>
      </w:r>
    </w:p>
    <w:p>
      <w:pPr>
        <w:keepNext w:val="0"/>
        <w:keepLines w:val="0"/>
        <w:pageBreakBefore w:val="0"/>
        <w:widowControl/>
        <w:kinsoku/>
        <w:wordWrap w:val="0"/>
        <w:overflowPunct w:val="0"/>
        <w:topLinePunct/>
        <w:autoSpaceDE w:val="0"/>
        <w:autoSpaceDN w:val="0"/>
        <w:bidi w:val="0"/>
        <w:adjustRightInd w:val="0"/>
        <w:snapToGrid w:val="0"/>
        <w:spacing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第</w:t>
      </w:r>
      <w:r>
        <w:rPr>
          <w:rFonts w:hint="eastAsia" w:ascii="宋体" w:hAnsi="宋体" w:eastAsia="宋体" w:cs="宋体"/>
          <w:color w:val="auto"/>
          <w:spacing w:val="9"/>
          <w:sz w:val="21"/>
          <w:szCs w:val="21"/>
          <w:highlight w:val="none"/>
        </w:rPr>
        <w:t>二条：服务项目及要求</w:t>
      </w:r>
    </w:p>
    <w:p>
      <w:pPr>
        <w:keepNext w:val="0"/>
        <w:keepLines w:val="0"/>
        <w:pageBreakBefore w:val="0"/>
        <w:widowControl/>
        <w:kinsoku/>
        <w:wordWrap w:val="0"/>
        <w:overflowPunct w:val="0"/>
        <w:topLinePunct/>
        <w:autoSpaceDE w:val="0"/>
        <w:autoSpaceDN w:val="0"/>
        <w:bidi w:val="0"/>
        <w:adjustRightInd w:val="0"/>
        <w:snapToGrid w:val="0"/>
        <w:spacing w:before="163" w:line="400" w:lineRule="exact"/>
        <w:ind w:left="4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采</w:t>
      </w:r>
      <w:r>
        <w:rPr>
          <w:rFonts w:hint="eastAsia" w:ascii="宋体" w:hAnsi="宋体" w:eastAsia="宋体" w:cs="宋体"/>
          <w:color w:val="auto"/>
          <w:spacing w:val="9"/>
          <w:sz w:val="21"/>
          <w:szCs w:val="21"/>
          <w:highlight w:val="none"/>
        </w:rPr>
        <w:t>购项目需求及有关要求</w:t>
      </w:r>
    </w:p>
    <w:p>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position w:val="15"/>
          <w:sz w:val="21"/>
          <w:szCs w:val="21"/>
          <w:highlight w:val="none"/>
        </w:rPr>
        <w:t>第</w:t>
      </w:r>
      <w:r>
        <w:rPr>
          <w:rFonts w:hint="eastAsia" w:ascii="宋体" w:hAnsi="宋体" w:eastAsia="宋体" w:cs="宋体"/>
          <w:color w:val="auto"/>
          <w:spacing w:val="9"/>
          <w:position w:val="15"/>
          <w:sz w:val="21"/>
          <w:szCs w:val="21"/>
          <w:highlight w:val="none"/>
        </w:rPr>
        <w:t>三条：项目经费使用原则及支付方式</w:t>
      </w:r>
    </w:p>
    <w:p>
      <w:pPr>
        <w:keepNext w:val="0"/>
        <w:keepLines w:val="0"/>
        <w:pageBreakBefore w:val="0"/>
        <w:widowControl/>
        <w:kinsoku/>
        <w:wordWrap w:val="0"/>
        <w:overflowPunct w:val="0"/>
        <w:topLinePunct/>
        <w:autoSpaceDE w:val="0"/>
        <w:autoSpaceDN w:val="0"/>
        <w:bidi w:val="0"/>
        <w:adjustRightInd w:val="0"/>
        <w:snapToGrid w:val="0"/>
        <w:spacing w:line="400" w:lineRule="exact"/>
        <w:ind w:left="44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1、合同购买服务价款总</w:t>
      </w:r>
      <w:r>
        <w:rPr>
          <w:rFonts w:hint="eastAsia" w:ascii="宋体" w:hAnsi="宋体" w:eastAsia="宋体" w:cs="宋体"/>
          <w:color w:val="auto"/>
          <w:sz w:val="21"/>
          <w:szCs w:val="21"/>
          <w:highlight w:val="none"/>
        </w:rPr>
        <w:t>额为：</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(大写)</w:t>
      </w:r>
    </w:p>
    <w:p>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43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w:t>
      </w:r>
      <w:r>
        <w:rPr>
          <w:rFonts w:hint="eastAsia" w:ascii="宋体" w:hAnsi="宋体" w:eastAsia="宋体" w:cs="宋体"/>
          <w:color w:val="auto"/>
          <w:spacing w:val="5"/>
          <w:sz w:val="21"/>
          <w:szCs w:val="21"/>
          <w:highlight w:val="none"/>
        </w:rPr>
        <w:t>项目经费确保专款专用，支付方式： 由财政统一按月划拨，每月支付年作业经费的 1/12。</w:t>
      </w:r>
    </w:p>
    <w:p>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431"/>
        <w:textAlignment w:val="baseline"/>
        <w:rPr>
          <w:rFonts w:hint="eastAsia" w:ascii="宋体" w:hAnsi="宋体" w:eastAsia="宋体" w:cs="宋体"/>
          <w:color w:val="auto"/>
          <w:spacing w:val="5"/>
          <w:sz w:val="21"/>
          <w:szCs w:val="21"/>
          <w:highlight w:val="none"/>
        </w:rPr>
      </w:pPr>
      <w:r>
        <w:rPr>
          <w:rFonts w:hint="eastAsia" w:ascii="宋体" w:hAnsi="宋体" w:eastAsia="宋体" w:cs="宋体"/>
          <w:b/>
          <w:bCs/>
          <w:color w:val="auto"/>
          <w:spacing w:val="5"/>
          <w:sz w:val="21"/>
          <w:szCs w:val="21"/>
          <w:highlight w:val="none"/>
        </w:rPr>
        <w:t>3、甲方按月考核，每月考核结果在当月服务费中直接扣除。</w:t>
      </w:r>
    </w:p>
    <w:p>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第</w:t>
      </w:r>
      <w:r>
        <w:rPr>
          <w:rFonts w:hint="eastAsia" w:ascii="宋体" w:hAnsi="宋体" w:eastAsia="宋体" w:cs="宋体"/>
          <w:color w:val="auto"/>
          <w:spacing w:val="9"/>
          <w:sz w:val="21"/>
          <w:szCs w:val="21"/>
          <w:highlight w:val="none"/>
        </w:rPr>
        <w:t>四条：合同期限与终止</w:t>
      </w:r>
    </w:p>
    <w:p>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4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1、合同期限为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年/月</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 xml:space="preserve"> 自</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月</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日起至</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日止。</w:t>
      </w:r>
    </w:p>
    <w:p>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43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2</w:t>
      </w:r>
      <w:r>
        <w:rPr>
          <w:rFonts w:hint="eastAsia" w:ascii="宋体" w:hAnsi="宋体" w:eastAsia="宋体" w:cs="宋体"/>
          <w:color w:val="auto"/>
          <w:spacing w:val="7"/>
          <w:position w:val="1"/>
          <w:sz w:val="21"/>
          <w:szCs w:val="21"/>
          <w:highlight w:val="none"/>
        </w:rPr>
        <w:t>、合同的终止</w:t>
      </w:r>
    </w:p>
    <w:p>
      <w:pPr>
        <w:keepNext w:val="0"/>
        <w:keepLines w:val="0"/>
        <w:pageBreakBefore w:val="0"/>
        <w:widowControl/>
        <w:kinsoku/>
        <w:wordWrap w:val="0"/>
        <w:overflowPunct w:val="0"/>
        <w:topLinePunct/>
        <w:autoSpaceDE w:val="0"/>
        <w:autoSpaceDN w:val="0"/>
        <w:bidi w:val="0"/>
        <w:adjustRightInd w:val="0"/>
        <w:snapToGrid w:val="0"/>
        <w:spacing w:before="140" w:line="400" w:lineRule="exact"/>
        <w:ind w:left="46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5"/>
          <w:sz w:val="21"/>
          <w:szCs w:val="21"/>
          <w:highlight w:val="none"/>
        </w:rPr>
        <w:t>1)合同期满，双方未续签的；</w:t>
      </w:r>
    </w:p>
    <w:p>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6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(2)乙方服务能力丧失，致使服务无法正常进行的</w:t>
      </w:r>
      <w:r>
        <w:rPr>
          <w:rFonts w:hint="eastAsia" w:ascii="宋体" w:hAnsi="宋体" w:eastAsia="宋体" w:cs="宋体"/>
          <w:color w:val="auto"/>
          <w:spacing w:val="6"/>
          <w:sz w:val="21"/>
          <w:szCs w:val="21"/>
          <w:highlight w:val="none"/>
        </w:rPr>
        <w:t>；</w:t>
      </w:r>
    </w:p>
    <w:p>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25" w:right="21" w:firstLine="439"/>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rPr>
        <w:t>(3)在履行合同过程中，发现乙方不符合政府购买社会组织公共服务有关要求，造成合同无法履</w:t>
      </w:r>
      <w:r>
        <w:rPr>
          <w:rFonts w:hint="eastAsia" w:ascii="宋体" w:hAnsi="宋体" w:eastAsia="宋体" w:cs="宋体"/>
          <w:color w:val="auto"/>
          <w:spacing w:val="5"/>
          <w:sz w:val="21"/>
          <w:szCs w:val="21"/>
          <w:highlight w:val="none"/>
        </w:rPr>
        <w:t>行</w:t>
      </w:r>
      <w:r>
        <w:rPr>
          <w:rFonts w:hint="eastAsia" w:ascii="宋体" w:hAnsi="宋体" w:eastAsia="宋体" w:cs="宋体"/>
          <w:color w:val="auto"/>
          <w:spacing w:val="-9"/>
          <w:sz w:val="21"/>
          <w:szCs w:val="21"/>
          <w:highlight w:val="none"/>
        </w:rPr>
        <w:t>的</w:t>
      </w:r>
      <w:r>
        <w:rPr>
          <w:rFonts w:hint="eastAsia" w:ascii="宋体" w:hAnsi="宋体" w:eastAsia="宋体" w:cs="宋体"/>
          <w:color w:val="auto"/>
          <w:spacing w:val="-9"/>
          <w:sz w:val="21"/>
          <w:szCs w:val="21"/>
          <w:highlight w:val="none"/>
          <w:lang w:eastAsia="zh-CN"/>
        </w:rPr>
        <w:t>。</w:t>
      </w:r>
    </w:p>
    <w:p>
      <w:pPr>
        <w:keepNext w:val="0"/>
        <w:keepLines w:val="0"/>
        <w:pageBreakBefore w:val="0"/>
        <w:widowControl/>
        <w:kinsoku/>
        <w:wordWrap w:val="0"/>
        <w:overflowPunct w:val="0"/>
        <w:topLinePunct/>
        <w:autoSpaceDE w:val="0"/>
        <w:autoSpaceDN w:val="0"/>
        <w:bidi w:val="0"/>
        <w:adjustRightInd w:val="0"/>
        <w:snapToGrid w:val="0"/>
        <w:spacing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第</w:t>
      </w:r>
      <w:r>
        <w:rPr>
          <w:rFonts w:hint="eastAsia" w:ascii="宋体" w:hAnsi="宋体" w:eastAsia="宋体" w:cs="宋体"/>
          <w:color w:val="auto"/>
          <w:spacing w:val="8"/>
          <w:sz w:val="21"/>
          <w:szCs w:val="21"/>
          <w:highlight w:val="none"/>
        </w:rPr>
        <w:t>五条：项目绩效评估：</w:t>
      </w:r>
    </w:p>
    <w:p>
      <w:pPr>
        <w:keepNext w:val="0"/>
        <w:keepLines w:val="0"/>
        <w:pageBreakBefore w:val="0"/>
        <w:widowControl/>
        <w:kinsoku/>
        <w:wordWrap w:val="0"/>
        <w:overflowPunct w:val="0"/>
        <w:topLinePunct/>
        <w:autoSpaceDE w:val="0"/>
        <w:autoSpaceDN w:val="0"/>
        <w:bidi w:val="0"/>
        <w:adjustRightInd w:val="0"/>
        <w:snapToGrid w:val="0"/>
        <w:spacing w:before="162" w:line="400" w:lineRule="exact"/>
        <w:ind w:left="15" w:right="18" w:firstLine="43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6"/>
          <w:sz w:val="21"/>
          <w:szCs w:val="21"/>
          <w:highlight w:val="none"/>
        </w:rPr>
        <w:t>乙</w:t>
      </w:r>
      <w:r>
        <w:rPr>
          <w:rFonts w:hint="eastAsia" w:ascii="宋体" w:hAnsi="宋体" w:eastAsia="宋体" w:cs="宋体"/>
          <w:color w:val="auto"/>
          <w:spacing w:val="14"/>
          <w:sz w:val="21"/>
          <w:szCs w:val="21"/>
          <w:highlight w:val="none"/>
        </w:rPr>
        <w:t>方</w:t>
      </w:r>
      <w:r>
        <w:rPr>
          <w:rFonts w:hint="eastAsia" w:ascii="宋体" w:hAnsi="宋体" w:eastAsia="宋体" w:cs="宋体"/>
          <w:color w:val="auto"/>
          <w:spacing w:val="8"/>
          <w:sz w:val="21"/>
          <w:szCs w:val="21"/>
          <w:highlight w:val="none"/>
        </w:rPr>
        <w:t>承接服务项目后，由甲方对项目实施情况进行全程跟踪和监督。项目完成后，甲方会同相关部</w:t>
      </w:r>
      <w:r>
        <w:rPr>
          <w:rFonts w:hint="eastAsia" w:ascii="宋体" w:hAnsi="宋体" w:eastAsia="宋体" w:cs="宋体"/>
          <w:color w:val="auto"/>
          <w:spacing w:val="16"/>
          <w:sz w:val="21"/>
          <w:szCs w:val="21"/>
          <w:highlight w:val="none"/>
        </w:rPr>
        <w:t>门和社</w:t>
      </w:r>
      <w:r>
        <w:rPr>
          <w:rFonts w:hint="eastAsia" w:ascii="宋体" w:hAnsi="宋体" w:eastAsia="宋体" w:cs="宋体"/>
          <w:color w:val="auto"/>
          <w:spacing w:val="12"/>
          <w:sz w:val="21"/>
          <w:szCs w:val="21"/>
          <w:highlight w:val="none"/>
        </w:rPr>
        <w:t>会</w:t>
      </w:r>
      <w:r>
        <w:rPr>
          <w:rFonts w:hint="eastAsia" w:ascii="宋体" w:hAnsi="宋体" w:eastAsia="宋体" w:cs="宋体"/>
          <w:color w:val="auto"/>
          <w:spacing w:val="8"/>
          <w:sz w:val="21"/>
          <w:szCs w:val="21"/>
          <w:highlight w:val="none"/>
        </w:rPr>
        <w:t>评估机构对项目的工作绩效、服务对象受益情况、公众满足等进行评估并对资金使用情况进行</w:t>
      </w:r>
      <w:r>
        <w:rPr>
          <w:rFonts w:hint="eastAsia" w:ascii="宋体" w:hAnsi="宋体" w:eastAsia="宋体" w:cs="宋体"/>
          <w:color w:val="auto"/>
          <w:spacing w:val="1"/>
          <w:sz w:val="21"/>
          <w:szCs w:val="21"/>
          <w:highlight w:val="none"/>
        </w:rPr>
        <w:t>审计</w:t>
      </w:r>
      <w:r>
        <w:rPr>
          <w:rFonts w:hint="eastAsia" w:ascii="宋体" w:hAnsi="宋体" w:eastAsia="宋体" w:cs="宋体"/>
          <w:color w:val="auto"/>
          <w:spacing w:val="1"/>
          <w:sz w:val="21"/>
          <w:szCs w:val="21"/>
          <w:highlight w:val="none"/>
          <w:lang w:eastAsia="zh-CN"/>
        </w:rPr>
        <w:t>。</w:t>
      </w:r>
    </w:p>
    <w:p>
      <w:pPr>
        <w:keepNext w:val="0"/>
        <w:keepLines w:val="0"/>
        <w:pageBreakBefore w:val="0"/>
        <w:widowControl/>
        <w:kinsoku/>
        <w:wordWrap w:val="0"/>
        <w:overflowPunct w:val="0"/>
        <w:topLinePunct/>
        <w:autoSpaceDE w:val="0"/>
        <w:autoSpaceDN w:val="0"/>
        <w:bidi w:val="0"/>
        <w:adjustRightInd w:val="0"/>
        <w:snapToGrid w:val="0"/>
        <w:spacing w:line="400" w:lineRule="exact"/>
        <w:ind w:left="428"/>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第六条：双方权利和义务</w:t>
      </w:r>
    </w:p>
    <w:p>
      <w:pPr>
        <w:keepNext w:val="0"/>
        <w:keepLines w:val="0"/>
        <w:pageBreakBefore w:val="0"/>
        <w:widowControl/>
        <w:kinsoku/>
        <w:wordWrap w:val="0"/>
        <w:overflowPunct w:val="0"/>
        <w:topLinePunct/>
        <w:autoSpaceDE w:val="0"/>
        <w:autoSpaceDN w:val="0"/>
        <w:bidi w:val="0"/>
        <w:adjustRightInd w:val="0"/>
        <w:snapToGrid w:val="0"/>
        <w:spacing w:line="400" w:lineRule="exact"/>
        <w:ind w:left="46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4"/>
          <w:sz w:val="21"/>
          <w:szCs w:val="21"/>
          <w:highlight w:val="none"/>
        </w:rPr>
        <w:t>一)甲方权利、义务</w:t>
      </w:r>
    </w:p>
    <w:p>
      <w:pPr>
        <w:keepNext w:val="0"/>
        <w:keepLines w:val="0"/>
        <w:pageBreakBefore w:val="0"/>
        <w:widowControl/>
        <w:kinsoku/>
        <w:wordWrap w:val="0"/>
        <w:overflowPunct w:val="0"/>
        <w:topLinePunct/>
        <w:autoSpaceDE w:val="0"/>
        <w:autoSpaceDN w:val="0"/>
        <w:bidi w:val="0"/>
        <w:adjustRightInd w:val="0"/>
        <w:snapToGrid w:val="0"/>
        <w:spacing w:before="162" w:line="400" w:lineRule="exact"/>
        <w:ind w:left="15" w:right="18" w:firstLine="43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1、项目为合同期内实施，甲方每季度了解掌握项目工作进度及资金运作情况，每半年对乙方资金的使用情况进行审核一次。</w:t>
      </w:r>
    </w:p>
    <w:p>
      <w:pPr>
        <w:keepNext w:val="0"/>
        <w:keepLines w:val="0"/>
        <w:pageBreakBefore w:val="0"/>
        <w:widowControl/>
        <w:kinsoku/>
        <w:wordWrap w:val="0"/>
        <w:overflowPunct w:val="0"/>
        <w:topLinePunct/>
        <w:autoSpaceDE w:val="0"/>
        <w:autoSpaceDN w:val="0"/>
        <w:bidi w:val="0"/>
        <w:adjustRightInd w:val="0"/>
        <w:snapToGrid w:val="0"/>
        <w:spacing w:before="162" w:line="400" w:lineRule="exact"/>
        <w:ind w:left="15" w:right="18" w:firstLine="43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2、协调乙方在提供服务过程相关的政府部门和单位。</w:t>
      </w:r>
    </w:p>
    <w:p>
      <w:pPr>
        <w:keepNext w:val="0"/>
        <w:keepLines w:val="0"/>
        <w:pageBreakBefore w:val="0"/>
        <w:widowControl/>
        <w:kinsoku/>
        <w:wordWrap w:val="0"/>
        <w:overflowPunct w:val="0"/>
        <w:topLinePunct/>
        <w:autoSpaceDE w:val="0"/>
        <w:autoSpaceDN w:val="0"/>
        <w:bidi w:val="0"/>
        <w:adjustRightInd w:val="0"/>
        <w:snapToGrid w:val="0"/>
        <w:spacing w:before="162" w:line="400" w:lineRule="exact"/>
        <w:ind w:left="15" w:right="18" w:firstLine="43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3、为开展绩效评估，甲方应对乙方制定具体的考评意见。</w:t>
      </w:r>
    </w:p>
    <w:p>
      <w:pPr>
        <w:keepNext w:val="0"/>
        <w:keepLines w:val="0"/>
        <w:pageBreakBefore w:val="0"/>
        <w:widowControl/>
        <w:kinsoku/>
        <w:wordWrap w:val="0"/>
        <w:overflowPunct w:val="0"/>
        <w:topLinePunct/>
        <w:autoSpaceDE w:val="0"/>
        <w:autoSpaceDN w:val="0"/>
        <w:bidi w:val="0"/>
        <w:adjustRightInd w:val="0"/>
        <w:snapToGrid w:val="0"/>
        <w:spacing w:before="141" w:line="400" w:lineRule="exact"/>
        <w:ind w:left="46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4"/>
          <w:sz w:val="21"/>
          <w:szCs w:val="21"/>
          <w:highlight w:val="none"/>
        </w:rPr>
        <w:t>二)乙方权利、义务</w:t>
      </w:r>
    </w:p>
    <w:p>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4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position w:val="1"/>
          <w:sz w:val="21"/>
          <w:szCs w:val="21"/>
          <w:highlight w:val="none"/>
        </w:rPr>
        <w:t>1</w:t>
      </w:r>
      <w:r>
        <w:rPr>
          <w:rFonts w:hint="eastAsia" w:ascii="宋体" w:hAnsi="宋体" w:eastAsia="宋体" w:cs="宋体"/>
          <w:color w:val="auto"/>
          <w:spacing w:val="14"/>
          <w:position w:val="1"/>
          <w:sz w:val="21"/>
          <w:szCs w:val="21"/>
          <w:highlight w:val="none"/>
        </w:rPr>
        <w:t>、</w:t>
      </w:r>
      <w:r>
        <w:rPr>
          <w:rFonts w:hint="eastAsia" w:ascii="宋体" w:hAnsi="宋体" w:eastAsia="宋体" w:cs="宋体"/>
          <w:color w:val="auto"/>
          <w:spacing w:val="8"/>
          <w:position w:val="1"/>
          <w:sz w:val="21"/>
          <w:szCs w:val="21"/>
          <w:highlight w:val="none"/>
        </w:rPr>
        <w:t>乙方可要求甲方按本合同的规定按时足额拨付项目经费。</w:t>
      </w:r>
    </w:p>
    <w:p>
      <w:pPr>
        <w:keepNext w:val="0"/>
        <w:keepLines w:val="0"/>
        <w:pageBreakBefore w:val="0"/>
        <w:widowControl/>
        <w:kinsoku/>
        <w:wordWrap w:val="0"/>
        <w:overflowPunct w:val="0"/>
        <w:topLinePunct/>
        <w:autoSpaceDE w:val="0"/>
        <w:autoSpaceDN w:val="0"/>
        <w:bidi w:val="0"/>
        <w:adjustRightInd w:val="0"/>
        <w:snapToGrid w:val="0"/>
        <w:spacing w:before="138" w:line="400" w:lineRule="exact"/>
        <w:ind w:left="43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position w:val="1"/>
          <w:sz w:val="21"/>
          <w:szCs w:val="21"/>
          <w:highlight w:val="none"/>
        </w:rPr>
        <w:t>2</w:t>
      </w:r>
      <w:r>
        <w:rPr>
          <w:rFonts w:hint="eastAsia" w:ascii="宋体" w:hAnsi="宋体" w:eastAsia="宋体" w:cs="宋体"/>
          <w:color w:val="auto"/>
          <w:spacing w:val="14"/>
          <w:position w:val="1"/>
          <w:sz w:val="21"/>
          <w:szCs w:val="21"/>
          <w:highlight w:val="none"/>
        </w:rPr>
        <w:t>、</w:t>
      </w:r>
      <w:r>
        <w:rPr>
          <w:rFonts w:hint="eastAsia" w:ascii="宋体" w:hAnsi="宋体" w:eastAsia="宋体" w:cs="宋体"/>
          <w:color w:val="auto"/>
          <w:spacing w:val="9"/>
          <w:position w:val="1"/>
          <w:sz w:val="21"/>
          <w:szCs w:val="21"/>
          <w:highlight w:val="none"/>
        </w:rPr>
        <w:t>乙方承接甲方的服务项目的资金，其溢出部分主要应用于乙方的再发展，不得挪作他用。</w:t>
      </w:r>
    </w:p>
    <w:p>
      <w:pPr>
        <w:keepNext w:val="0"/>
        <w:keepLines w:val="0"/>
        <w:pageBreakBefore w:val="0"/>
        <w:widowControl/>
        <w:kinsoku/>
        <w:wordWrap w:val="0"/>
        <w:overflowPunct w:val="0"/>
        <w:topLinePunct/>
        <w:autoSpaceDE w:val="0"/>
        <w:autoSpaceDN w:val="0"/>
        <w:bidi w:val="0"/>
        <w:adjustRightInd w:val="0"/>
        <w:snapToGrid w:val="0"/>
        <w:spacing w:before="139" w:line="400" w:lineRule="exact"/>
        <w:ind w:left="9" w:right="16" w:firstLine="4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3、乙方在履行合同过程中，不得将服务项目委托给第三人，应按本合同如实报告项目进展情况，</w:t>
      </w:r>
      <w:r>
        <w:rPr>
          <w:rFonts w:hint="eastAsia" w:ascii="宋体" w:hAnsi="宋体" w:eastAsia="宋体" w:cs="宋体"/>
          <w:color w:val="auto"/>
          <w:spacing w:val="9"/>
          <w:sz w:val="21"/>
          <w:szCs w:val="21"/>
          <w:highlight w:val="none"/>
        </w:rPr>
        <w:t>按时、按标准完成项目任务。如乙方未能在合同期内完成全部项目的服务内容，合同结束后，应将相</w:t>
      </w:r>
      <w:r>
        <w:rPr>
          <w:rFonts w:hint="eastAsia" w:ascii="宋体" w:hAnsi="宋体" w:eastAsia="宋体" w:cs="宋体"/>
          <w:color w:val="auto"/>
          <w:sz w:val="21"/>
          <w:szCs w:val="21"/>
          <w:highlight w:val="none"/>
        </w:rPr>
        <w:t>应</w:t>
      </w:r>
      <w:r>
        <w:rPr>
          <w:rFonts w:hint="eastAsia" w:ascii="宋体" w:hAnsi="宋体" w:eastAsia="宋体" w:cs="宋体"/>
          <w:color w:val="auto"/>
          <w:spacing w:val="7"/>
          <w:sz w:val="21"/>
          <w:szCs w:val="21"/>
          <w:highlight w:val="none"/>
        </w:rPr>
        <w:t>款项返还甲方</w:t>
      </w:r>
      <w:r>
        <w:rPr>
          <w:rFonts w:hint="eastAsia" w:ascii="宋体" w:hAnsi="宋体" w:eastAsia="宋体" w:cs="宋体"/>
          <w:color w:val="auto"/>
          <w:spacing w:val="6"/>
          <w:sz w:val="21"/>
          <w:szCs w:val="21"/>
          <w:highlight w:val="none"/>
        </w:rPr>
        <w:t>。</w:t>
      </w:r>
    </w:p>
    <w:p>
      <w:pPr>
        <w:keepNext w:val="0"/>
        <w:keepLines w:val="0"/>
        <w:pageBreakBefore w:val="0"/>
        <w:widowControl/>
        <w:kinsoku/>
        <w:wordWrap w:val="0"/>
        <w:overflowPunct w:val="0"/>
        <w:topLinePunct/>
        <w:autoSpaceDE w:val="0"/>
        <w:autoSpaceDN w:val="0"/>
        <w:bidi w:val="0"/>
        <w:adjustRightInd w:val="0"/>
        <w:snapToGrid w:val="0"/>
        <w:spacing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第</w:t>
      </w:r>
      <w:r>
        <w:rPr>
          <w:rFonts w:hint="eastAsia" w:ascii="宋体" w:hAnsi="宋体" w:eastAsia="宋体" w:cs="宋体"/>
          <w:color w:val="auto"/>
          <w:spacing w:val="16"/>
          <w:sz w:val="21"/>
          <w:szCs w:val="21"/>
          <w:highlight w:val="none"/>
        </w:rPr>
        <w:t>七</w:t>
      </w:r>
      <w:r>
        <w:rPr>
          <w:rFonts w:hint="eastAsia" w:ascii="宋体" w:hAnsi="宋体" w:eastAsia="宋体" w:cs="宋体"/>
          <w:color w:val="auto"/>
          <w:spacing w:val="9"/>
          <w:sz w:val="21"/>
          <w:szCs w:val="21"/>
          <w:highlight w:val="none"/>
        </w:rPr>
        <w:t>条：在合同履行过程中，双方因违约或重大过失造成对方经济损失的应当赔偿。</w:t>
      </w:r>
    </w:p>
    <w:p>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29" w:right="16" w:firstLine="3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第八条：</w:t>
      </w:r>
      <w:r>
        <w:rPr>
          <w:rFonts w:hint="eastAsia" w:ascii="宋体" w:hAnsi="宋体" w:eastAsia="宋体" w:cs="宋体"/>
          <w:color w:val="auto"/>
          <w:spacing w:val="9"/>
          <w:sz w:val="21"/>
          <w:szCs w:val="21"/>
          <w:highlight w:val="none"/>
        </w:rPr>
        <w:t>本</w:t>
      </w:r>
      <w:r>
        <w:rPr>
          <w:rFonts w:hint="eastAsia" w:ascii="宋体" w:hAnsi="宋体" w:eastAsia="宋体" w:cs="宋体"/>
          <w:color w:val="auto"/>
          <w:spacing w:val="8"/>
          <w:sz w:val="21"/>
          <w:szCs w:val="21"/>
          <w:highlight w:val="none"/>
        </w:rPr>
        <w:t>合同在履行过程中发生争议，由甲、乙方协商解决，协商不成的，可以向有管辖权的人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民法院提起诉讼。</w:t>
      </w:r>
    </w:p>
    <w:p>
      <w:pPr>
        <w:keepNext w:val="0"/>
        <w:keepLines w:val="0"/>
        <w:pageBreakBefore w:val="0"/>
        <w:widowControl/>
        <w:kinsoku/>
        <w:wordWrap w:val="0"/>
        <w:overflowPunct w:val="0"/>
        <w:topLinePunct/>
        <w:autoSpaceDE w:val="0"/>
        <w:autoSpaceDN w:val="0"/>
        <w:bidi w:val="0"/>
        <w:adjustRightInd w:val="0"/>
        <w:snapToGrid w:val="0"/>
        <w:spacing w:before="1" w:line="400" w:lineRule="exact"/>
        <w:ind w:left="15" w:right="16" w:firstLine="4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第九条：本协议一</w:t>
      </w:r>
      <w:r>
        <w:rPr>
          <w:rFonts w:hint="eastAsia" w:ascii="宋体" w:hAnsi="宋体" w:eastAsia="宋体" w:cs="宋体"/>
          <w:color w:val="auto"/>
          <w:spacing w:val="3"/>
          <w:sz w:val="21"/>
          <w:szCs w:val="21"/>
          <w:highlight w:val="none"/>
        </w:rPr>
        <w:t>式</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份，甲方、乙方各执</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 xml:space="preserve"> 份，经甲、乙方法定代表人签</w:t>
      </w:r>
      <w:r>
        <w:rPr>
          <w:rFonts w:hint="eastAsia" w:ascii="宋体" w:hAnsi="宋体" w:eastAsia="宋体" w:cs="宋体"/>
          <w:color w:val="auto"/>
          <w:spacing w:val="6"/>
          <w:sz w:val="21"/>
          <w:szCs w:val="21"/>
          <w:highlight w:val="none"/>
        </w:rPr>
        <w:t>章之日起生效。</w:t>
      </w:r>
    </w:p>
    <w:p>
      <w:pPr>
        <w:keepNext w:val="0"/>
        <w:keepLines w:val="0"/>
        <w:pageBreakBefore w:val="0"/>
        <w:widowControl/>
        <w:kinsoku/>
        <w:wordWrap w:val="0"/>
        <w:overflowPunct w:val="0"/>
        <w:topLinePunct/>
        <w:autoSpaceDE w:val="0"/>
        <w:autoSpaceDN w:val="0"/>
        <w:bidi w:val="0"/>
        <w:adjustRightInd w:val="0"/>
        <w:snapToGrid w:val="0"/>
        <w:spacing w:before="1" w:line="400" w:lineRule="exact"/>
        <w:ind w:left="44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附件：(签定具体合同时，若有附件应注明，并注明附件名称)</w:t>
      </w:r>
    </w:p>
    <w:p>
      <w:pPr>
        <w:keepNext w:val="0"/>
        <w:keepLines w:val="0"/>
        <w:pageBreakBefore w:val="0"/>
        <w:widowControl/>
        <w:kinsoku/>
        <w:wordWrap w:val="0"/>
        <w:overflowPunct w:val="0"/>
        <w:topLinePunct/>
        <w:autoSpaceDE w:val="0"/>
        <w:autoSpaceDN w:val="0"/>
        <w:bidi w:val="0"/>
        <w:adjustRightInd w:val="0"/>
        <w:snapToGrid w:val="0"/>
        <w:spacing w:line="4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wordWrap w:val="0"/>
        <w:overflowPunct w:val="0"/>
        <w:topLinePunct/>
        <w:autoSpaceDE w:val="0"/>
        <w:autoSpaceDN w:val="0"/>
        <w:bidi w:val="0"/>
        <w:adjustRightInd w:val="0"/>
        <w:snapToGrid w:val="0"/>
        <w:spacing w:line="4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wordWrap w:val="0"/>
        <w:overflowPunct w:val="0"/>
        <w:topLinePunct/>
        <w:autoSpaceDE w:val="0"/>
        <w:autoSpaceDN w:val="0"/>
        <w:bidi w:val="0"/>
        <w:adjustRightInd w:val="0"/>
        <w:snapToGrid w:val="0"/>
        <w:spacing w:before="66" w:line="400" w:lineRule="exact"/>
        <w:ind w:left="45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甲方(公章)                   </w:t>
      </w: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rPr>
        <w:t xml:space="preserve"> 乙方(</w:t>
      </w:r>
      <w:r>
        <w:rPr>
          <w:rFonts w:hint="eastAsia" w:ascii="宋体" w:hAnsi="宋体" w:eastAsia="宋体" w:cs="宋体"/>
          <w:color w:val="auto"/>
          <w:sz w:val="21"/>
          <w:szCs w:val="21"/>
          <w:highlight w:val="none"/>
        </w:rPr>
        <w:t>公章)</w:t>
      </w:r>
    </w:p>
    <w:p>
      <w:pPr>
        <w:keepNext w:val="0"/>
        <w:keepLines w:val="0"/>
        <w:pageBreakBefore w:val="0"/>
        <w:widowControl/>
        <w:kinsoku/>
        <w:wordWrap w:val="0"/>
        <w:overflowPunct w:val="0"/>
        <w:topLinePunct/>
        <w:autoSpaceDE w:val="0"/>
        <w:autoSpaceDN w:val="0"/>
        <w:bidi w:val="0"/>
        <w:adjustRightInd w:val="0"/>
        <w:snapToGrid w:val="0"/>
        <w:spacing w:before="164" w:line="400" w:lineRule="exact"/>
        <w:ind w:left="43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单位名</w:t>
      </w:r>
      <w:r>
        <w:rPr>
          <w:rFonts w:hint="eastAsia" w:ascii="宋体" w:hAnsi="宋体" w:eastAsia="宋体" w:cs="宋体"/>
          <w:color w:val="auto"/>
          <w:spacing w:val="-1"/>
          <w:sz w:val="21"/>
          <w:szCs w:val="21"/>
          <w:highlight w:val="none"/>
        </w:rPr>
        <w:t xml:space="preserve">称：                   </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 xml:space="preserve"> 单位名称：</w:t>
      </w:r>
    </w:p>
    <w:p>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4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法定代表人：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w:t>
      </w:r>
    </w:p>
    <w:p>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地址：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 xml:space="preserve"> 地址：</w:t>
      </w:r>
    </w:p>
    <w:p>
      <w:pPr>
        <w:keepNext w:val="0"/>
        <w:keepLines w:val="0"/>
        <w:pageBreakBefore w:val="0"/>
        <w:widowControl/>
        <w:kinsoku/>
        <w:wordWrap w:val="0"/>
        <w:overflowPunct w:val="0"/>
        <w:topLinePunct/>
        <w:autoSpaceDE w:val="0"/>
        <w:autoSpaceDN w:val="0"/>
        <w:bidi w:val="0"/>
        <w:adjustRightInd w:val="0"/>
        <w:snapToGrid w:val="0"/>
        <w:spacing w:before="149" w:line="400" w:lineRule="exact"/>
        <w:ind w:left="45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电话：    </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rPr>
        <w:t xml:space="preserve">  电话：</w:t>
      </w:r>
    </w:p>
    <w:p>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传真：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 xml:space="preserve"> 传真：</w:t>
      </w:r>
    </w:p>
    <w:p>
      <w:pPr>
        <w:keepNext w:val="0"/>
        <w:keepLines w:val="0"/>
        <w:pageBreakBefore w:val="0"/>
        <w:widowControl/>
        <w:kinsoku/>
        <w:wordWrap w:val="0"/>
        <w:overflowPunct w:val="0"/>
        <w:topLinePunct/>
        <w:autoSpaceDE w:val="0"/>
        <w:autoSpaceDN w:val="0"/>
        <w:bidi w:val="0"/>
        <w:adjustRightInd w:val="0"/>
        <w:snapToGrid w:val="0"/>
        <w:spacing w:before="162" w:line="400" w:lineRule="exact"/>
        <w:ind w:left="428"/>
        <w:textAlignment w:val="baseline"/>
        <w:outlineLvl w:val="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签约日期：  年 月 日         </w:t>
      </w: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rPr>
        <w:t xml:space="preserve">签约日期：  年 月 </w:t>
      </w:r>
      <w:r>
        <w:rPr>
          <w:rFonts w:hint="eastAsia" w:ascii="宋体" w:hAnsi="宋体" w:eastAsia="宋体" w:cs="宋体"/>
          <w:color w:val="auto"/>
          <w:sz w:val="21"/>
          <w:szCs w:val="21"/>
          <w:highlight w:val="none"/>
        </w:rPr>
        <w:t xml:space="preserve"> 日</w:t>
      </w:r>
    </w:p>
    <w:p>
      <w:pPr>
        <w:keepNext w:val="0"/>
        <w:keepLines w:val="0"/>
        <w:pageBreakBefore w:val="0"/>
        <w:kinsoku/>
        <w:wordWrap w:val="0"/>
        <w:overflowPunct w:val="0"/>
        <w:topLinePunct/>
        <w:autoSpaceDE w:val="0"/>
        <w:autoSpaceDN w:val="0"/>
        <w:bidi w:val="0"/>
        <w:spacing w:line="228" w:lineRule="auto"/>
        <w:ind w:left="25"/>
        <w:rPr>
          <w:rFonts w:hint="eastAsia" w:ascii="宋体" w:hAnsi="宋体" w:eastAsia="宋体" w:cs="宋体"/>
          <w:color w:val="auto"/>
          <w:spacing w:val="6"/>
          <w:sz w:val="20"/>
          <w:szCs w:val="20"/>
          <w:highlight w:val="none"/>
        </w:rPr>
      </w:pPr>
    </w:p>
    <w:p>
      <w:pPr>
        <w:pStyle w:val="13"/>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p>
      <w:pPr>
        <w:keepNext w:val="0"/>
        <w:keepLines w:val="0"/>
        <w:pageBreakBefore w:val="0"/>
        <w:kinsoku/>
        <w:wordWrap w:val="0"/>
        <w:overflowPunct w:val="0"/>
        <w:topLinePunct/>
        <w:autoSpaceDE w:val="0"/>
        <w:autoSpaceDN w:val="0"/>
        <w:bidi w:val="0"/>
        <w:spacing w:before="280" w:line="224" w:lineRule="auto"/>
        <w:ind w:left="45"/>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合同融资注意事项：1)供应商预进行合同融资的，在签订合同时，供应商的合同账号需为合同融资银行指定的账户和账号。2)预进行合同融资的合同，采购人在合同备案时，需将备案系统中供应商默认账户和账号修改为合同融资银行指定的账户和账号，然后再提交合同备案。</w:t>
      </w:r>
    </w:p>
    <w:p>
      <w:pPr>
        <w:keepNext w:val="0"/>
        <w:keepLines w:val="0"/>
        <w:pageBreakBefore w:val="0"/>
        <w:kinsoku/>
        <w:wordWrap w:val="0"/>
        <w:overflowPunct w:val="0"/>
        <w:topLinePunct/>
        <w:autoSpaceDE w:val="0"/>
        <w:autoSpaceDN w:val="0"/>
        <w:bidi w:val="0"/>
        <w:rPr>
          <w:rFonts w:hint="eastAsia" w:ascii="宋体" w:hAnsi="宋体" w:eastAsia="宋体" w:cs="宋体"/>
          <w:b/>
          <w:bCs/>
          <w:color w:val="auto"/>
          <w:highlight w:val="none"/>
        </w:rPr>
        <w:sectPr>
          <w:headerReference r:id="rId9" w:type="default"/>
          <w:footerReference r:id="rId10" w:type="default"/>
          <w:type w:val="continuous"/>
          <w:pgSz w:w="11909" w:h="16834"/>
          <w:pgMar w:top="1440" w:right="1080" w:bottom="1440" w:left="1080" w:header="0" w:footer="710" w:gutter="0"/>
          <w:pgNumType w:fmt="decimal"/>
          <w:cols w:equalWidth="0" w:num="1">
            <w:col w:w="9538"/>
          </w:cols>
        </w:sectPr>
      </w:pPr>
    </w:p>
    <w:p>
      <w:pPr>
        <w:keepNext w:val="0"/>
        <w:keepLines w:val="0"/>
        <w:pageBreakBefore w:val="0"/>
        <w:kinsoku/>
        <w:wordWrap w:val="0"/>
        <w:overflowPunct w:val="0"/>
        <w:topLinePunct/>
        <w:autoSpaceDE w:val="0"/>
        <w:autoSpaceDN w:val="0"/>
        <w:bidi w:val="0"/>
        <w:spacing w:before="63" w:line="223" w:lineRule="auto"/>
        <w:jc w:val="center"/>
        <w:outlineLvl w:val="0"/>
        <w:rPr>
          <w:rFonts w:hint="eastAsia" w:ascii="宋体" w:hAnsi="宋体" w:eastAsia="宋体" w:cs="宋体"/>
          <w:color w:val="auto"/>
          <w:sz w:val="31"/>
          <w:szCs w:val="31"/>
          <w:highlight w:val="none"/>
        </w:rPr>
      </w:pPr>
      <w:bookmarkStart w:id="92" w:name="_Toc22788"/>
      <w:bookmarkStart w:id="93" w:name="_Toc22959"/>
      <w:r>
        <w:rPr>
          <w:rFonts w:hint="eastAsia" w:ascii="宋体" w:hAnsi="宋体" w:eastAsia="宋体" w:cs="宋体"/>
          <w:color w:val="auto"/>
          <w:spacing w:val="24"/>
          <w:sz w:val="31"/>
          <w:szCs w:val="31"/>
          <w:highlight w:val="none"/>
          <w14:textOutline w14:w="5756" w14:cap="flat" w14:cmpd="sng">
            <w14:solidFill>
              <w14:srgbClr w14:val="000000"/>
            </w14:solidFill>
            <w14:prstDash w14:val="solid"/>
            <w14:miter w14:val="0"/>
          </w14:textOutline>
        </w:rPr>
        <w:t>第</w:t>
      </w:r>
      <w:r>
        <w:rPr>
          <w:rFonts w:hint="eastAsia" w:ascii="宋体" w:hAnsi="宋体" w:eastAsia="宋体" w:cs="宋体"/>
          <w:color w:val="auto"/>
          <w:spacing w:val="18"/>
          <w:sz w:val="31"/>
          <w:szCs w:val="31"/>
          <w:highlight w:val="none"/>
          <w14:textOutline w14:w="5756" w14:cap="flat" w14:cmpd="sng">
            <w14:solidFill>
              <w14:srgbClr w14:val="000000"/>
            </w14:solidFill>
            <w14:prstDash w14:val="solid"/>
            <w14:miter w14:val="0"/>
          </w14:textOutline>
        </w:rPr>
        <w:t>六章</w:t>
      </w:r>
      <w:r>
        <w:rPr>
          <w:rFonts w:hint="eastAsia" w:ascii="宋体" w:hAnsi="宋体" w:eastAsia="宋体" w:cs="宋体"/>
          <w:color w:val="auto"/>
          <w:spacing w:val="18"/>
          <w:sz w:val="31"/>
          <w:szCs w:val="31"/>
          <w:highlight w:val="none"/>
        </w:rPr>
        <w:t xml:space="preserve"> </w:t>
      </w:r>
      <w:r>
        <w:rPr>
          <w:rFonts w:hint="eastAsia" w:ascii="宋体" w:hAnsi="宋体" w:eastAsia="宋体" w:cs="宋体"/>
          <w:color w:val="auto"/>
          <w:spacing w:val="18"/>
          <w:sz w:val="31"/>
          <w:szCs w:val="31"/>
          <w:highlight w:val="none"/>
          <w14:textOutline w14:w="5756" w14:cap="flat" w14:cmpd="sng">
            <w14:solidFill>
              <w14:srgbClr w14:val="000000"/>
            </w14:solidFill>
            <w14:prstDash w14:val="solid"/>
            <w14:miter w14:val="0"/>
          </w14:textOutline>
        </w:rPr>
        <w:t>投标文件格式</w:t>
      </w:r>
      <w:bookmarkEnd w:id="92"/>
      <w:bookmarkEnd w:id="93"/>
    </w:p>
    <w:p>
      <w:pPr>
        <w:keepNext w:val="0"/>
        <w:keepLines w:val="0"/>
        <w:pageBreakBefore w:val="0"/>
        <w:kinsoku/>
        <w:wordWrap w:val="0"/>
        <w:overflowPunct w:val="0"/>
        <w:topLinePunct/>
        <w:autoSpaceDE w:val="0"/>
        <w:autoSpaceDN w:val="0"/>
        <w:bidi w:val="0"/>
        <w:spacing w:line="24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6" w:lineRule="auto"/>
        <w:rPr>
          <w:rFonts w:hint="eastAsia" w:ascii="宋体" w:hAnsi="宋体" w:eastAsia="宋体" w:cs="宋体"/>
          <w:color w:val="auto"/>
          <w:sz w:val="21"/>
          <w:highlight w:val="none"/>
        </w:rPr>
      </w:pPr>
    </w:p>
    <w:p>
      <w:pPr>
        <w:keepNext w:val="0"/>
        <w:keepLines w:val="0"/>
        <w:pageBreakBefore w:val="0"/>
        <w:tabs>
          <w:tab w:val="left" w:pos="5337"/>
        </w:tabs>
        <w:kinsoku/>
        <w:wordWrap w:val="0"/>
        <w:overflowPunct w:val="0"/>
        <w:topLinePunct/>
        <w:autoSpaceDE w:val="0"/>
        <w:autoSpaceDN w:val="0"/>
        <w:bidi w:val="0"/>
        <w:spacing w:before="117" w:line="22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u w:val="single" w:color="auto"/>
        </w:rPr>
        <w:tab/>
      </w:r>
      <w:r>
        <w:rPr>
          <w:rFonts w:hint="eastAsia" w:ascii="宋体" w:hAnsi="宋体" w:eastAsia="宋体" w:cs="宋体"/>
          <w:color w:val="auto"/>
          <w:sz w:val="36"/>
          <w:szCs w:val="36"/>
          <w:highlight w:val="none"/>
          <w:u w:val="single" w:color="auto"/>
          <w:lang w:val="en-US" w:eastAsia="zh-CN"/>
        </w:rPr>
        <w:t xml:space="preserve">            </w:t>
      </w:r>
      <w:r>
        <w:rPr>
          <w:rFonts w:hint="eastAsia" w:ascii="宋体" w:hAnsi="宋体" w:eastAsia="宋体" w:cs="宋体"/>
          <w:color w:val="auto"/>
          <w:spacing w:val="7"/>
          <w:sz w:val="36"/>
          <w:szCs w:val="36"/>
          <w:highlight w:val="none"/>
          <w14:textOutline w14:w="6540" w14:cap="flat" w14:cmpd="sng">
            <w14:solidFill>
              <w14:srgbClr w14:val="000000"/>
            </w14:solidFill>
            <w14:prstDash w14:val="solid"/>
            <w14:miter w14:val="0"/>
          </w14:textOutline>
        </w:rPr>
        <w:t>(</w:t>
      </w:r>
      <w:r>
        <w:rPr>
          <w:rFonts w:hint="eastAsia" w:ascii="宋体" w:hAnsi="宋体" w:eastAsia="宋体" w:cs="宋体"/>
          <w:color w:val="auto"/>
          <w:spacing w:val="4"/>
          <w:sz w:val="36"/>
          <w:szCs w:val="36"/>
          <w:highlight w:val="none"/>
          <w14:textOutline w14:w="6540" w14:cap="flat" w14:cmpd="sng">
            <w14:solidFill>
              <w14:srgbClr w14:val="000000"/>
            </w14:solidFill>
            <w14:prstDash w14:val="solid"/>
            <w14:miter w14:val="0"/>
          </w14:textOutline>
        </w:rPr>
        <w:t>项目名称)</w:t>
      </w:r>
    </w:p>
    <w:p>
      <w:pPr>
        <w:keepNext w:val="0"/>
        <w:keepLines w:val="0"/>
        <w:pageBreakBefore w:val="0"/>
        <w:kinsoku/>
        <w:wordWrap w:val="0"/>
        <w:overflowPunct w:val="0"/>
        <w:topLinePunct/>
        <w:autoSpaceDE w:val="0"/>
        <w:autoSpaceDN w:val="0"/>
        <w:bidi w:val="0"/>
        <w:spacing w:before="325" w:line="220" w:lineRule="auto"/>
        <w:jc w:val="center"/>
        <w:outlineLvl w:val="1"/>
        <w:rPr>
          <w:rFonts w:hint="eastAsia" w:ascii="宋体" w:hAnsi="宋体" w:eastAsia="宋体" w:cs="宋体"/>
          <w:color w:val="auto"/>
          <w:spacing w:val="-26"/>
          <w:sz w:val="72"/>
          <w:szCs w:val="72"/>
          <w:highlight w:val="none"/>
          <w14:textOutline w14:w="13072" w14:cap="flat" w14:cmpd="sng">
            <w14:solidFill>
              <w14:srgbClr w14:val="000000"/>
            </w14:solidFill>
            <w14:prstDash w14:val="solid"/>
            <w14:miter w14:val="0"/>
          </w14:textOutline>
        </w:rPr>
      </w:pPr>
      <w:bookmarkStart w:id="94" w:name="_Toc23407"/>
    </w:p>
    <w:p>
      <w:pPr>
        <w:keepNext w:val="0"/>
        <w:keepLines w:val="0"/>
        <w:pageBreakBefore w:val="0"/>
        <w:kinsoku/>
        <w:wordWrap w:val="0"/>
        <w:overflowPunct w:val="0"/>
        <w:topLinePunct/>
        <w:autoSpaceDE w:val="0"/>
        <w:autoSpaceDN w:val="0"/>
        <w:bidi w:val="0"/>
        <w:spacing w:before="325" w:line="220" w:lineRule="auto"/>
        <w:jc w:val="center"/>
        <w:outlineLvl w:val="1"/>
        <w:rPr>
          <w:rFonts w:hint="eastAsia" w:ascii="宋体" w:hAnsi="宋体" w:eastAsia="宋体" w:cs="宋体"/>
          <w:color w:val="auto"/>
          <w:spacing w:val="-26"/>
          <w:sz w:val="72"/>
          <w:szCs w:val="72"/>
          <w:highlight w:val="none"/>
          <w14:textOutline w14:w="13072"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spacing w:before="325" w:line="220" w:lineRule="auto"/>
        <w:jc w:val="center"/>
        <w:outlineLvl w:val="1"/>
        <w:rPr>
          <w:rFonts w:hint="eastAsia" w:ascii="宋体" w:hAnsi="宋体" w:eastAsia="宋体" w:cs="宋体"/>
          <w:color w:val="auto"/>
          <w:sz w:val="72"/>
          <w:szCs w:val="72"/>
          <w:highlight w:val="none"/>
        </w:rPr>
      </w:pPr>
      <w:r>
        <w:rPr>
          <w:rFonts w:hint="eastAsia" w:ascii="宋体" w:hAnsi="宋体" w:eastAsia="宋体" w:cs="宋体"/>
          <w:color w:val="auto"/>
          <w:spacing w:val="-26"/>
          <w:sz w:val="72"/>
          <w:szCs w:val="72"/>
          <w:highlight w:val="none"/>
          <w14:textOutline w14:w="13072" w14:cap="flat" w14:cmpd="sng">
            <w14:solidFill>
              <w14:srgbClr w14:val="000000"/>
            </w14:solidFill>
            <w14:prstDash w14:val="solid"/>
            <w14:miter w14:val="0"/>
          </w14:textOutline>
        </w:rPr>
        <w:t>投</w:t>
      </w:r>
      <w:r>
        <w:rPr>
          <w:rFonts w:hint="eastAsia" w:ascii="宋体" w:hAnsi="宋体" w:eastAsia="宋体" w:cs="宋体"/>
          <w:color w:val="auto"/>
          <w:spacing w:val="-210"/>
          <w:sz w:val="72"/>
          <w:szCs w:val="72"/>
          <w:highlight w:val="none"/>
        </w:rPr>
        <w:t xml:space="preserve"> </w:t>
      </w:r>
      <w:r>
        <w:rPr>
          <w:rFonts w:hint="eastAsia" w:ascii="宋体" w:hAnsi="宋体" w:eastAsia="宋体" w:cs="宋体"/>
          <w:color w:val="auto"/>
          <w:spacing w:val="-26"/>
          <w:sz w:val="72"/>
          <w:szCs w:val="72"/>
          <w:highlight w:val="none"/>
          <w14:textOutline w14:w="13072" w14:cap="flat" w14:cmpd="sng">
            <w14:solidFill>
              <w14:srgbClr w14:val="000000"/>
            </w14:solidFill>
            <w14:prstDash w14:val="solid"/>
            <w14:miter w14:val="0"/>
          </w14:textOutline>
        </w:rPr>
        <w:t>标</w:t>
      </w:r>
      <w:r>
        <w:rPr>
          <w:rFonts w:hint="eastAsia" w:ascii="宋体" w:hAnsi="宋体" w:eastAsia="宋体" w:cs="宋体"/>
          <w:color w:val="auto"/>
          <w:spacing w:val="-196"/>
          <w:sz w:val="72"/>
          <w:szCs w:val="72"/>
          <w:highlight w:val="none"/>
        </w:rPr>
        <w:t xml:space="preserve"> </w:t>
      </w:r>
      <w:r>
        <w:rPr>
          <w:rFonts w:hint="eastAsia" w:ascii="宋体" w:hAnsi="宋体" w:eastAsia="宋体" w:cs="宋体"/>
          <w:color w:val="auto"/>
          <w:spacing w:val="-26"/>
          <w:sz w:val="72"/>
          <w:szCs w:val="72"/>
          <w:highlight w:val="none"/>
          <w14:textOutline w14:w="13072" w14:cap="flat" w14:cmpd="sng">
            <w14:solidFill>
              <w14:srgbClr w14:val="000000"/>
            </w14:solidFill>
            <w14:prstDash w14:val="solid"/>
            <w14:miter w14:val="0"/>
          </w14:textOutline>
        </w:rPr>
        <w:t>文</w:t>
      </w:r>
      <w:r>
        <w:rPr>
          <w:rFonts w:hint="eastAsia" w:ascii="宋体" w:hAnsi="宋体" w:eastAsia="宋体" w:cs="宋体"/>
          <w:color w:val="auto"/>
          <w:spacing w:val="-219"/>
          <w:sz w:val="72"/>
          <w:szCs w:val="72"/>
          <w:highlight w:val="none"/>
        </w:rPr>
        <w:t xml:space="preserve"> </w:t>
      </w:r>
      <w:r>
        <w:rPr>
          <w:rFonts w:hint="eastAsia" w:ascii="宋体" w:hAnsi="宋体" w:eastAsia="宋体" w:cs="宋体"/>
          <w:color w:val="auto"/>
          <w:spacing w:val="-26"/>
          <w:sz w:val="72"/>
          <w:szCs w:val="72"/>
          <w:highlight w:val="none"/>
          <w14:textOutline w14:w="13072" w14:cap="flat" w14:cmpd="sng">
            <w14:solidFill>
              <w14:srgbClr w14:val="000000"/>
            </w14:solidFill>
            <w14:prstDash w14:val="solid"/>
            <w14:miter w14:val="0"/>
          </w14:textOutline>
        </w:rPr>
        <w:t>件</w:t>
      </w:r>
      <w:bookmarkEnd w:id="94"/>
    </w:p>
    <w:p>
      <w:pPr>
        <w:keepNext w:val="0"/>
        <w:keepLines w:val="0"/>
        <w:pageBreakBefore w:val="0"/>
        <w:kinsoku/>
        <w:wordWrap w:val="0"/>
        <w:overflowPunct w:val="0"/>
        <w:topLinePunct/>
        <w:autoSpaceDE w:val="0"/>
        <w:autoSpaceDN w:val="0"/>
        <w:bidi w:val="0"/>
        <w:spacing w:line="38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采购编号：</w:t>
      </w: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98" w:line="359" w:lineRule="auto"/>
        <w:ind w:left="230" w:right="166" w:firstLine="2"/>
        <w:rPr>
          <w:rFonts w:hint="eastAsia" w:ascii="宋体" w:hAnsi="宋体" w:eastAsia="宋体" w:cs="宋体"/>
          <w:color w:val="auto"/>
          <w:sz w:val="30"/>
          <w:szCs w:val="30"/>
          <w:highlight w:val="none"/>
        </w:rPr>
      </w:pPr>
      <w:r>
        <w:rPr>
          <w:rFonts w:hint="eastAsia" w:ascii="宋体" w:hAnsi="宋体" w:eastAsia="宋体" w:cs="宋体"/>
          <w:color w:val="auto"/>
          <w:spacing w:val="-6"/>
          <w:sz w:val="30"/>
          <w:szCs w:val="30"/>
          <w:highlight w:val="none"/>
        </w:rPr>
        <w:t>投标人：</w:t>
      </w:r>
      <w:r>
        <w:rPr>
          <w:rFonts w:hint="eastAsia" w:ascii="宋体" w:hAnsi="宋体" w:eastAsia="宋体" w:cs="宋体"/>
          <w:color w:val="auto"/>
          <w:spacing w:val="-6"/>
          <w:sz w:val="30"/>
          <w:szCs w:val="30"/>
          <w:highlight w:val="none"/>
          <w:u w:val="single" w:color="auto"/>
        </w:rPr>
        <w:t xml:space="preserve">       </w:t>
      </w:r>
      <w:r>
        <w:rPr>
          <w:rFonts w:hint="eastAsia" w:ascii="宋体" w:hAnsi="宋体" w:eastAsia="宋体" w:cs="宋体"/>
          <w:color w:val="auto"/>
          <w:spacing w:val="-5"/>
          <w:sz w:val="30"/>
          <w:szCs w:val="30"/>
          <w:highlight w:val="none"/>
          <w:u w:val="single" w:color="auto"/>
        </w:rPr>
        <w:t xml:space="preserve"> </w:t>
      </w:r>
      <w:r>
        <w:rPr>
          <w:rFonts w:hint="eastAsia" w:ascii="宋体" w:hAnsi="宋体" w:eastAsia="宋体" w:cs="宋体"/>
          <w:color w:val="auto"/>
          <w:spacing w:val="-3"/>
          <w:sz w:val="30"/>
          <w:szCs w:val="30"/>
          <w:highlight w:val="none"/>
          <w:u w:val="single" w:color="auto"/>
        </w:rPr>
        <w:t xml:space="preserve">                       </w:t>
      </w:r>
      <w:r>
        <w:rPr>
          <w:rFonts w:hint="eastAsia" w:ascii="宋体" w:hAnsi="宋体" w:eastAsia="宋体" w:cs="宋体"/>
          <w:color w:val="auto"/>
          <w:spacing w:val="-3"/>
          <w:sz w:val="30"/>
          <w:szCs w:val="30"/>
          <w:highlight w:val="none"/>
        </w:rPr>
        <w:t>(单位电子签章)</w:t>
      </w:r>
      <w:r>
        <w:rPr>
          <w:rFonts w:hint="eastAsia" w:ascii="宋体" w:hAnsi="宋体" w:eastAsia="宋体" w:cs="宋体"/>
          <w:color w:val="auto"/>
          <w:sz w:val="30"/>
          <w:szCs w:val="30"/>
          <w:highlight w:val="none"/>
        </w:rPr>
        <w:t xml:space="preserve"> </w:t>
      </w:r>
    </w:p>
    <w:p>
      <w:pPr>
        <w:keepNext w:val="0"/>
        <w:keepLines w:val="0"/>
        <w:pageBreakBefore w:val="0"/>
        <w:kinsoku/>
        <w:wordWrap w:val="0"/>
        <w:overflowPunct w:val="0"/>
        <w:topLinePunct/>
        <w:autoSpaceDE w:val="0"/>
        <w:autoSpaceDN w:val="0"/>
        <w:bidi w:val="0"/>
        <w:spacing w:before="98" w:line="359" w:lineRule="auto"/>
        <w:ind w:left="230" w:right="166" w:firstLine="2"/>
        <w:rPr>
          <w:rFonts w:hint="eastAsia" w:ascii="宋体" w:hAnsi="宋体" w:eastAsia="宋体" w:cs="宋体"/>
          <w:color w:val="auto"/>
          <w:sz w:val="30"/>
          <w:szCs w:val="30"/>
          <w:highlight w:val="none"/>
        </w:rPr>
      </w:pPr>
      <w:r>
        <w:rPr>
          <w:rFonts w:hint="eastAsia" w:ascii="宋体" w:hAnsi="宋体" w:eastAsia="宋体" w:cs="宋体"/>
          <w:color w:val="auto"/>
          <w:spacing w:val="-8"/>
          <w:sz w:val="30"/>
          <w:szCs w:val="30"/>
          <w:highlight w:val="none"/>
        </w:rPr>
        <w:t>法定</w:t>
      </w:r>
      <w:r>
        <w:rPr>
          <w:rFonts w:hint="eastAsia" w:ascii="宋体" w:hAnsi="宋体" w:eastAsia="宋体" w:cs="宋体"/>
          <w:color w:val="auto"/>
          <w:spacing w:val="-6"/>
          <w:sz w:val="30"/>
          <w:szCs w:val="30"/>
          <w:highlight w:val="none"/>
        </w:rPr>
        <w:t>代</w:t>
      </w:r>
      <w:r>
        <w:rPr>
          <w:rFonts w:hint="eastAsia" w:ascii="宋体" w:hAnsi="宋体" w:eastAsia="宋体" w:cs="宋体"/>
          <w:color w:val="auto"/>
          <w:spacing w:val="-4"/>
          <w:sz w:val="30"/>
          <w:szCs w:val="30"/>
          <w:highlight w:val="none"/>
        </w:rPr>
        <w:t>表人：</w:t>
      </w:r>
      <w:r>
        <w:rPr>
          <w:rFonts w:hint="eastAsia" w:ascii="宋体" w:hAnsi="宋体" w:eastAsia="宋体" w:cs="宋体"/>
          <w:color w:val="auto"/>
          <w:spacing w:val="-4"/>
          <w:sz w:val="30"/>
          <w:szCs w:val="30"/>
          <w:highlight w:val="none"/>
          <w:u w:val="single" w:color="auto"/>
        </w:rPr>
        <w:t xml:space="preserve">              </w:t>
      </w:r>
      <w:r>
        <w:rPr>
          <w:rFonts w:hint="eastAsia" w:ascii="宋体" w:hAnsi="宋体" w:eastAsia="宋体" w:cs="宋体"/>
          <w:color w:val="auto"/>
          <w:spacing w:val="-4"/>
          <w:sz w:val="30"/>
          <w:szCs w:val="30"/>
          <w:highlight w:val="none"/>
        </w:rPr>
        <w:t>(法定代表人电子签名)</w:t>
      </w:r>
    </w:p>
    <w:p>
      <w:pPr>
        <w:keepNext w:val="0"/>
        <w:keepLines w:val="0"/>
        <w:pageBreakBefore w:val="0"/>
        <w:tabs>
          <w:tab w:val="left" w:pos="3690"/>
        </w:tabs>
        <w:kinsoku/>
        <w:wordWrap w:val="0"/>
        <w:overflowPunct w:val="0"/>
        <w:topLinePunct/>
        <w:autoSpaceDE w:val="0"/>
        <w:autoSpaceDN w:val="0"/>
        <w:bidi w:val="0"/>
        <w:spacing w:before="1" w:line="221" w:lineRule="auto"/>
        <w:ind w:left="2466"/>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color="auto"/>
        </w:rPr>
        <w:tab/>
      </w:r>
      <w:r>
        <w:rPr>
          <w:rFonts w:hint="eastAsia" w:ascii="宋体" w:hAnsi="宋体" w:eastAsia="宋体" w:cs="宋体"/>
          <w:color w:val="auto"/>
          <w:spacing w:val="-2"/>
          <w:sz w:val="30"/>
          <w:szCs w:val="30"/>
          <w:highlight w:val="none"/>
        </w:rPr>
        <w:t>年</w:t>
      </w:r>
      <w:r>
        <w:rPr>
          <w:rFonts w:hint="eastAsia" w:ascii="宋体" w:hAnsi="宋体" w:eastAsia="宋体" w:cs="宋体"/>
          <w:color w:val="auto"/>
          <w:spacing w:val="-2"/>
          <w:sz w:val="30"/>
          <w:szCs w:val="30"/>
          <w:highlight w:val="none"/>
          <w:u w:val="single" w:color="auto"/>
        </w:rPr>
        <w:t xml:space="preserve">  </w:t>
      </w:r>
      <w:r>
        <w:rPr>
          <w:rFonts w:hint="eastAsia" w:ascii="宋体" w:hAnsi="宋体" w:eastAsia="宋体" w:cs="宋体"/>
          <w:color w:val="auto"/>
          <w:spacing w:val="-1"/>
          <w:sz w:val="30"/>
          <w:szCs w:val="30"/>
          <w:highlight w:val="none"/>
          <w:u w:val="single" w:color="auto"/>
        </w:rPr>
        <w:t xml:space="preserve">   </w:t>
      </w:r>
      <w:r>
        <w:rPr>
          <w:rFonts w:hint="eastAsia" w:ascii="宋体" w:hAnsi="宋体" w:eastAsia="宋体" w:cs="宋体"/>
          <w:color w:val="auto"/>
          <w:spacing w:val="-1"/>
          <w:sz w:val="30"/>
          <w:szCs w:val="30"/>
          <w:highlight w:val="none"/>
        </w:rPr>
        <w:t>月</w:t>
      </w:r>
      <w:r>
        <w:rPr>
          <w:rFonts w:hint="eastAsia" w:ascii="宋体" w:hAnsi="宋体" w:eastAsia="宋体" w:cs="宋体"/>
          <w:color w:val="auto"/>
          <w:spacing w:val="-1"/>
          <w:sz w:val="30"/>
          <w:szCs w:val="30"/>
          <w:highlight w:val="none"/>
          <w:u w:val="single" w:color="auto"/>
        </w:rPr>
        <w:t xml:space="preserve">    </w:t>
      </w:r>
      <w:r>
        <w:rPr>
          <w:rFonts w:hint="eastAsia" w:ascii="宋体" w:hAnsi="宋体" w:eastAsia="宋体" w:cs="宋体"/>
          <w:color w:val="auto"/>
          <w:spacing w:val="-1"/>
          <w:sz w:val="30"/>
          <w:szCs w:val="30"/>
          <w:highlight w:val="none"/>
        </w:rPr>
        <w:t xml:space="preserve"> 日</w:t>
      </w: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footerReference r:id="rId11" w:type="default"/>
          <w:pgSz w:w="11909" w:h="16834"/>
          <w:pgMar w:top="1440" w:right="1080" w:bottom="1440" w:left="1080" w:header="0" w:footer="710" w:gutter="0"/>
          <w:pgNumType w:fmt="decimal"/>
          <w:cols w:space="720" w:num="1"/>
        </w:sectPr>
      </w:pPr>
    </w:p>
    <w:p>
      <w:pPr>
        <w:keepNext w:val="0"/>
        <w:keepLines w:val="0"/>
        <w:pageBreakBefore w:val="0"/>
        <w:kinsoku/>
        <w:wordWrap w:val="0"/>
        <w:overflowPunct w:val="0"/>
        <w:topLinePunct/>
        <w:autoSpaceDE w:val="0"/>
        <w:autoSpaceDN w:val="0"/>
        <w:bidi w:val="0"/>
        <w:spacing w:before="88" w:line="225" w:lineRule="auto"/>
        <w:ind w:left="3506"/>
        <w:rPr>
          <w:rFonts w:hint="eastAsia" w:ascii="宋体" w:hAnsi="宋体" w:eastAsia="宋体" w:cs="宋体"/>
          <w:color w:val="auto"/>
          <w:sz w:val="44"/>
          <w:szCs w:val="44"/>
          <w:highlight w:val="none"/>
        </w:rPr>
      </w:pPr>
      <w:r>
        <w:rPr>
          <w:rFonts w:hint="eastAsia" w:ascii="宋体" w:hAnsi="宋体" w:eastAsia="宋体" w:cs="宋体"/>
          <w:color w:val="auto"/>
          <w:spacing w:val="4"/>
          <w:sz w:val="44"/>
          <w:szCs w:val="44"/>
          <w:highlight w:val="none"/>
          <w14:textOutline w14:w="8107" w14:cap="flat" w14:cmpd="sng">
            <w14:solidFill>
              <w14:srgbClr w14:val="000000"/>
            </w14:solidFill>
            <w14:prstDash w14:val="solid"/>
            <w14:miter w14:val="0"/>
          </w14:textOutline>
        </w:rPr>
        <w:t>目</w:t>
      </w:r>
      <w:r>
        <w:rPr>
          <w:rFonts w:hint="eastAsia" w:ascii="宋体" w:hAnsi="宋体" w:eastAsia="宋体" w:cs="宋体"/>
          <w:color w:val="auto"/>
          <w:spacing w:val="3"/>
          <w:sz w:val="44"/>
          <w:szCs w:val="44"/>
          <w:highlight w:val="none"/>
        </w:rPr>
        <w:t xml:space="preserve"> </w:t>
      </w:r>
      <w:r>
        <w:rPr>
          <w:rFonts w:hint="eastAsia" w:ascii="宋体" w:hAnsi="宋体" w:eastAsia="宋体" w:cs="宋体"/>
          <w:color w:val="auto"/>
          <w:spacing w:val="2"/>
          <w:sz w:val="44"/>
          <w:szCs w:val="44"/>
          <w:highlight w:val="none"/>
        </w:rPr>
        <w:t xml:space="preserve">  </w:t>
      </w:r>
      <w:r>
        <w:rPr>
          <w:rFonts w:hint="eastAsia" w:ascii="宋体" w:hAnsi="宋体" w:eastAsia="宋体" w:cs="宋体"/>
          <w:color w:val="auto"/>
          <w:spacing w:val="2"/>
          <w:sz w:val="44"/>
          <w:szCs w:val="44"/>
          <w:highlight w:val="none"/>
          <w14:textOutline w14:w="8107" w14:cap="flat" w14:cmpd="sng">
            <w14:solidFill>
              <w14:srgbClr w14:val="000000"/>
            </w14:solidFill>
            <w14:prstDash w14:val="solid"/>
            <w14:miter w14:val="0"/>
          </w14:textOutline>
        </w:rPr>
        <w:t>录</w:t>
      </w:r>
    </w:p>
    <w:p>
      <w:pPr>
        <w:keepNext w:val="0"/>
        <w:keepLines w:val="0"/>
        <w:pageBreakBefore w:val="0"/>
        <w:kinsoku/>
        <w:wordWrap w:val="0"/>
        <w:overflowPunct w:val="0"/>
        <w:topLinePunct/>
        <w:autoSpaceDE w:val="0"/>
        <w:autoSpaceDN w:val="0"/>
        <w:bidi w:val="0"/>
        <w:spacing w:line="26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69"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91" w:line="221" w:lineRule="auto"/>
        <w:ind w:left="29"/>
        <w:rPr>
          <w:rFonts w:hint="eastAsia" w:ascii="宋体" w:hAnsi="宋体" w:eastAsia="宋体" w:cs="宋体"/>
          <w:color w:val="auto"/>
          <w:sz w:val="28"/>
          <w:szCs w:val="28"/>
          <w:highlight w:val="none"/>
        </w:rPr>
      </w:pPr>
      <w:r>
        <w:rPr>
          <w:rFonts w:hint="eastAsia" w:ascii="宋体" w:hAnsi="宋体" w:eastAsia="宋体" w:cs="宋体"/>
          <w:color w:val="auto"/>
          <w:spacing w:val="-16"/>
          <w:sz w:val="28"/>
          <w:szCs w:val="28"/>
          <w:highlight w:val="none"/>
        </w:rPr>
        <w:t>一 、投标函及开标一览表</w:t>
      </w:r>
    </w:p>
    <w:p>
      <w:pPr>
        <w:keepNext w:val="0"/>
        <w:keepLines w:val="0"/>
        <w:pageBreakBefore w:val="0"/>
        <w:kinsoku/>
        <w:wordWrap w:val="0"/>
        <w:overflowPunct w:val="0"/>
        <w:topLinePunct/>
        <w:autoSpaceDE w:val="0"/>
        <w:autoSpaceDN w:val="0"/>
        <w:bidi w:val="0"/>
        <w:spacing w:before="164" w:line="371" w:lineRule="exact"/>
        <w:ind w:left="29"/>
        <w:rPr>
          <w:rFonts w:hint="eastAsia" w:ascii="宋体" w:hAnsi="宋体" w:eastAsia="宋体" w:cs="宋体"/>
          <w:color w:val="auto"/>
          <w:sz w:val="28"/>
          <w:szCs w:val="28"/>
          <w:highlight w:val="none"/>
        </w:rPr>
      </w:pPr>
      <w:r>
        <w:rPr>
          <w:rFonts w:hint="eastAsia" w:ascii="宋体" w:hAnsi="宋体" w:eastAsia="宋体" w:cs="宋体"/>
          <w:color w:val="auto"/>
          <w:spacing w:val="-3"/>
          <w:position w:val="1"/>
          <w:sz w:val="28"/>
          <w:szCs w:val="28"/>
          <w:highlight w:val="none"/>
        </w:rPr>
        <w:t>二</w:t>
      </w:r>
      <w:r>
        <w:rPr>
          <w:rFonts w:hint="eastAsia" w:ascii="宋体" w:hAnsi="宋体" w:eastAsia="宋体" w:cs="宋体"/>
          <w:color w:val="auto"/>
          <w:spacing w:val="-2"/>
          <w:position w:val="1"/>
          <w:sz w:val="28"/>
          <w:szCs w:val="28"/>
          <w:highlight w:val="none"/>
        </w:rPr>
        <w:t>、法定代表人身份证明和法定代表人授权委托书</w:t>
      </w:r>
    </w:p>
    <w:p>
      <w:pPr>
        <w:keepNext w:val="0"/>
        <w:keepLines w:val="0"/>
        <w:pageBreakBefore w:val="0"/>
        <w:kinsoku/>
        <w:wordWrap w:val="0"/>
        <w:overflowPunct w:val="0"/>
        <w:topLinePunct/>
        <w:autoSpaceDE w:val="0"/>
        <w:autoSpaceDN w:val="0"/>
        <w:bidi w:val="0"/>
        <w:spacing w:before="128" w:line="237" w:lineRule="auto"/>
        <w:ind w:left="25"/>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三、供应商基本情况表</w:t>
      </w:r>
    </w:p>
    <w:p>
      <w:pPr>
        <w:keepNext w:val="0"/>
        <w:keepLines w:val="0"/>
        <w:pageBreakBefore w:val="0"/>
        <w:kinsoku/>
        <w:wordWrap w:val="0"/>
        <w:overflowPunct w:val="0"/>
        <w:topLinePunct/>
        <w:autoSpaceDE w:val="0"/>
        <w:autoSpaceDN w:val="0"/>
        <w:bidi w:val="0"/>
        <w:spacing w:before="147" w:line="221" w:lineRule="auto"/>
        <w:ind w:left="2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四、服务方案 </w:t>
      </w:r>
    </w:p>
    <w:p>
      <w:pPr>
        <w:keepNext w:val="0"/>
        <w:keepLines w:val="0"/>
        <w:pageBreakBefore w:val="0"/>
        <w:kinsoku/>
        <w:wordWrap w:val="0"/>
        <w:overflowPunct w:val="0"/>
        <w:topLinePunct/>
        <w:autoSpaceDE w:val="0"/>
        <w:autoSpaceDN w:val="0"/>
        <w:bidi w:val="0"/>
        <w:spacing w:before="147" w:line="221" w:lineRule="auto"/>
        <w:ind w:left="2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五、供应商认为需要提供的其他材料 </w:t>
      </w:r>
    </w:p>
    <w:p>
      <w:pPr>
        <w:keepNext w:val="0"/>
        <w:keepLines w:val="0"/>
        <w:pageBreakBefore w:val="0"/>
        <w:kinsoku/>
        <w:wordWrap w:val="0"/>
        <w:overflowPunct w:val="0"/>
        <w:topLinePunct/>
        <w:autoSpaceDE w:val="0"/>
        <w:autoSpaceDN w:val="0"/>
        <w:bidi w:val="0"/>
        <w:spacing w:before="147" w:line="221" w:lineRule="auto"/>
        <w:ind w:left="29"/>
        <w:rPr>
          <w:rFonts w:hint="eastAsia" w:ascii="宋体" w:hAnsi="宋体" w:eastAsia="宋体" w:cs="宋体"/>
          <w:color w:val="auto"/>
          <w:sz w:val="28"/>
          <w:szCs w:val="28"/>
          <w:highlight w:val="none"/>
        </w:rPr>
      </w:pPr>
    </w:p>
    <w:p>
      <w:pPr>
        <w:pStyle w:val="13"/>
        <w:keepNext w:val="0"/>
        <w:keepLines w:val="0"/>
        <w:pageBreakBefore w:val="0"/>
        <w:kinsoku/>
        <w:wordWrap w:val="0"/>
        <w:overflowPunct w:val="0"/>
        <w:topLinePunct/>
        <w:autoSpaceDE w:val="0"/>
        <w:autoSpaceDN w:val="0"/>
        <w:bidi w:val="0"/>
        <w:rPr>
          <w:rFonts w:hint="eastAsia" w:ascii="宋体" w:hAnsi="宋体" w:eastAsia="宋体" w:cs="宋体"/>
          <w:color w:val="auto"/>
          <w:sz w:val="28"/>
          <w:szCs w:val="28"/>
          <w:highlight w:val="none"/>
        </w:rPr>
      </w:pP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p>
      <w:pPr>
        <w:keepNext w:val="0"/>
        <w:keepLines w:val="0"/>
        <w:pageBreakBefore w:val="0"/>
        <w:kinsoku/>
        <w:wordWrap w:val="0"/>
        <w:overflowPunct w:val="0"/>
        <w:topLinePunct/>
        <w:autoSpaceDE w:val="0"/>
        <w:autoSpaceDN w:val="0"/>
        <w:bidi w:val="0"/>
        <w:spacing w:line="263"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64"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64"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64"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rPr>
          <w:rFonts w:hint="eastAsia" w:ascii="宋体" w:hAnsi="宋体" w:eastAsia="宋体" w:cs="宋体"/>
          <w:b/>
          <w:bCs/>
          <w:color w:val="auto"/>
          <w:sz w:val="28"/>
          <w:szCs w:val="28"/>
          <w:highlight w:val="none"/>
        </w:rPr>
      </w:pPr>
      <w:bookmarkStart w:id="95" w:name="_Toc26499"/>
      <w:r>
        <w:rPr>
          <w:rFonts w:hint="eastAsia" w:ascii="宋体" w:hAnsi="宋体" w:eastAsia="宋体" w:cs="宋体"/>
          <w:b/>
          <w:bCs/>
          <w:color w:val="auto"/>
          <w:sz w:val="28"/>
          <w:szCs w:val="28"/>
          <w:highlight w:val="none"/>
        </w:rPr>
        <w:t>(供应商可根据实际情况自拟投标文件详细目录、标注页码)</w:t>
      </w:r>
      <w:bookmarkEnd w:id="95"/>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footerReference r:id="rId12" w:type="default"/>
          <w:pgSz w:w="11906" w:h="16839"/>
          <w:pgMar w:top="1440" w:right="1080" w:bottom="1440" w:left="1080" w:header="1096" w:footer="444" w:gutter="0"/>
          <w:pgNumType w:fmt="decimal"/>
          <w:cols w:space="720" w:num="1"/>
        </w:sectPr>
      </w:pPr>
    </w:p>
    <w:p>
      <w:pPr>
        <w:keepNext w:val="0"/>
        <w:keepLines w:val="0"/>
        <w:pageBreakBefore w:val="0"/>
        <w:kinsoku/>
        <w:wordWrap w:val="0"/>
        <w:overflowPunct w:val="0"/>
        <w:topLinePunct/>
        <w:autoSpaceDE w:val="0"/>
        <w:autoSpaceDN w:val="0"/>
        <w:bidi w:val="0"/>
        <w:rPr>
          <w:rFonts w:hint="eastAsia" w:ascii="宋体" w:hAnsi="宋体" w:eastAsia="宋体" w:cs="宋体"/>
          <w:color w:val="auto"/>
          <w:spacing w:val="19"/>
          <w:sz w:val="31"/>
          <w:szCs w:val="31"/>
          <w:highlight w:val="none"/>
          <w14:textOutline w14:w="5756" w14:cap="flat" w14:cmpd="sng">
            <w14:solidFill>
              <w14:srgbClr w14:val="000000"/>
            </w14:solidFill>
            <w14:prstDash w14:val="solid"/>
            <w14:miter w14:val="0"/>
          </w14:textOutline>
        </w:rPr>
      </w:pPr>
      <w:r>
        <w:rPr>
          <w:rFonts w:hint="eastAsia" w:ascii="宋体" w:hAnsi="宋体" w:eastAsia="宋体" w:cs="宋体"/>
          <w:color w:val="auto"/>
          <w:spacing w:val="19"/>
          <w:sz w:val="31"/>
          <w:szCs w:val="31"/>
          <w:highlight w:val="none"/>
          <w14:textOutline w14:w="5756" w14:cap="flat" w14:cmpd="sng">
            <w14:solidFill>
              <w14:srgbClr w14:val="000000"/>
            </w14:solidFill>
            <w14:prstDash w14:val="solid"/>
            <w14:miter w14:val="0"/>
          </w14:textOutline>
        </w:rPr>
        <w:br w:type="page"/>
      </w: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rPr>
      </w:pPr>
      <w:bookmarkStart w:id="96" w:name="_Toc10363"/>
      <w:r>
        <w:rPr>
          <w:rFonts w:hint="eastAsia" w:ascii="宋体" w:hAnsi="宋体" w:eastAsia="宋体" w:cs="宋体"/>
          <w:b/>
          <w:bCs/>
          <w:color w:val="auto"/>
          <w:sz w:val="30"/>
          <w:szCs w:val="30"/>
          <w:highlight w:val="none"/>
        </w:rPr>
        <w:t>一、投标函及开标一览表</w:t>
      </w:r>
      <w:bookmarkEnd w:id="96"/>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rPr>
      </w:pPr>
      <w:bookmarkStart w:id="97" w:name="_Toc10861"/>
      <w:r>
        <w:rPr>
          <w:rFonts w:hint="eastAsia" w:ascii="宋体" w:hAnsi="宋体" w:eastAsia="宋体" w:cs="宋体"/>
          <w:b/>
          <w:bCs/>
          <w:color w:val="auto"/>
          <w:sz w:val="30"/>
          <w:szCs w:val="30"/>
          <w:highlight w:val="none"/>
        </w:rPr>
        <w:t>(一)投标函</w:t>
      </w:r>
      <w:bookmarkEnd w:id="97"/>
    </w:p>
    <w:p>
      <w:pPr>
        <w:keepNext w:val="0"/>
        <w:keepLines w:val="0"/>
        <w:pageBreakBefore w:val="0"/>
        <w:kinsoku/>
        <w:wordWrap w:val="0"/>
        <w:overflowPunct w:val="0"/>
        <w:topLinePunct/>
        <w:autoSpaceDE w:val="0"/>
        <w:autoSpaceDN w:val="0"/>
        <w:bidi w:val="0"/>
        <w:spacing w:before="277" w:line="219" w:lineRule="auto"/>
        <w:ind w:left="2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致：</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rPr>
        <w:t>(采购人名称)</w:t>
      </w:r>
    </w:p>
    <w:p>
      <w:pPr>
        <w:keepNext w:val="0"/>
        <w:keepLines w:val="0"/>
        <w:pageBreakBefore w:val="0"/>
        <w:kinsoku/>
        <w:wordWrap w:val="0"/>
        <w:overflowPunct w:val="0"/>
        <w:topLinePunct/>
        <w:autoSpaceDE w:val="0"/>
        <w:autoSpaceDN w:val="0"/>
        <w:bidi w:val="0"/>
        <w:spacing w:before="165" w:line="330" w:lineRule="auto"/>
        <w:ind w:left="23" w:right="76" w:firstLine="56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根据</w:t>
      </w:r>
      <w:r>
        <w:rPr>
          <w:rFonts w:hint="eastAsia" w:ascii="宋体" w:hAnsi="宋体" w:eastAsia="宋体" w:cs="宋体"/>
          <w:color w:val="auto"/>
          <w:spacing w:val="1"/>
          <w:sz w:val="24"/>
          <w:szCs w:val="24"/>
          <w:highlight w:val="none"/>
        </w:rPr>
        <w:t>贵方</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(项目名称和</w:t>
      </w:r>
      <w:r>
        <w:rPr>
          <w:rFonts w:hint="eastAsia" w:ascii="宋体" w:hAnsi="宋体" w:eastAsia="宋体" w:cs="宋体"/>
          <w:color w:val="auto"/>
          <w:spacing w:val="1"/>
          <w:sz w:val="24"/>
          <w:szCs w:val="24"/>
          <w:highlight w:val="none"/>
          <w:lang w:eastAsia="zh-CN"/>
        </w:rPr>
        <w:t>采购编号</w:t>
      </w:r>
      <w:r>
        <w:rPr>
          <w:rFonts w:hint="eastAsia" w:ascii="宋体" w:hAnsi="宋体" w:eastAsia="宋体" w:cs="宋体"/>
          <w:color w:val="auto"/>
          <w:spacing w:val="1"/>
          <w:sz w:val="24"/>
          <w:szCs w:val="24"/>
          <w:highlight w:val="none"/>
        </w:rPr>
        <w:t>) 招标文件，</w:t>
      </w:r>
      <w:r>
        <w:rPr>
          <w:rFonts w:hint="eastAsia" w:ascii="宋体" w:hAnsi="宋体" w:eastAsia="宋体" w:cs="宋体"/>
          <w:color w:val="auto"/>
          <w:spacing w:val="1"/>
          <w:sz w:val="24"/>
          <w:szCs w:val="24"/>
          <w:highlight w:val="none"/>
          <w:u w:val="single" w:color="auto"/>
        </w:rPr>
        <w:t xml:space="preserve"> (法定代</w:t>
      </w:r>
      <w:r>
        <w:rPr>
          <w:rFonts w:hint="eastAsia" w:ascii="宋体" w:hAnsi="宋体" w:eastAsia="宋体" w:cs="宋体"/>
          <w:color w:val="auto"/>
          <w:spacing w:val="-4"/>
          <w:sz w:val="24"/>
          <w:szCs w:val="24"/>
          <w:highlight w:val="none"/>
          <w:u w:val="single" w:color="auto"/>
        </w:rPr>
        <w:t xml:space="preserve">表人)  </w:t>
      </w:r>
      <w:r>
        <w:rPr>
          <w:rFonts w:hint="eastAsia" w:ascii="宋体" w:hAnsi="宋体" w:eastAsia="宋体" w:cs="宋体"/>
          <w:color w:val="auto"/>
          <w:spacing w:val="-4"/>
          <w:sz w:val="24"/>
          <w:szCs w:val="24"/>
          <w:highlight w:val="none"/>
        </w:rPr>
        <w:t xml:space="preserve"> 正式授权</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(姓名)  (职位) </w:t>
      </w:r>
      <w:r>
        <w:rPr>
          <w:rFonts w:hint="eastAsia" w:ascii="宋体" w:hAnsi="宋体" w:eastAsia="宋体" w:cs="宋体"/>
          <w:color w:val="auto"/>
          <w:spacing w:val="-2"/>
          <w:sz w:val="24"/>
          <w:szCs w:val="24"/>
          <w:highlight w:val="none"/>
        </w:rPr>
        <w:t>代表我公司</w:t>
      </w:r>
      <w:r>
        <w:rPr>
          <w:rFonts w:hint="eastAsia" w:ascii="宋体" w:hAnsi="宋体" w:eastAsia="宋体" w:cs="宋体"/>
          <w:color w:val="auto"/>
          <w:spacing w:val="-2"/>
          <w:sz w:val="24"/>
          <w:szCs w:val="24"/>
          <w:highlight w:val="none"/>
          <w:u w:val="single" w:color="auto"/>
        </w:rPr>
        <w:t xml:space="preserve">  (公司名称、</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公司地址) </w:t>
      </w:r>
      <w:r>
        <w:rPr>
          <w:rFonts w:hint="eastAsia" w:ascii="宋体" w:hAnsi="宋体" w:eastAsia="宋体" w:cs="宋体"/>
          <w:color w:val="auto"/>
          <w:spacing w:val="-1"/>
          <w:sz w:val="24"/>
          <w:szCs w:val="24"/>
          <w:highlight w:val="none"/>
        </w:rPr>
        <w:t>上传投</w:t>
      </w:r>
      <w:r>
        <w:rPr>
          <w:rFonts w:hint="eastAsia" w:ascii="宋体" w:hAnsi="宋体" w:eastAsia="宋体" w:cs="宋体"/>
          <w:color w:val="auto"/>
          <w:sz w:val="24"/>
          <w:szCs w:val="24"/>
          <w:highlight w:val="none"/>
        </w:rPr>
        <w:t>标文件。并对之负法律责任。</w:t>
      </w:r>
    </w:p>
    <w:p>
      <w:pPr>
        <w:keepNext w:val="0"/>
        <w:keepLines w:val="0"/>
        <w:pageBreakBefore w:val="0"/>
        <w:kinsoku/>
        <w:wordWrap w:val="0"/>
        <w:overflowPunct w:val="0"/>
        <w:topLinePunct/>
        <w:autoSpaceDE w:val="0"/>
        <w:autoSpaceDN w:val="0"/>
        <w:bidi w:val="0"/>
        <w:spacing w:before="1" w:line="219" w:lineRule="auto"/>
        <w:ind w:left="44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据此函，签字代表宣</w:t>
      </w:r>
      <w:r>
        <w:rPr>
          <w:rFonts w:hint="eastAsia" w:ascii="宋体" w:hAnsi="宋体" w:eastAsia="宋体" w:cs="宋体"/>
          <w:color w:val="auto"/>
          <w:sz w:val="24"/>
          <w:szCs w:val="24"/>
          <w:highlight w:val="none"/>
        </w:rPr>
        <w:t>布同意如下：</w:t>
      </w:r>
    </w:p>
    <w:p>
      <w:pPr>
        <w:keepNext w:val="0"/>
        <w:keepLines w:val="0"/>
        <w:pageBreakBefore w:val="0"/>
        <w:kinsoku/>
        <w:wordWrap w:val="0"/>
        <w:overflowPunct w:val="0"/>
        <w:topLinePunct/>
        <w:autoSpaceDE w:val="0"/>
        <w:autoSpaceDN w:val="0"/>
        <w:bidi w:val="0"/>
        <w:spacing w:before="165" w:line="330" w:lineRule="auto"/>
        <w:ind w:left="28" w:right="76" w:firstLine="437"/>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7"/>
          <w:sz w:val="24"/>
          <w:szCs w:val="24"/>
          <w:highlight w:val="none"/>
        </w:rPr>
        <w:t>、我方提供的服务期限</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合同履行期限</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7"/>
          <w:sz w:val="24"/>
          <w:szCs w:val="24"/>
          <w:highlight w:val="none"/>
        </w:rPr>
        <w:t>；服务质量：</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15"/>
          <w:sz w:val="24"/>
          <w:szCs w:val="24"/>
          <w:highlight w:val="none"/>
        </w:rPr>
        <w:t>；</w:t>
      </w:r>
    </w:p>
    <w:p>
      <w:pPr>
        <w:keepNext w:val="0"/>
        <w:keepLines w:val="0"/>
        <w:pageBreakBefore w:val="0"/>
        <w:kinsoku/>
        <w:wordWrap w:val="0"/>
        <w:overflowPunct w:val="0"/>
        <w:topLinePunct/>
        <w:autoSpaceDE w:val="0"/>
        <w:autoSpaceDN w:val="0"/>
        <w:bidi w:val="0"/>
        <w:spacing w:before="3" w:line="329" w:lineRule="auto"/>
        <w:ind w:left="26" w:right="76" w:firstLine="42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2、如果我们的</w:t>
      </w:r>
      <w:r>
        <w:rPr>
          <w:rFonts w:hint="eastAsia" w:ascii="宋体" w:hAnsi="宋体" w:eastAsia="宋体" w:cs="宋体"/>
          <w:color w:val="auto"/>
          <w:spacing w:val="-3"/>
          <w:sz w:val="24"/>
          <w:szCs w:val="24"/>
          <w:highlight w:val="none"/>
        </w:rPr>
        <w:t>投标文件被接受，我们将按招标文件的规定签订并</w:t>
      </w:r>
      <w:r>
        <w:rPr>
          <w:rFonts w:hint="eastAsia" w:ascii="宋体" w:hAnsi="宋体" w:eastAsia="宋体" w:cs="宋体"/>
          <w:color w:val="auto"/>
          <w:spacing w:val="-1"/>
          <w:sz w:val="24"/>
          <w:szCs w:val="24"/>
          <w:highlight w:val="none"/>
        </w:rPr>
        <w:t>严格履行合同中的责任和义</w:t>
      </w:r>
      <w:r>
        <w:rPr>
          <w:rFonts w:hint="eastAsia" w:ascii="宋体" w:hAnsi="宋体" w:eastAsia="宋体" w:cs="宋体"/>
          <w:color w:val="auto"/>
          <w:sz w:val="24"/>
          <w:szCs w:val="24"/>
          <w:highlight w:val="none"/>
        </w:rPr>
        <w:t>务。</w:t>
      </w:r>
    </w:p>
    <w:p>
      <w:pPr>
        <w:keepNext w:val="0"/>
        <w:keepLines w:val="0"/>
        <w:pageBreakBefore w:val="0"/>
        <w:kinsoku/>
        <w:wordWrap w:val="0"/>
        <w:overflowPunct w:val="0"/>
        <w:topLinePunct/>
        <w:autoSpaceDE w:val="0"/>
        <w:autoSpaceDN w:val="0"/>
        <w:bidi w:val="0"/>
        <w:spacing w:before="3" w:line="329" w:lineRule="auto"/>
        <w:ind w:left="23" w:right="76" w:firstLine="42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3、供应商已详细</w:t>
      </w:r>
      <w:r>
        <w:rPr>
          <w:rFonts w:hint="eastAsia" w:ascii="宋体" w:hAnsi="宋体" w:eastAsia="宋体" w:cs="宋体"/>
          <w:color w:val="auto"/>
          <w:spacing w:val="-3"/>
          <w:sz w:val="24"/>
          <w:szCs w:val="24"/>
          <w:highlight w:val="none"/>
        </w:rPr>
        <w:t>审查全部招标文件，包括修改文件以及全部参考</w:t>
      </w:r>
      <w:r>
        <w:rPr>
          <w:rFonts w:hint="eastAsia" w:ascii="宋体" w:hAnsi="宋体" w:eastAsia="宋体" w:cs="宋体"/>
          <w:color w:val="auto"/>
          <w:spacing w:val="-6"/>
          <w:sz w:val="24"/>
          <w:szCs w:val="24"/>
          <w:highlight w:val="none"/>
        </w:rPr>
        <w:t>资料和有</w:t>
      </w:r>
      <w:r>
        <w:rPr>
          <w:rFonts w:hint="eastAsia" w:ascii="宋体" w:hAnsi="宋体" w:eastAsia="宋体" w:cs="宋体"/>
          <w:color w:val="auto"/>
          <w:spacing w:val="-5"/>
          <w:sz w:val="24"/>
          <w:szCs w:val="24"/>
          <w:highlight w:val="none"/>
        </w:rPr>
        <w:t>关</w:t>
      </w:r>
      <w:r>
        <w:rPr>
          <w:rFonts w:hint="eastAsia" w:ascii="宋体" w:hAnsi="宋体" w:eastAsia="宋体" w:cs="宋体"/>
          <w:color w:val="auto"/>
          <w:spacing w:val="-3"/>
          <w:sz w:val="24"/>
          <w:szCs w:val="24"/>
          <w:highlight w:val="none"/>
        </w:rPr>
        <w:t>附件。我们完全理解并同意放弃对这方面有不明及误解的</w:t>
      </w:r>
      <w:r>
        <w:rPr>
          <w:rFonts w:hint="eastAsia" w:ascii="宋体" w:hAnsi="宋体" w:eastAsia="宋体" w:cs="宋体"/>
          <w:color w:val="auto"/>
          <w:spacing w:val="-4"/>
          <w:sz w:val="24"/>
          <w:szCs w:val="24"/>
          <w:highlight w:val="none"/>
        </w:rPr>
        <w:t>权</w:t>
      </w:r>
      <w:r>
        <w:rPr>
          <w:rFonts w:hint="eastAsia" w:ascii="宋体" w:hAnsi="宋体" w:eastAsia="宋体" w:cs="宋体"/>
          <w:color w:val="auto"/>
          <w:spacing w:val="-3"/>
          <w:sz w:val="24"/>
          <w:szCs w:val="24"/>
          <w:highlight w:val="none"/>
        </w:rPr>
        <w:t>利</w:t>
      </w:r>
      <w:r>
        <w:rPr>
          <w:rFonts w:hint="eastAsia" w:ascii="宋体" w:hAnsi="宋体" w:eastAsia="宋体" w:cs="宋体"/>
          <w:color w:val="auto"/>
          <w:spacing w:val="-2"/>
          <w:sz w:val="24"/>
          <w:szCs w:val="24"/>
          <w:highlight w:val="none"/>
        </w:rPr>
        <w:t>。</w:t>
      </w:r>
    </w:p>
    <w:p>
      <w:pPr>
        <w:keepNext w:val="0"/>
        <w:keepLines w:val="0"/>
        <w:pageBreakBefore w:val="0"/>
        <w:kinsoku/>
        <w:wordWrap w:val="0"/>
        <w:overflowPunct w:val="0"/>
        <w:topLinePunct/>
        <w:autoSpaceDE w:val="0"/>
        <w:autoSpaceDN w:val="0"/>
        <w:bidi w:val="0"/>
        <w:spacing w:line="329" w:lineRule="auto"/>
        <w:ind w:left="28" w:right="76" w:firstLine="4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4、供应商</w:t>
      </w:r>
      <w:r>
        <w:rPr>
          <w:rFonts w:hint="eastAsia" w:ascii="宋体" w:hAnsi="宋体" w:eastAsia="宋体" w:cs="宋体"/>
          <w:color w:val="auto"/>
          <w:spacing w:val="-5"/>
          <w:sz w:val="24"/>
          <w:szCs w:val="24"/>
          <w:highlight w:val="none"/>
        </w:rPr>
        <w:t>同</w:t>
      </w:r>
      <w:r>
        <w:rPr>
          <w:rFonts w:hint="eastAsia" w:ascii="宋体" w:hAnsi="宋体" w:eastAsia="宋体" w:cs="宋体"/>
          <w:color w:val="auto"/>
          <w:spacing w:val="-3"/>
          <w:sz w:val="24"/>
          <w:szCs w:val="24"/>
          <w:highlight w:val="none"/>
        </w:rPr>
        <w:t>意提供按照贵方可能要求的与其投标有关的一切数据</w:t>
      </w:r>
      <w:r>
        <w:rPr>
          <w:rFonts w:hint="eastAsia" w:ascii="宋体" w:hAnsi="宋体" w:eastAsia="宋体" w:cs="宋体"/>
          <w:color w:val="auto"/>
          <w:spacing w:val="-1"/>
          <w:sz w:val="24"/>
          <w:szCs w:val="24"/>
          <w:highlight w:val="none"/>
        </w:rPr>
        <w:t>或资料，完全理解贵方不一定接</w:t>
      </w:r>
      <w:r>
        <w:rPr>
          <w:rFonts w:hint="eastAsia" w:ascii="宋体" w:hAnsi="宋体" w:eastAsia="宋体" w:cs="宋体"/>
          <w:color w:val="auto"/>
          <w:sz w:val="24"/>
          <w:szCs w:val="24"/>
          <w:highlight w:val="none"/>
        </w:rPr>
        <w:t>受最低价的投标或其他任何投标。</w:t>
      </w:r>
    </w:p>
    <w:p>
      <w:pPr>
        <w:keepNext w:val="0"/>
        <w:keepLines w:val="0"/>
        <w:pageBreakBefore w:val="0"/>
        <w:kinsoku/>
        <w:wordWrap w:val="0"/>
        <w:overflowPunct w:val="0"/>
        <w:topLinePunct/>
        <w:autoSpaceDE w:val="0"/>
        <w:autoSpaceDN w:val="0"/>
        <w:bidi w:val="0"/>
        <w:spacing w:before="3" w:line="329" w:lineRule="auto"/>
        <w:ind w:left="27" w:firstLine="423"/>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5</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0"/>
          <w:sz w:val="24"/>
          <w:szCs w:val="24"/>
          <w:highlight w:val="none"/>
        </w:rPr>
        <w:t>我方保证投标文件中的所有资料均为真实、有效的，如有虚假，</w:t>
      </w:r>
      <w:r>
        <w:rPr>
          <w:rFonts w:hint="eastAsia" w:ascii="宋体" w:hAnsi="宋体" w:eastAsia="宋体" w:cs="宋体"/>
          <w:color w:val="auto"/>
          <w:spacing w:val="-1"/>
          <w:sz w:val="24"/>
          <w:szCs w:val="24"/>
          <w:highlight w:val="none"/>
        </w:rPr>
        <w:t>我方承诺投标文件无效并愿承担</w:t>
      </w:r>
      <w:r>
        <w:rPr>
          <w:rFonts w:hint="eastAsia" w:ascii="宋体" w:hAnsi="宋体" w:eastAsia="宋体" w:cs="宋体"/>
          <w:color w:val="auto"/>
          <w:sz w:val="24"/>
          <w:szCs w:val="24"/>
          <w:highlight w:val="none"/>
        </w:rPr>
        <w:t>一切责任。</w:t>
      </w:r>
    </w:p>
    <w:p>
      <w:pPr>
        <w:keepNext w:val="0"/>
        <w:keepLines w:val="0"/>
        <w:pageBreakBefore w:val="0"/>
        <w:tabs>
          <w:tab w:val="left" w:pos="172"/>
        </w:tabs>
        <w:kinsoku/>
        <w:wordWrap w:val="0"/>
        <w:overflowPunct w:val="0"/>
        <w:topLinePunct/>
        <w:autoSpaceDE w:val="0"/>
        <w:autoSpaceDN w:val="0"/>
        <w:bidi w:val="0"/>
        <w:spacing w:before="3" w:line="333" w:lineRule="auto"/>
        <w:ind w:left="31" w:right="76" w:firstLine="41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6、如果</w:t>
      </w:r>
      <w:r>
        <w:rPr>
          <w:rFonts w:hint="eastAsia" w:ascii="宋体" w:hAnsi="宋体" w:eastAsia="宋体" w:cs="宋体"/>
          <w:color w:val="auto"/>
          <w:spacing w:val="6"/>
          <w:sz w:val="24"/>
          <w:szCs w:val="24"/>
          <w:highlight w:val="none"/>
        </w:rPr>
        <w:t>我</w:t>
      </w:r>
      <w:r>
        <w:rPr>
          <w:rFonts w:hint="eastAsia" w:ascii="宋体" w:hAnsi="宋体" w:eastAsia="宋体" w:cs="宋体"/>
          <w:color w:val="auto"/>
          <w:spacing w:val="5"/>
          <w:sz w:val="24"/>
          <w:szCs w:val="24"/>
          <w:highlight w:val="none"/>
        </w:rPr>
        <w:t>方中标，愿</w:t>
      </w:r>
      <w:r>
        <w:rPr>
          <w:rFonts w:hint="eastAsia" w:ascii="宋体" w:hAnsi="宋体" w:eastAsia="宋体" w:cs="宋体"/>
          <w:color w:val="auto"/>
          <w:spacing w:val="5"/>
          <w:sz w:val="24"/>
          <w:szCs w:val="24"/>
          <w:highlight w:val="none"/>
          <w:lang w:val="en-US" w:eastAsia="zh-CN"/>
        </w:rPr>
        <w:t>按照《河南省招标代理服务收费指导意见》（豫招协[2023]002号）</w:t>
      </w:r>
      <w:r>
        <w:rPr>
          <w:rFonts w:hint="eastAsia" w:ascii="宋体" w:hAnsi="宋体" w:eastAsia="宋体" w:cs="宋体"/>
          <w:color w:val="auto"/>
          <w:spacing w:val="5"/>
          <w:sz w:val="24"/>
          <w:szCs w:val="24"/>
          <w:highlight w:val="none"/>
        </w:rPr>
        <w:t>向代理方支付招标服务费。</w:t>
      </w:r>
    </w:p>
    <w:p>
      <w:pPr>
        <w:keepNext w:val="0"/>
        <w:keepLines w:val="0"/>
        <w:pageBreakBefore w:val="0"/>
        <w:kinsoku/>
        <w:wordWrap w:val="0"/>
        <w:overflowPunct w:val="0"/>
        <w:topLinePunct/>
        <w:autoSpaceDE w:val="0"/>
        <w:autoSpaceDN w:val="0"/>
        <w:bidi w:val="0"/>
        <w:spacing w:line="257" w:lineRule="auto"/>
        <w:rPr>
          <w:rFonts w:hint="eastAsia" w:ascii="宋体" w:hAnsi="宋体" w:eastAsia="宋体" w:cs="宋体"/>
          <w:color w:val="auto"/>
          <w:sz w:val="24"/>
          <w:szCs w:val="24"/>
          <w:highlight w:val="none"/>
        </w:rPr>
      </w:pPr>
    </w:p>
    <w:p>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4"/>
          <w:szCs w:val="24"/>
          <w:highlight w:val="none"/>
        </w:rPr>
      </w:pPr>
    </w:p>
    <w:p>
      <w:pPr>
        <w:keepNext w:val="0"/>
        <w:keepLines w:val="0"/>
        <w:pageBreakBefore w:val="0"/>
        <w:kinsoku/>
        <w:wordWrap w:val="0"/>
        <w:overflowPunct w:val="0"/>
        <w:topLinePunct/>
        <w:autoSpaceDE w:val="0"/>
        <w:autoSpaceDN w:val="0"/>
        <w:bidi w:val="0"/>
        <w:spacing w:before="91" w:line="411" w:lineRule="auto"/>
        <w:ind w:left="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供应商(单位电子签章)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 xml:space="preserve">                         </w:t>
      </w:r>
    </w:p>
    <w:p>
      <w:pPr>
        <w:keepNext w:val="0"/>
        <w:keepLines w:val="0"/>
        <w:pageBreakBefore w:val="0"/>
        <w:kinsoku/>
        <w:wordWrap w:val="0"/>
        <w:overflowPunct w:val="0"/>
        <w:topLinePunct/>
        <w:autoSpaceDE w:val="0"/>
        <w:autoSpaceDN w:val="0"/>
        <w:bidi w:val="0"/>
        <w:spacing w:before="1" w:line="219" w:lineRule="auto"/>
        <w:ind w:left="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法定代表人或其委托代理人(签字或电子签名) ：</w:t>
      </w:r>
      <w:r>
        <w:rPr>
          <w:rFonts w:hint="eastAsia" w:ascii="宋体" w:hAnsi="宋体" w:eastAsia="宋体" w:cs="宋体"/>
          <w:color w:val="auto"/>
          <w:sz w:val="24"/>
          <w:szCs w:val="24"/>
          <w:highlight w:val="none"/>
          <w:u w:val="single" w:color="auto"/>
        </w:rPr>
        <w:t xml:space="preserve">          </w:t>
      </w:r>
    </w:p>
    <w:p>
      <w:pPr>
        <w:keepNext w:val="0"/>
        <w:keepLines w:val="0"/>
        <w:pageBreakBefore w:val="0"/>
        <w:kinsoku/>
        <w:wordWrap w:val="0"/>
        <w:overflowPunct w:val="0"/>
        <w:topLinePunct/>
        <w:autoSpaceDE w:val="0"/>
        <w:autoSpaceDN w:val="0"/>
        <w:bidi w:val="0"/>
        <w:spacing w:before="291" w:line="220" w:lineRule="auto"/>
        <w:ind w:left="73"/>
        <w:rPr>
          <w:rFonts w:hint="eastAsia" w:ascii="宋体" w:hAnsi="宋体" w:eastAsia="宋体" w:cs="宋体"/>
          <w:color w:val="auto"/>
          <w:sz w:val="28"/>
          <w:szCs w:val="28"/>
          <w:highlight w:val="none"/>
        </w:rPr>
      </w:pPr>
      <w:r>
        <w:rPr>
          <w:rFonts w:hint="eastAsia" w:ascii="宋体" w:hAnsi="宋体" w:eastAsia="宋体" w:cs="宋体"/>
          <w:color w:val="auto"/>
          <w:spacing w:val="-6"/>
          <w:sz w:val="24"/>
          <w:szCs w:val="24"/>
          <w:highlight w:val="none"/>
        </w:rPr>
        <w:t xml:space="preserve">日    </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3"/>
          <w:sz w:val="24"/>
          <w:szCs w:val="24"/>
          <w:highlight w:val="none"/>
        </w:rPr>
        <w:t>期：</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年</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月</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日</w:t>
      </w: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headerReference r:id="rId13" w:type="default"/>
          <w:footerReference r:id="rId14" w:type="default"/>
          <w:type w:val="continuous"/>
          <w:pgSz w:w="11906" w:h="16839"/>
          <w:pgMar w:top="1440" w:right="1080" w:bottom="1440" w:left="1080" w:header="1096" w:footer="444" w:gutter="0"/>
          <w:pgNumType w:fmt="decimal"/>
          <w:cols w:space="720" w:num="1"/>
        </w:sect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rPr>
      </w:pPr>
      <w:bookmarkStart w:id="98" w:name="_Toc14524"/>
      <w:r>
        <w:rPr>
          <w:rFonts w:hint="eastAsia" w:ascii="宋体" w:hAnsi="宋体" w:eastAsia="宋体" w:cs="宋体"/>
          <w:b/>
          <w:bCs/>
          <w:color w:val="auto"/>
          <w:sz w:val="30"/>
          <w:szCs w:val="30"/>
          <w:highlight w:val="none"/>
        </w:rPr>
        <w:t>(二)开标一览表</w:t>
      </w:r>
      <w:bookmarkEnd w:id="98"/>
    </w:p>
    <w:p>
      <w:pPr>
        <w:keepNext w:val="0"/>
        <w:keepLines w:val="0"/>
        <w:pageBreakBefore w:val="0"/>
        <w:kinsoku/>
        <w:wordWrap w:val="0"/>
        <w:overflowPunct w:val="0"/>
        <w:topLinePunct/>
        <w:autoSpaceDE w:val="0"/>
        <w:autoSpaceDN w:val="0"/>
        <w:bidi w:val="0"/>
        <w:spacing w:line="187" w:lineRule="exact"/>
        <w:rPr>
          <w:rFonts w:hint="eastAsia" w:ascii="宋体" w:hAnsi="宋体" w:eastAsia="宋体" w:cs="宋体"/>
          <w:color w:val="auto"/>
          <w:highlight w:val="none"/>
        </w:rPr>
      </w:pPr>
    </w:p>
    <w:tbl>
      <w:tblPr>
        <w:tblStyle w:val="31"/>
        <w:tblW w:w="82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5"/>
        <w:gridCol w:w="6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jc w:val="center"/>
        </w:trPr>
        <w:tc>
          <w:tcPr>
            <w:tcW w:w="2155" w:type="dxa"/>
            <w:vAlign w:val="top"/>
          </w:tcPr>
          <w:p>
            <w:pPr>
              <w:keepNext w:val="0"/>
              <w:keepLines w:val="0"/>
              <w:pageBreakBefore w:val="0"/>
              <w:kinsoku/>
              <w:wordWrap w:val="0"/>
              <w:overflowPunct w:val="0"/>
              <w:topLinePunct/>
              <w:autoSpaceDE w:val="0"/>
              <w:autoSpaceDN w:val="0"/>
              <w:bidi w:val="0"/>
              <w:spacing w:before="249" w:line="219" w:lineRule="auto"/>
              <w:ind w:left="38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供应商名称</w:t>
            </w:r>
          </w:p>
        </w:tc>
        <w:tc>
          <w:tcPr>
            <w:tcW w:w="6096"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jc w:val="center"/>
        </w:trPr>
        <w:tc>
          <w:tcPr>
            <w:tcW w:w="2155" w:type="dxa"/>
            <w:vAlign w:val="center"/>
          </w:tcPr>
          <w:p>
            <w:pPr>
              <w:keepNext w:val="0"/>
              <w:keepLines w:val="0"/>
              <w:pageBreakBefore w:val="0"/>
              <w:kinsoku/>
              <w:wordWrap w:val="0"/>
              <w:overflowPunct w:val="0"/>
              <w:topLinePunct/>
              <w:autoSpaceDE w:val="0"/>
              <w:autoSpaceDN w:val="0"/>
              <w:bidi w:val="0"/>
              <w:spacing w:before="91"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投标报价(元</w:t>
            </w:r>
            <w:r>
              <w:rPr>
                <w:rFonts w:hint="eastAsia" w:ascii="宋体" w:hAnsi="宋体" w:eastAsia="宋体" w:cs="宋体"/>
                <w:color w:val="auto"/>
                <w:spacing w:val="-1"/>
                <w:sz w:val="24"/>
                <w:szCs w:val="24"/>
                <w:highlight w:val="none"/>
              </w:rPr>
              <w:t>)</w:t>
            </w:r>
          </w:p>
        </w:tc>
        <w:tc>
          <w:tcPr>
            <w:tcW w:w="6096" w:type="dxa"/>
            <w:vAlign w:val="center"/>
          </w:tcPr>
          <w:p>
            <w:pPr>
              <w:keepNext w:val="0"/>
              <w:keepLines w:val="0"/>
              <w:pageBreakBefore w:val="0"/>
              <w:kinsoku/>
              <w:wordWrap w:val="0"/>
              <w:overflowPunct w:val="0"/>
              <w:topLinePunct/>
              <w:autoSpaceDE w:val="0"/>
              <w:autoSpaceDN w:val="0"/>
              <w:bidi w:val="0"/>
              <w:spacing w:before="1" w:line="219" w:lineRule="auto"/>
              <w:jc w:val="left"/>
              <w:rPr>
                <w:rFonts w:hint="eastAsia" w:ascii="宋体" w:hAnsi="宋体" w:eastAsia="宋体" w:cs="宋体"/>
                <w:color w:val="auto"/>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jc w:val="center"/>
        </w:trPr>
        <w:tc>
          <w:tcPr>
            <w:tcW w:w="2155" w:type="dxa"/>
            <w:vAlign w:val="center"/>
          </w:tcPr>
          <w:p>
            <w:pPr>
              <w:keepNext w:val="0"/>
              <w:keepLines w:val="0"/>
              <w:pageBreakBefore w:val="0"/>
              <w:kinsoku/>
              <w:wordWrap w:val="0"/>
              <w:overflowPunct w:val="0"/>
              <w:topLinePunct/>
              <w:autoSpaceDE w:val="0"/>
              <w:autoSpaceDN w:val="0"/>
              <w:bidi w:val="0"/>
              <w:spacing w:before="91" w:line="219" w:lineRule="auto"/>
              <w:jc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项目经理</w:t>
            </w:r>
          </w:p>
        </w:tc>
        <w:tc>
          <w:tcPr>
            <w:tcW w:w="6096" w:type="dxa"/>
            <w:vAlign w:val="center"/>
          </w:tcPr>
          <w:p>
            <w:pPr>
              <w:keepNext w:val="0"/>
              <w:keepLines w:val="0"/>
              <w:pageBreakBefore w:val="0"/>
              <w:kinsoku/>
              <w:wordWrap w:val="0"/>
              <w:overflowPunct w:val="0"/>
              <w:topLinePunct/>
              <w:autoSpaceDE w:val="0"/>
              <w:autoSpaceDN w:val="0"/>
              <w:bidi w:val="0"/>
              <w:spacing w:before="1" w:line="219" w:lineRule="auto"/>
              <w:jc w:val="center"/>
              <w:rPr>
                <w:rFonts w:hint="eastAsia" w:ascii="宋体" w:hAnsi="宋体" w:eastAsia="宋体" w:cs="宋体"/>
                <w:color w:val="auto"/>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2155" w:type="dxa"/>
            <w:vAlign w:val="top"/>
          </w:tcPr>
          <w:p>
            <w:pPr>
              <w:keepNext w:val="0"/>
              <w:keepLines w:val="0"/>
              <w:pageBreakBefore w:val="0"/>
              <w:kinsoku/>
              <w:wordWrap w:val="0"/>
              <w:overflowPunct w:val="0"/>
              <w:topLinePunct/>
              <w:autoSpaceDE w:val="0"/>
              <w:autoSpaceDN w:val="0"/>
              <w:bidi w:val="0"/>
              <w:spacing w:before="229" w:line="220" w:lineRule="auto"/>
              <w:ind w:left="5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val="en-US" w:eastAsia="zh-CN"/>
              </w:rPr>
              <w:t>投标范围</w:t>
            </w:r>
          </w:p>
        </w:tc>
        <w:tc>
          <w:tcPr>
            <w:tcW w:w="6096"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2155" w:type="dxa"/>
            <w:vAlign w:val="top"/>
          </w:tcPr>
          <w:p>
            <w:pPr>
              <w:keepNext w:val="0"/>
              <w:keepLines w:val="0"/>
              <w:pageBreakBefore w:val="0"/>
              <w:kinsoku/>
              <w:wordWrap w:val="0"/>
              <w:overflowPunct w:val="0"/>
              <w:topLinePunct/>
              <w:autoSpaceDE w:val="0"/>
              <w:autoSpaceDN w:val="0"/>
              <w:bidi w:val="0"/>
              <w:spacing w:before="231" w:line="220" w:lineRule="auto"/>
              <w:ind w:left="52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服</w:t>
            </w:r>
            <w:r>
              <w:rPr>
                <w:rFonts w:hint="eastAsia" w:ascii="宋体" w:hAnsi="宋体" w:eastAsia="宋体" w:cs="宋体"/>
                <w:color w:val="auto"/>
                <w:spacing w:val="-2"/>
                <w:sz w:val="24"/>
                <w:szCs w:val="24"/>
                <w:highlight w:val="none"/>
              </w:rPr>
              <w:t>务要求</w:t>
            </w:r>
          </w:p>
        </w:tc>
        <w:tc>
          <w:tcPr>
            <w:tcW w:w="6096"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2155" w:type="dxa"/>
            <w:vAlign w:val="top"/>
          </w:tcPr>
          <w:p>
            <w:pPr>
              <w:keepNext w:val="0"/>
              <w:keepLines w:val="0"/>
              <w:pageBreakBefore w:val="0"/>
              <w:kinsoku/>
              <w:wordWrap w:val="0"/>
              <w:overflowPunct w:val="0"/>
              <w:topLinePunct/>
              <w:autoSpaceDE w:val="0"/>
              <w:autoSpaceDN w:val="0"/>
              <w:bidi w:val="0"/>
              <w:spacing w:before="188" w:line="224" w:lineRule="auto"/>
              <w:ind w:left="5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实施地点</w:t>
            </w:r>
          </w:p>
        </w:tc>
        <w:tc>
          <w:tcPr>
            <w:tcW w:w="6096"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2155" w:type="dxa"/>
            <w:vAlign w:val="top"/>
          </w:tcPr>
          <w:p>
            <w:pPr>
              <w:keepNext w:val="0"/>
              <w:keepLines w:val="0"/>
              <w:pageBreakBefore w:val="0"/>
              <w:kinsoku/>
              <w:wordWrap w:val="0"/>
              <w:overflowPunct w:val="0"/>
              <w:topLinePunct/>
              <w:autoSpaceDE w:val="0"/>
              <w:autoSpaceDN w:val="0"/>
              <w:bidi w:val="0"/>
              <w:spacing w:before="224" w:line="22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合同履行</w:t>
            </w:r>
            <w:r>
              <w:rPr>
                <w:rFonts w:hint="eastAsia" w:ascii="宋体" w:hAnsi="宋体" w:eastAsia="宋体" w:cs="宋体"/>
                <w:color w:val="auto"/>
                <w:spacing w:val="-2"/>
                <w:sz w:val="24"/>
                <w:szCs w:val="24"/>
                <w:highlight w:val="none"/>
              </w:rPr>
              <w:t>期限</w:t>
            </w:r>
          </w:p>
        </w:tc>
        <w:tc>
          <w:tcPr>
            <w:tcW w:w="6096"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2155" w:type="dxa"/>
            <w:vAlign w:val="top"/>
          </w:tcPr>
          <w:p>
            <w:pPr>
              <w:keepNext w:val="0"/>
              <w:keepLines w:val="0"/>
              <w:pageBreakBefore w:val="0"/>
              <w:kinsoku/>
              <w:wordWrap w:val="0"/>
              <w:overflowPunct w:val="0"/>
              <w:topLinePunct/>
              <w:autoSpaceDE w:val="0"/>
              <w:autoSpaceDN w:val="0"/>
              <w:bidi w:val="0"/>
              <w:spacing w:before="213" w:line="221" w:lineRule="auto"/>
              <w:ind w:left="39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w:t>
            </w:r>
            <w:r>
              <w:rPr>
                <w:rFonts w:hint="eastAsia" w:ascii="宋体" w:hAnsi="宋体" w:eastAsia="宋体" w:cs="宋体"/>
                <w:color w:val="auto"/>
                <w:spacing w:val="-3"/>
                <w:sz w:val="24"/>
                <w:szCs w:val="24"/>
                <w:highlight w:val="none"/>
              </w:rPr>
              <w:t>标</w:t>
            </w:r>
            <w:r>
              <w:rPr>
                <w:rFonts w:hint="eastAsia" w:ascii="宋体" w:hAnsi="宋体" w:eastAsia="宋体" w:cs="宋体"/>
                <w:color w:val="auto"/>
                <w:spacing w:val="-2"/>
                <w:sz w:val="24"/>
                <w:szCs w:val="24"/>
                <w:highlight w:val="none"/>
              </w:rPr>
              <w:t>有效期</w:t>
            </w:r>
          </w:p>
        </w:tc>
        <w:tc>
          <w:tcPr>
            <w:tcW w:w="6096"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8251" w:type="dxa"/>
            <w:gridSpan w:val="2"/>
            <w:vAlign w:val="top"/>
          </w:tcPr>
          <w:p>
            <w:pPr>
              <w:keepNext w:val="0"/>
              <w:keepLines w:val="0"/>
              <w:pageBreakBefore w:val="0"/>
              <w:kinsoku/>
              <w:wordWrap w:val="0"/>
              <w:overflowPunct w:val="0"/>
              <w:topLinePunct/>
              <w:autoSpaceDE w:val="0"/>
              <w:autoSpaceDN w:val="0"/>
              <w:bidi w:val="0"/>
              <w:spacing w:before="327" w:line="221" w:lineRule="auto"/>
              <w:ind w:left="2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备</w:t>
            </w:r>
            <w:r>
              <w:rPr>
                <w:rFonts w:hint="eastAsia" w:ascii="宋体" w:hAnsi="宋体" w:eastAsia="宋体" w:cs="宋体"/>
                <w:color w:val="auto"/>
                <w:spacing w:val="-4"/>
                <w:sz w:val="24"/>
                <w:szCs w:val="24"/>
                <w:highlight w:val="none"/>
              </w:rPr>
              <w:t>注：本项目各投标人在上传系统的开标一览表中的投标报价上只需填写数字 X 即可</w:t>
            </w:r>
          </w:p>
        </w:tc>
      </w:tr>
    </w:tbl>
    <w:p>
      <w:pPr>
        <w:keepNext w:val="0"/>
        <w:keepLines w:val="0"/>
        <w:pageBreakBefore w:val="0"/>
        <w:kinsoku/>
        <w:wordWrap w:val="0"/>
        <w:overflowPunct w:val="0"/>
        <w:topLinePunct/>
        <w:autoSpaceDE w:val="0"/>
        <w:autoSpaceDN w:val="0"/>
        <w:bidi w:val="0"/>
        <w:spacing w:line="284"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84"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84"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85" w:lineRule="auto"/>
        <w:rPr>
          <w:rFonts w:hint="eastAsia" w:ascii="宋体" w:hAnsi="宋体" w:eastAsia="宋体" w:cs="宋体"/>
          <w:color w:val="auto"/>
          <w:sz w:val="21"/>
          <w:highlight w:val="none"/>
        </w:rPr>
      </w:pPr>
    </w:p>
    <w:p>
      <w:pPr>
        <w:keepNext w:val="0"/>
        <w:keepLines w:val="0"/>
        <w:pageBreakBefore w:val="0"/>
        <w:widowControl/>
        <w:kinsoku/>
        <w:wordWrap w:val="0"/>
        <w:overflowPunct w:val="0"/>
        <w:topLinePunct/>
        <w:autoSpaceDE w:val="0"/>
        <w:autoSpaceDN w:val="0"/>
        <w:bidi w:val="0"/>
        <w:adjustRightInd w:val="0"/>
        <w:snapToGrid w:val="0"/>
        <w:ind w:firstLine="1920" w:firstLineChars="8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投标人(单位电子签章) ：</w:t>
      </w:r>
    </w:p>
    <w:p>
      <w:pPr>
        <w:keepNext w:val="0"/>
        <w:keepLines w:val="0"/>
        <w:pageBreakBefore w:val="0"/>
        <w:widowControl/>
        <w:kinsoku/>
        <w:wordWrap w:val="0"/>
        <w:overflowPunct w:val="0"/>
        <w:topLinePunct/>
        <w:autoSpaceDE w:val="0"/>
        <w:autoSpaceDN w:val="0"/>
        <w:bidi w:val="0"/>
        <w:adjustRightInd w:val="0"/>
        <w:snapToGrid w:val="0"/>
        <w:ind w:firstLine="1920" w:firstLineChars="800"/>
        <w:textAlignment w:val="baseline"/>
        <w:rPr>
          <w:rFonts w:hint="eastAsia" w:ascii="宋体" w:hAnsi="宋体" w:eastAsia="宋体" w:cs="宋体"/>
          <w:color w:val="auto"/>
          <w:sz w:val="24"/>
          <w:szCs w:val="24"/>
          <w:highlight w:val="none"/>
        </w:rPr>
      </w:pPr>
    </w:p>
    <w:p>
      <w:pPr>
        <w:keepNext w:val="0"/>
        <w:keepLines w:val="0"/>
        <w:pageBreakBefore w:val="0"/>
        <w:widowControl/>
        <w:kinsoku/>
        <w:wordWrap w:val="0"/>
        <w:overflowPunct w:val="0"/>
        <w:topLinePunct/>
        <w:autoSpaceDE w:val="0"/>
        <w:autoSpaceDN w:val="0"/>
        <w:bidi w:val="0"/>
        <w:adjustRightInd w:val="0"/>
        <w:snapToGrid w:val="0"/>
        <w:ind w:firstLine="1920" w:firstLineChars="8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法定代表人或其委托代理人(签字或电子签名)：</w:t>
      </w:r>
    </w:p>
    <w:p>
      <w:pPr>
        <w:keepNext w:val="0"/>
        <w:keepLines w:val="0"/>
        <w:pageBreakBefore w:val="0"/>
        <w:widowControl/>
        <w:kinsoku/>
        <w:wordWrap w:val="0"/>
        <w:overflowPunct w:val="0"/>
        <w:topLinePunct/>
        <w:autoSpaceDE w:val="0"/>
        <w:autoSpaceDN w:val="0"/>
        <w:bidi w:val="0"/>
        <w:adjustRightInd w:val="0"/>
        <w:snapToGrid w:val="0"/>
        <w:ind w:firstLine="1920" w:firstLineChars="800"/>
        <w:textAlignment w:val="baseline"/>
        <w:rPr>
          <w:rFonts w:hint="eastAsia" w:ascii="宋体" w:hAnsi="宋体" w:eastAsia="宋体" w:cs="宋体"/>
          <w:color w:val="auto"/>
          <w:sz w:val="24"/>
          <w:szCs w:val="24"/>
          <w:highlight w:val="none"/>
        </w:rPr>
      </w:pPr>
    </w:p>
    <w:p>
      <w:pPr>
        <w:keepNext w:val="0"/>
        <w:keepLines w:val="0"/>
        <w:pageBreakBefore w:val="0"/>
        <w:widowControl/>
        <w:kinsoku/>
        <w:wordWrap w:val="0"/>
        <w:overflowPunct w:val="0"/>
        <w:topLinePunct/>
        <w:autoSpaceDE w:val="0"/>
        <w:autoSpaceDN w:val="0"/>
        <w:bidi w:val="0"/>
        <w:adjustRightInd w:val="0"/>
        <w:snapToGrid w:val="0"/>
        <w:ind w:firstLine="1920" w:firstLineChars="8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keepNext w:val="0"/>
        <w:keepLines w:val="0"/>
        <w:pageBreakBefore w:val="0"/>
        <w:kinsoku/>
        <w:wordWrap w:val="0"/>
        <w:overflowPunct w:val="0"/>
        <w:topLinePunct/>
        <w:autoSpaceDE w:val="0"/>
        <w:autoSpaceDN w:val="0"/>
        <w:bidi w:val="0"/>
        <w:rPr>
          <w:rFonts w:hint="eastAsia" w:ascii="宋体" w:hAnsi="宋体" w:eastAsia="宋体" w:cs="宋体"/>
          <w:color w:val="auto"/>
          <w:sz w:val="24"/>
          <w:szCs w:val="24"/>
          <w:highlight w:val="none"/>
        </w:rPr>
        <w:sectPr>
          <w:footerReference r:id="rId15" w:type="default"/>
          <w:pgSz w:w="11909" w:h="16834"/>
          <w:pgMar w:top="1440" w:right="1080" w:bottom="1440" w:left="1080" w:header="0" w:footer="710" w:gutter="0"/>
          <w:pgNumType w:fmt="decimal"/>
          <w:cols w:space="720" w:num="1"/>
        </w:sect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rPr>
      </w:pPr>
      <w:bookmarkStart w:id="99" w:name="_Toc26958"/>
      <w:r>
        <w:rPr>
          <w:rFonts w:hint="eastAsia" w:ascii="宋体" w:hAnsi="宋体" w:eastAsia="宋体" w:cs="宋体"/>
          <w:b/>
          <w:bCs/>
          <w:color w:val="auto"/>
          <w:sz w:val="30"/>
          <w:szCs w:val="30"/>
          <w:highlight w:val="none"/>
        </w:rPr>
        <w:t>二、法定代表人身份证明和法定代表人授权委托书</w:t>
      </w:r>
      <w:bookmarkEnd w:id="99"/>
    </w:p>
    <w:p>
      <w:pPr>
        <w:keepNext w:val="0"/>
        <w:keepLines w:val="0"/>
        <w:pageBreakBefore w:val="0"/>
        <w:kinsoku/>
        <w:wordWrap w:val="0"/>
        <w:overflowPunct w:val="0"/>
        <w:topLinePunct/>
        <w:autoSpaceDE w:val="0"/>
        <w:autoSpaceDN w:val="0"/>
        <w:bidi w:val="0"/>
        <w:spacing w:line="25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rPr>
      </w:pPr>
      <w:bookmarkStart w:id="100" w:name="_Toc15687"/>
      <w:r>
        <w:rPr>
          <w:rFonts w:hint="eastAsia" w:ascii="宋体" w:hAnsi="宋体" w:eastAsia="宋体" w:cs="宋体"/>
          <w:b/>
          <w:bCs/>
          <w:color w:val="auto"/>
          <w:sz w:val="30"/>
          <w:szCs w:val="30"/>
          <w:highlight w:val="none"/>
        </w:rPr>
        <w:t>(一)法定代表人身份证明</w:t>
      </w:r>
      <w:bookmarkEnd w:id="100"/>
    </w:p>
    <w:p>
      <w:pPr>
        <w:keepNext w:val="0"/>
        <w:keepLines w:val="0"/>
        <w:pageBreakBefore w:val="0"/>
        <w:kinsoku/>
        <w:wordWrap w:val="0"/>
        <w:overflowPunct w:val="0"/>
        <w:topLinePunct/>
        <w:autoSpaceDE w:val="0"/>
        <w:autoSpaceDN w:val="0"/>
        <w:bidi w:val="0"/>
        <w:spacing w:line="31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31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8" w:line="443" w:lineRule="auto"/>
        <w:ind w:left="288"/>
        <w:rPr>
          <w:rFonts w:hint="eastAsia" w:ascii="宋体" w:hAnsi="宋体" w:eastAsia="宋体" w:cs="宋体"/>
          <w:color w:val="auto"/>
          <w:sz w:val="21"/>
          <w:szCs w:val="21"/>
          <w:highlight w:val="none"/>
        </w:rPr>
      </w:pPr>
      <w:r>
        <w:rPr>
          <w:rFonts w:hint="eastAsia" w:ascii="宋体" w:hAnsi="宋体" w:eastAsia="宋体" w:cs="宋体"/>
          <w:color w:val="auto"/>
          <w:spacing w:val="-26"/>
          <w:sz w:val="21"/>
          <w:szCs w:val="21"/>
          <w:highlight w:val="none"/>
        </w:rPr>
        <w:t>投</w:t>
      </w:r>
      <w:r>
        <w:rPr>
          <w:rFonts w:hint="eastAsia" w:ascii="宋体" w:hAnsi="宋体" w:eastAsia="宋体" w:cs="宋体"/>
          <w:color w:val="auto"/>
          <w:spacing w:val="-21"/>
          <w:sz w:val="21"/>
          <w:szCs w:val="21"/>
          <w:highlight w:val="none"/>
        </w:rPr>
        <w:t>标人名称：</w:t>
      </w:r>
      <w:r>
        <w:rPr>
          <w:rFonts w:hint="eastAsia" w:ascii="宋体" w:hAnsi="宋体" w:eastAsia="宋体" w:cs="宋体"/>
          <w:color w:val="auto"/>
          <w:sz w:val="21"/>
          <w:szCs w:val="21"/>
          <w:highlight w:val="none"/>
          <w:u w:val="single" w:color="auto"/>
        </w:rPr>
        <w:t xml:space="preserve">                                </w:t>
      </w:r>
    </w:p>
    <w:p>
      <w:pPr>
        <w:keepNext w:val="0"/>
        <w:keepLines w:val="0"/>
        <w:pageBreakBefore w:val="0"/>
        <w:kinsoku/>
        <w:wordWrap w:val="0"/>
        <w:overflowPunct w:val="0"/>
        <w:topLinePunct/>
        <w:autoSpaceDE w:val="0"/>
        <w:autoSpaceDN w:val="0"/>
        <w:bidi w:val="0"/>
        <w:spacing w:line="225" w:lineRule="auto"/>
        <w:ind w:left="287"/>
        <w:rPr>
          <w:rFonts w:hint="eastAsia" w:ascii="宋体" w:hAnsi="宋体" w:eastAsia="宋体" w:cs="宋体"/>
          <w:color w:val="auto"/>
          <w:sz w:val="21"/>
          <w:szCs w:val="21"/>
          <w:highlight w:val="none"/>
        </w:rPr>
      </w:pPr>
      <w:r>
        <w:rPr>
          <w:rFonts w:hint="eastAsia" w:ascii="宋体" w:hAnsi="宋体" w:eastAsia="宋体" w:cs="宋体"/>
          <w:color w:val="auto"/>
          <w:spacing w:val="-28"/>
          <w:sz w:val="21"/>
          <w:szCs w:val="21"/>
          <w:highlight w:val="none"/>
        </w:rPr>
        <w:t>单</w:t>
      </w:r>
      <w:r>
        <w:rPr>
          <w:rFonts w:hint="eastAsia" w:ascii="宋体" w:hAnsi="宋体" w:eastAsia="宋体" w:cs="宋体"/>
          <w:color w:val="auto"/>
          <w:spacing w:val="-27"/>
          <w:sz w:val="21"/>
          <w:szCs w:val="21"/>
          <w:highlight w:val="none"/>
        </w:rPr>
        <w:t>位性质：</w:t>
      </w:r>
      <w:r>
        <w:rPr>
          <w:rFonts w:hint="eastAsia" w:ascii="宋体" w:hAnsi="宋体" w:eastAsia="宋体" w:cs="宋体"/>
          <w:color w:val="auto"/>
          <w:sz w:val="21"/>
          <w:szCs w:val="21"/>
          <w:highlight w:val="none"/>
          <w:u w:val="single" w:color="auto"/>
        </w:rPr>
        <w:t xml:space="preserve">                                   </w:t>
      </w:r>
    </w:p>
    <w:p>
      <w:pPr>
        <w:keepNext w:val="0"/>
        <w:keepLines w:val="0"/>
        <w:pageBreakBefore w:val="0"/>
        <w:kinsoku/>
        <w:wordWrap w:val="0"/>
        <w:overflowPunct w:val="0"/>
        <w:topLinePunct/>
        <w:autoSpaceDE w:val="0"/>
        <w:autoSpaceDN w:val="0"/>
        <w:bidi w:val="0"/>
        <w:spacing w:before="247" w:line="225" w:lineRule="auto"/>
        <w:ind w:left="28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成立时间：</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日</w:t>
      </w:r>
    </w:p>
    <w:p>
      <w:pPr>
        <w:keepNext w:val="0"/>
        <w:keepLines w:val="0"/>
        <w:pageBreakBefore w:val="0"/>
        <w:kinsoku/>
        <w:wordWrap w:val="0"/>
        <w:overflowPunct w:val="0"/>
        <w:topLinePunct/>
        <w:autoSpaceDE w:val="0"/>
        <w:autoSpaceDN w:val="0"/>
        <w:bidi w:val="0"/>
        <w:spacing w:before="248" w:line="226" w:lineRule="auto"/>
        <w:ind w:left="287"/>
        <w:rPr>
          <w:rFonts w:hint="eastAsia" w:ascii="宋体" w:hAnsi="宋体" w:eastAsia="宋体" w:cs="宋体"/>
          <w:color w:val="auto"/>
          <w:sz w:val="21"/>
          <w:szCs w:val="21"/>
          <w:highlight w:val="none"/>
        </w:rPr>
      </w:pPr>
      <w:r>
        <w:rPr>
          <w:rFonts w:hint="eastAsia" w:ascii="宋体" w:hAnsi="宋体" w:eastAsia="宋体" w:cs="宋体"/>
          <w:color w:val="auto"/>
          <w:spacing w:val="-28"/>
          <w:sz w:val="21"/>
          <w:szCs w:val="21"/>
          <w:highlight w:val="none"/>
        </w:rPr>
        <w:t>经</w:t>
      </w:r>
      <w:r>
        <w:rPr>
          <w:rFonts w:hint="eastAsia" w:ascii="宋体" w:hAnsi="宋体" w:eastAsia="宋体" w:cs="宋体"/>
          <w:color w:val="auto"/>
          <w:spacing w:val="-27"/>
          <w:sz w:val="21"/>
          <w:szCs w:val="21"/>
          <w:highlight w:val="none"/>
        </w:rPr>
        <w:t>营期限：</w:t>
      </w:r>
      <w:r>
        <w:rPr>
          <w:rFonts w:hint="eastAsia" w:ascii="宋体" w:hAnsi="宋体" w:eastAsia="宋体" w:cs="宋体"/>
          <w:color w:val="auto"/>
          <w:sz w:val="21"/>
          <w:szCs w:val="21"/>
          <w:highlight w:val="none"/>
          <w:u w:val="single" w:color="auto"/>
        </w:rPr>
        <w:t xml:space="preserve">                          </w:t>
      </w:r>
    </w:p>
    <w:p>
      <w:pPr>
        <w:keepNext w:val="0"/>
        <w:keepLines w:val="0"/>
        <w:pageBreakBefore w:val="0"/>
        <w:kinsoku/>
        <w:wordWrap w:val="0"/>
        <w:overflowPunct w:val="0"/>
        <w:topLinePunct/>
        <w:autoSpaceDE w:val="0"/>
        <w:autoSpaceDN w:val="0"/>
        <w:bidi w:val="0"/>
        <w:spacing w:before="234" w:line="443" w:lineRule="auto"/>
        <w:ind w:left="290" w:right="1169" w:hanging="4"/>
        <w:rPr>
          <w:rFonts w:hint="eastAsia" w:ascii="宋体" w:hAnsi="宋体" w:eastAsia="宋体" w:cs="宋体"/>
          <w:color w:val="auto"/>
          <w:spacing w:val="-8"/>
          <w:sz w:val="21"/>
          <w:szCs w:val="21"/>
          <w:highlight w:val="none"/>
          <w:u w:val="single" w:color="auto"/>
        </w:rPr>
      </w:pPr>
      <w:r>
        <w:rPr>
          <w:rFonts w:hint="eastAsia" w:ascii="宋体" w:hAnsi="宋体" w:eastAsia="宋体" w:cs="宋体"/>
          <w:color w:val="auto"/>
          <w:spacing w:val="-16"/>
          <w:sz w:val="21"/>
          <w:szCs w:val="21"/>
          <w:highlight w:val="none"/>
        </w:rPr>
        <w:t>姓</w:t>
      </w:r>
      <w:r>
        <w:rPr>
          <w:rFonts w:hint="eastAsia" w:ascii="宋体" w:hAnsi="宋体" w:eastAsia="宋体" w:cs="宋体"/>
          <w:color w:val="auto"/>
          <w:spacing w:val="-14"/>
          <w:sz w:val="21"/>
          <w:szCs w:val="21"/>
          <w:highlight w:val="none"/>
        </w:rPr>
        <w:t>名</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rPr>
        <w:t>性别：</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rPr>
        <w:t>年龄：</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rPr>
        <w:t>职务：</w:t>
      </w:r>
      <w:r>
        <w:rPr>
          <w:rFonts w:hint="eastAsia" w:ascii="宋体" w:hAnsi="宋体" w:eastAsia="宋体" w:cs="宋体"/>
          <w:color w:val="auto"/>
          <w:spacing w:val="-8"/>
          <w:sz w:val="21"/>
          <w:szCs w:val="21"/>
          <w:highlight w:val="none"/>
          <w:u w:val="single" w:color="auto"/>
        </w:rPr>
        <w:t xml:space="preserve">       </w:t>
      </w:r>
    </w:p>
    <w:p>
      <w:pPr>
        <w:keepNext w:val="0"/>
        <w:keepLines w:val="0"/>
        <w:pageBreakBefore w:val="0"/>
        <w:kinsoku/>
        <w:wordWrap w:val="0"/>
        <w:overflowPunct w:val="0"/>
        <w:topLinePunct/>
        <w:autoSpaceDE w:val="0"/>
        <w:autoSpaceDN w:val="0"/>
        <w:bidi w:val="0"/>
        <w:spacing w:before="234" w:line="443" w:lineRule="auto"/>
        <w:ind w:left="290" w:right="1169" w:hanging="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系</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 xml:space="preserve"> (投标人名称)的法定代表人。</w:t>
      </w:r>
    </w:p>
    <w:p>
      <w:pPr>
        <w:keepNext w:val="0"/>
        <w:keepLines w:val="0"/>
        <w:pageBreakBefore w:val="0"/>
        <w:kinsoku/>
        <w:wordWrap w:val="0"/>
        <w:overflowPunct w:val="0"/>
        <w:topLinePunct/>
        <w:autoSpaceDE w:val="0"/>
        <w:autoSpaceDN w:val="0"/>
        <w:bidi w:val="0"/>
        <w:spacing w:before="1" w:line="224" w:lineRule="auto"/>
        <w:ind w:left="30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特此证明</w:t>
      </w:r>
      <w:r>
        <w:rPr>
          <w:rFonts w:hint="eastAsia" w:ascii="宋体" w:hAnsi="宋体" w:eastAsia="宋体" w:cs="宋体"/>
          <w:color w:val="auto"/>
          <w:spacing w:val="-1"/>
          <w:sz w:val="21"/>
          <w:szCs w:val="21"/>
          <w:highlight w:val="none"/>
        </w:rPr>
        <w:t>。</w:t>
      </w:r>
    </w:p>
    <w:p>
      <w:pPr>
        <w:keepNext w:val="0"/>
        <w:keepLines w:val="0"/>
        <w:pageBreakBefore w:val="0"/>
        <w:kinsoku/>
        <w:wordWrap w:val="0"/>
        <w:overflowPunct w:val="0"/>
        <w:topLinePunct/>
        <w:autoSpaceDE w:val="0"/>
        <w:autoSpaceDN w:val="0"/>
        <w:bidi w:val="0"/>
        <w:spacing w:line="292" w:lineRule="auto"/>
        <w:rPr>
          <w:rFonts w:hint="eastAsia" w:ascii="宋体" w:hAnsi="宋体" w:eastAsia="宋体" w:cs="宋体"/>
          <w:color w:val="auto"/>
          <w:sz w:val="21"/>
          <w:szCs w:val="21"/>
          <w:highlight w:val="none"/>
        </w:rPr>
      </w:pPr>
    </w:p>
    <w:p>
      <w:pPr>
        <w:keepNext w:val="0"/>
        <w:keepLines w:val="0"/>
        <w:pageBreakBefore w:val="0"/>
        <w:kinsoku/>
        <w:wordWrap w:val="0"/>
        <w:overflowPunct w:val="0"/>
        <w:topLinePunct/>
        <w:autoSpaceDE w:val="0"/>
        <w:autoSpaceDN w:val="0"/>
        <w:bidi w:val="0"/>
        <w:spacing w:line="292" w:lineRule="auto"/>
        <w:rPr>
          <w:rFonts w:hint="eastAsia" w:ascii="宋体" w:hAnsi="宋体" w:eastAsia="宋体" w:cs="宋体"/>
          <w:color w:val="auto"/>
          <w:sz w:val="21"/>
          <w:szCs w:val="21"/>
          <w:highlight w:val="none"/>
        </w:rPr>
      </w:pPr>
    </w:p>
    <w:p>
      <w:pPr>
        <w:keepNext w:val="0"/>
        <w:keepLines w:val="0"/>
        <w:pageBreakBefore w:val="0"/>
        <w:kinsoku/>
        <w:wordWrap w:val="0"/>
        <w:overflowPunct w:val="0"/>
        <w:topLinePunct/>
        <w:autoSpaceDE w:val="0"/>
        <w:autoSpaceDN w:val="0"/>
        <w:bidi w:val="0"/>
        <w:spacing w:line="292" w:lineRule="auto"/>
        <w:rPr>
          <w:rFonts w:hint="eastAsia" w:ascii="宋体" w:hAnsi="宋体" w:eastAsia="宋体" w:cs="宋体"/>
          <w:color w:val="auto"/>
          <w:sz w:val="21"/>
          <w:szCs w:val="21"/>
          <w:highlight w:val="none"/>
        </w:rPr>
      </w:pPr>
    </w:p>
    <w:p>
      <w:pPr>
        <w:keepNext w:val="0"/>
        <w:keepLines w:val="0"/>
        <w:pageBreakBefore w:val="0"/>
        <w:kinsoku/>
        <w:wordWrap w:val="0"/>
        <w:overflowPunct w:val="0"/>
        <w:topLinePunct/>
        <w:autoSpaceDE w:val="0"/>
        <w:autoSpaceDN w:val="0"/>
        <w:bidi w:val="0"/>
        <w:spacing w:line="292" w:lineRule="auto"/>
        <w:rPr>
          <w:rFonts w:hint="eastAsia" w:ascii="宋体" w:hAnsi="宋体" w:eastAsia="宋体" w:cs="宋体"/>
          <w:color w:val="auto"/>
          <w:sz w:val="21"/>
          <w:szCs w:val="21"/>
          <w:highlight w:val="none"/>
        </w:rPr>
      </w:pPr>
    </w:p>
    <w:p>
      <w:pPr>
        <w:keepNext w:val="0"/>
        <w:keepLines w:val="0"/>
        <w:pageBreakBefore w:val="0"/>
        <w:tabs>
          <w:tab w:val="left" w:pos="5174"/>
        </w:tabs>
        <w:kinsoku/>
        <w:wordWrap w:val="0"/>
        <w:overflowPunct w:val="0"/>
        <w:topLinePunct/>
        <w:autoSpaceDE w:val="0"/>
        <w:autoSpaceDN w:val="0"/>
        <w:bidi w:val="0"/>
        <w:spacing w:before="69" w:line="448" w:lineRule="auto"/>
        <w:ind w:left="4357" w:right="451" w:firstLine="3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投</w:t>
      </w:r>
      <w:r>
        <w:rPr>
          <w:rFonts w:hint="eastAsia" w:ascii="宋体" w:hAnsi="宋体" w:eastAsia="宋体" w:cs="宋体"/>
          <w:color w:val="auto"/>
          <w:spacing w:val="-4"/>
          <w:sz w:val="21"/>
          <w:szCs w:val="21"/>
          <w:highlight w:val="none"/>
        </w:rPr>
        <w:t>标人：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(单位电子签章)</w:t>
      </w:r>
      <w:r>
        <w:rPr>
          <w:rFonts w:hint="eastAsia" w:ascii="宋体" w:hAnsi="宋体" w:eastAsia="宋体" w:cs="宋体"/>
          <w:color w:val="auto"/>
          <w:sz w:val="21"/>
          <w:szCs w:val="21"/>
          <w:highlight w:val="none"/>
        </w:rPr>
        <w:t xml:space="preserve"> </w:t>
      </w:r>
    </w:p>
    <w:p>
      <w:pPr>
        <w:keepNext w:val="0"/>
        <w:keepLines w:val="0"/>
        <w:pageBreakBefore w:val="0"/>
        <w:tabs>
          <w:tab w:val="left" w:pos="5174"/>
        </w:tabs>
        <w:kinsoku/>
        <w:wordWrap w:val="0"/>
        <w:overflowPunct w:val="0"/>
        <w:topLinePunct/>
        <w:autoSpaceDE w:val="0"/>
        <w:autoSpaceDN w:val="0"/>
        <w:bidi w:val="0"/>
        <w:spacing w:before="69" w:line="448" w:lineRule="auto"/>
        <w:ind w:left="4357" w:right="451" w:firstLine="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8"/>
          <w:sz w:val="21"/>
          <w:szCs w:val="21"/>
          <w:highlight w:val="none"/>
        </w:rPr>
        <w:t>年</w:t>
      </w:r>
      <w:r>
        <w:rPr>
          <w:rFonts w:hint="eastAsia" w:ascii="宋体" w:hAnsi="宋体" w:eastAsia="宋体" w:cs="宋体"/>
          <w:color w:val="auto"/>
          <w:spacing w:val="13"/>
          <w:sz w:val="21"/>
          <w:szCs w:val="21"/>
          <w:highlight w:val="none"/>
          <w:u w:val="single" w:color="auto"/>
        </w:rPr>
        <w:t xml:space="preserve"> </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9"/>
          <w:sz w:val="21"/>
          <w:szCs w:val="21"/>
          <w:highlight w:val="none"/>
        </w:rPr>
        <w:t>月</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9"/>
          <w:sz w:val="21"/>
          <w:szCs w:val="21"/>
          <w:highlight w:val="none"/>
        </w:rPr>
        <w:t>日</w:t>
      </w:r>
    </w:p>
    <w:p>
      <w:pPr>
        <w:keepNext w:val="0"/>
        <w:keepLines w:val="0"/>
        <w:pageBreakBefore w:val="0"/>
        <w:kinsoku/>
        <w:wordWrap w:val="0"/>
        <w:overflowPunct w:val="0"/>
        <w:topLinePunct/>
        <w:autoSpaceDE w:val="0"/>
        <w:autoSpaceDN w:val="0"/>
        <w:bidi w:val="0"/>
        <w:spacing w:line="408" w:lineRule="auto"/>
        <w:rPr>
          <w:rFonts w:hint="eastAsia" w:ascii="宋体" w:hAnsi="宋体" w:eastAsia="宋体" w:cs="宋体"/>
          <w:color w:val="auto"/>
          <w:sz w:val="21"/>
          <w:szCs w:val="21"/>
          <w:highlight w:val="none"/>
        </w:rPr>
      </w:pPr>
    </w:p>
    <w:p>
      <w:pPr>
        <w:keepNext w:val="0"/>
        <w:keepLines w:val="0"/>
        <w:pageBreakBefore w:val="0"/>
        <w:kinsoku/>
        <w:wordWrap w:val="0"/>
        <w:overflowPunct w:val="0"/>
        <w:topLinePunct/>
        <w:autoSpaceDE w:val="0"/>
        <w:autoSpaceDN w:val="0"/>
        <w:bidi w:val="0"/>
        <w:spacing w:before="69" w:line="224"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附</w:t>
      </w:r>
      <w:r>
        <w:rPr>
          <w:rFonts w:hint="eastAsia" w:ascii="宋体" w:hAnsi="宋体" w:eastAsia="宋体" w:cs="宋体"/>
          <w:color w:val="auto"/>
          <w:spacing w:val="3"/>
          <w:sz w:val="21"/>
          <w:szCs w:val="21"/>
          <w:highlight w:val="none"/>
        </w:rPr>
        <w:t>法</w:t>
      </w:r>
      <w:r>
        <w:rPr>
          <w:rFonts w:hint="eastAsia" w:ascii="宋体" w:hAnsi="宋体" w:eastAsia="宋体" w:cs="宋体"/>
          <w:color w:val="auto"/>
          <w:spacing w:val="2"/>
          <w:sz w:val="21"/>
          <w:szCs w:val="21"/>
          <w:highlight w:val="none"/>
        </w:rPr>
        <w:t>定代表人身份证正反面扫描件</w:t>
      </w: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footerReference r:id="rId16" w:type="default"/>
          <w:pgSz w:w="11909" w:h="16834"/>
          <w:pgMar w:top="1440" w:right="1080" w:bottom="1440" w:left="1080" w:header="0" w:footer="710" w:gutter="0"/>
          <w:pgNumType w:fmt="decimal"/>
          <w:cols w:space="720" w:num="1"/>
        </w:sect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rPr>
      </w:pPr>
      <w:bookmarkStart w:id="101" w:name="_Toc26559"/>
      <w:r>
        <w:rPr>
          <w:rFonts w:hint="eastAsia" w:ascii="宋体" w:hAnsi="宋体" w:eastAsia="宋体" w:cs="宋体"/>
          <w:b/>
          <w:bCs/>
          <w:color w:val="auto"/>
          <w:sz w:val="30"/>
          <w:szCs w:val="30"/>
          <w:highlight w:val="none"/>
        </w:rPr>
        <w:t>(二)法定代表人授权委托书</w:t>
      </w:r>
      <w:bookmarkEnd w:id="101"/>
    </w:p>
    <w:p>
      <w:pPr>
        <w:keepNext w:val="0"/>
        <w:keepLines w:val="0"/>
        <w:pageBreakBefore w:val="0"/>
        <w:kinsoku/>
        <w:wordWrap w:val="0"/>
        <w:overflowPunct w:val="0"/>
        <w:topLinePunct/>
        <w:autoSpaceDE w:val="0"/>
        <w:autoSpaceDN w:val="0"/>
        <w:bidi w:val="0"/>
        <w:spacing w:line="244"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9" w:line="359" w:lineRule="auto"/>
        <w:ind w:right="126" w:firstLine="43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本授权委托书声明：我</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 xml:space="preserve"> (姓名) 系</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(投标人全称)的法定代表</w:t>
      </w:r>
      <w:r>
        <w:rPr>
          <w:rFonts w:hint="eastAsia" w:ascii="宋体" w:hAnsi="宋体" w:eastAsia="宋体" w:cs="宋体"/>
          <w:color w:val="auto"/>
          <w:spacing w:val="2"/>
          <w:sz w:val="21"/>
          <w:szCs w:val="21"/>
          <w:highlight w:val="none"/>
        </w:rPr>
        <w:t>人，现委托</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(姓名)为本单位的合法代理人，以本单位的名义参加</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(项</w:t>
      </w:r>
      <w:r>
        <w:rPr>
          <w:rFonts w:hint="eastAsia" w:ascii="宋体" w:hAnsi="宋体" w:eastAsia="宋体" w:cs="宋体"/>
          <w:color w:val="auto"/>
          <w:sz w:val="21"/>
          <w:szCs w:val="21"/>
          <w:highlight w:val="none"/>
        </w:rPr>
        <w:t>目</w:t>
      </w:r>
      <w:r>
        <w:rPr>
          <w:rFonts w:hint="eastAsia" w:ascii="宋体" w:hAnsi="宋体" w:eastAsia="宋体" w:cs="宋体"/>
          <w:color w:val="auto"/>
          <w:spacing w:val="1"/>
          <w:sz w:val="21"/>
          <w:szCs w:val="21"/>
          <w:highlight w:val="none"/>
        </w:rPr>
        <w:t>名称)的投标，委托代理人签署的一切文件和处理与之有关的一切事</w:t>
      </w:r>
      <w:r>
        <w:rPr>
          <w:rFonts w:hint="eastAsia" w:ascii="宋体" w:hAnsi="宋体" w:eastAsia="宋体" w:cs="宋体"/>
          <w:color w:val="auto"/>
          <w:sz w:val="21"/>
          <w:szCs w:val="21"/>
          <w:highlight w:val="none"/>
        </w:rPr>
        <w:t>务， 我均予以承认。</w:t>
      </w:r>
    </w:p>
    <w:p>
      <w:pPr>
        <w:keepNext w:val="0"/>
        <w:keepLines w:val="0"/>
        <w:pageBreakBefore w:val="0"/>
        <w:widowControl/>
        <w:kinsoku/>
        <w:wordWrap w:val="0"/>
        <w:overflowPunct w:val="0"/>
        <w:topLinePunct/>
        <w:autoSpaceDE w:val="0"/>
        <w:autoSpaceDN w:val="0"/>
        <w:bidi w:val="0"/>
        <w:adjustRightInd w:val="0"/>
        <w:snapToGrid w:val="0"/>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b/>
          <w:bCs/>
          <w:color w:val="auto"/>
          <w:highlight w:val="none"/>
          <w:u w:val="single"/>
        </w:rPr>
        <w:t>本授权书至投标有效期结束前始终有效。</w:t>
      </w:r>
    </w:p>
    <w:p>
      <w:pPr>
        <w:keepNext w:val="0"/>
        <w:keepLines w:val="0"/>
        <w:pageBreakBefore w:val="0"/>
        <w:kinsoku/>
        <w:wordWrap w:val="0"/>
        <w:overflowPunct w:val="0"/>
        <w:topLinePunct/>
        <w:autoSpaceDE w:val="0"/>
        <w:autoSpaceDN w:val="0"/>
        <w:bidi w:val="0"/>
        <w:spacing w:before="134" w:line="225" w:lineRule="auto"/>
        <w:ind w:left="42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rPr>
        <w:t>委托代理人无转委托权</w:t>
      </w:r>
      <w:r>
        <w:rPr>
          <w:rFonts w:hint="eastAsia" w:ascii="宋体" w:hAnsi="宋体" w:eastAsia="宋体" w:cs="宋体"/>
          <w:color w:val="auto"/>
          <w:spacing w:val="5"/>
          <w:sz w:val="21"/>
          <w:szCs w:val="21"/>
          <w:highlight w:val="none"/>
          <w:lang w:eastAsia="zh-CN"/>
        </w:rPr>
        <w:t>。</w:t>
      </w:r>
    </w:p>
    <w:p>
      <w:pPr>
        <w:keepNext w:val="0"/>
        <w:keepLines w:val="0"/>
        <w:pageBreakBefore w:val="0"/>
        <w:kinsoku/>
        <w:wordWrap w:val="0"/>
        <w:overflowPunct w:val="0"/>
        <w:topLinePunct/>
        <w:autoSpaceDE w:val="0"/>
        <w:autoSpaceDN w:val="0"/>
        <w:bidi w:val="0"/>
        <w:spacing w:line="29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9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9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96"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9" w:line="224" w:lineRule="auto"/>
        <w:ind w:left="357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投标人：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(单位电子签章)</w:t>
      </w:r>
    </w:p>
    <w:p>
      <w:pPr>
        <w:keepNext w:val="0"/>
        <w:keepLines w:val="0"/>
        <w:pageBreakBefore w:val="0"/>
        <w:widowControl/>
        <w:kinsoku/>
        <w:wordWrap w:val="0"/>
        <w:overflowPunct w:val="0"/>
        <w:topLinePunct/>
        <w:autoSpaceDE w:val="0"/>
        <w:autoSpaceDN w:val="0"/>
        <w:bidi w:val="0"/>
        <w:adjustRightInd w:val="0"/>
        <w:snapToGrid w:val="0"/>
        <w:spacing w:before="249" w:line="226" w:lineRule="auto"/>
        <w:ind w:firstLine="2828" w:firstLineChars="14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法定代表人：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(法定代表人签字或电子签名)</w:t>
      </w:r>
    </w:p>
    <w:p>
      <w:pPr>
        <w:keepNext w:val="0"/>
        <w:keepLines w:val="0"/>
        <w:pageBreakBefore w:val="0"/>
        <w:kinsoku/>
        <w:wordWrap w:val="0"/>
        <w:overflowPunct w:val="0"/>
        <w:topLinePunct/>
        <w:autoSpaceDE w:val="0"/>
        <w:autoSpaceDN w:val="0"/>
        <w:bidi w:val="0"/>
        <w:spacing w:before="234" w:line="225" w:lineRule="auto"/>
        <w:ind w:left="3579"/>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rPr>
        <w:t>身</w:t>
      </w:r>
      <w:r>
        <w:rPr>
          <w:rFonts w:hint="eastAsia" w:ascii="宋体" w:hAnsi="宋体" w:eastAsia="宋体" w:cs="宋体"/>
          <w:color w:val="auto"/>
          <w:spacing w:val="-22"/>
          <w:sz w:val="21"/>
          <w:szCs w:val="21"/>
          <w:highlight w:val="none"/>
        </w:rPr>
        <w:t>份证号码：</w:t>
      </w:r>
      <w:r>
        <w:rPr>
          <w:rFonts w:hint="eastAsia" w:ascii="宋体" w:hAnsi="宋体" w:eastAsia="宋体" w:cs="宋体"/>
          <w:color w:val="auto"/>
          <w:sz w:val="21"/>
          <w:szCs w:val="21"/>
          <w:highlight w:val="none"/>
          <w:u w:val="single" w:color="auto"/>
        </w:rPr>
        <w:t xml:space="preserve">                             </w:t>
      </w:r>
    </w:p>
    <w:p>
      <w:pPr>
        <w:keepNext w:val="0"/>
        <w:keepLines w:val="0"/>
        <w:pageBreakBefore w:val="0"/>
        <w:kinsoku/>
        <w:wordWrap w:val="0"/>
        <w:overflowPunct w:val="0"/>
        <w:topLinePunct/>
        <w:autoSpaceDE w:val="0"/>
        <w:autoSpaceDN w:val="0"/>
        <w:bidi w:val="0"/>
        <w:spacing w:before="248" w:line="225" w:lineRule="auto"/>
        <w:ind w:left="357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(签字或电子签名)</w:t>
      </w:r>
    </w:p>
    <w:p>
      <w:pPr>
        <w:keepNext w:val="0"/>
        <w:keepLines w:val="0"/>
        <w:pageBreakBefore w:val="0"/>
        <w:tabs>
          <w:tab w:val="left" w:pos="4727"/>
        </w:tabs>
        <w:kinsoku/>
        <w:wordWrap w:val="0"/>
        <w:overflowPunct w:val="0"/>
        <w:topLinePunct/>
        <w:autoSpaceDE w:val="0"/>
        <w:autoSpaceDN w:val="0"/>
        <w:bidi w:val="0"/>
        <w:spacing w:before="248" w:line="448" w:lineRule="auto"/>
        <w:ind w:left="3679" w:right="1236" w:hanging="10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身份证号码：</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w:t>
      </w:r>
    </w:p>
    <w:p>
      <w:pPr>
        <w:keepNext w:val="0"/>
        <w:keepLines w:val="0"/>
        <w:pageBreakBefore w:val="0"/>
        <w:tabs>
          <w:tab w:val="left" w:pos="4727"/>
        </w:tabs>
        <w:kinsoku/>
        <w:wordWrap w:val="0"/>
        <w:overflowPunct w:val="0"/>
        <w:topLinePunct/>
        <w:autoSpaceDE w:val="0"/>
        <w:autoSpaceDN w:val="0"/>
        <w:bidi w:val="0"/>
        <w:spacing w:before="248" w:line="448" w:lineRule="auto"/>
        <w:ind w:left="3679" w:right="1236" w:hanging="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hint="eastAsia"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日</w:t>
      </w:r>
    </w:p>
    <w:p>
      <w:pPr>
        <w:keepNext w:val="0"/>
        <w:keepLines w:val="0"/>
        <w:pageBreakBefore w:val="0"/>
        <w:kinsoku/>
        <w:wordWrap w:val="0"/>
        <w:overflowPunct w:val="0"/>
        <w:topLinePunct/>
        <w:autoSpaceDE w:val="0"/>
        <w:autoSpaceDN w:val="0"/>
        <w:bidi w:val="0"/>
        <w:spacing w:before="221" w:line="224" w:lineRule="auto"/>
        <w:ind w:left="23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附委</w:t>
      </w:r>
      <w:r>
        <w:rPr>
          <w:rFonts w:hint="eastAsia" w:ascii="宋体" w:hAnsi="宋体" w:eastAsia="宋体" w:cs="宋体"/>
          <w:color w:val="auto"/>
          <w:spacing w:val="2"/>
          <w:sz w:val="21"/>
          <w:szCs w:val="21"/>
          <w:highlight w:val="none"/>
        </w:rPr>
        <w:t>托代理人身份证正反面扫描件</w:t>
      </w: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footerReference r:id="rId17" w:type="default"/>
          <w:pgSz w:w="11909" w:h="16834"/>
          <w:pgMar w:top="1440" w:right="1080" w:bottom="1440" w:left="1080" w:header="0" w:footer="1806" w:gutter="0"/>
          <w:pgNumType w:fmt="decimal"/>
          <w:cols w:space="720" w:num="1"/>
        </w:sect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rPr>
      </w:pPr>
      <w:bookmarkStart w:id="102" w:name="_Toc12000"/>
      <w:r>
        <w:rPr>
          <w:rFonts w:hint="eastAsia" w:ascii="宋体" w:hAnsi="宋体" w:eastAsia="宋体" w:cs="宋体"/>
          <w:b/>
          <w:bCs/>
          <w:color w:val="auto"/>
          <w:sz w:val="30"/>
          <w:szCs w:val="30"/>
          <w:highlight w:val="none"/>
        </w:rPr>
        <w:t>三、 供应商基本情况表</w:t>
      </w:r>
      <w:bookmarkEnd w:id="102"/>
    </w:p>
    <w:p>
      <w:pPr>
        <w:keepNext w:val="0"/>
        <w:keepLines w:val="0"/>
        <w:pageBreakBefore w:val="0"/>
        <w:kinsoku/>
        <w:wordWrap w:val="0"/>
        <w:overflowPunct w:val="0"/>
        <w:topLinePunct/>
        <w:autoSpaceDE w:val="0"/>
        <w:autoSpaceDN w:val="0"/>
        <w:bidi w:val="0"/>
        <w:spacing w:before="184" w:line="271" w:lineRule="exact"/>
        <w:ind w:left="24"/>
        <w:jc w:val="center"/>
        <w:rPr>
          <w:rFonts w:hint="eastAsia" w:ascii="宋体" w:hAnsi="宋体" w:eastAsia="宋体" w:cs="宋体"/>
          <w:color w:val="auto"/>
          <w:sz w:val="20"/>
          <w:szCs w:val="20"/>
          <w:highlight w:val="none"/>
        </w:rPr>
      </w:pPr>
      <w:r>
        <w:rPr>
          <w:rFonts w:hint="eastAsia" w:ascii="宋体" w:hAnsi="宋体" w:eastAsia="宋体" w:cs="宋体"/>
          <w:color w:val="auto"/>
          <w:spacing w:val="7"/>
          <w:position w:val="1"/>
          <w:sz w:val="20"/>
          <w:szCs w:val="20"/>
          <w:highlight w:val="none"/>
        </w:rPr>
        <w:t>供应商基本情况表</w:t>
      </w:r>
    </w:p>
    <w:p>
      <w:pPr>
        <w:keepNext w:val="0"/>
        <w:keepLines w:val="0"/>
        <w:pageBreakBefore w:val="0"/>
        <w:kinsoku/>
        <w:wordWrap w:val="0"/>
        <w:overflowPunct w:val="0"/>
        <w:topLinePunct/>
        <w:autoSpaceDE w:val="0"/>
        <w:autoSpaceDN w:val="0"/>
        <w:bidi w:val="0"/>
        <w:spacing w:line="106" w:lineRule="exact"/>
        <w:rPr>
          <w:rFonts w:hint="eastAsia" w:ascii="宋体" w:hAnsi="宋体" w:eastAsia="宋体" w:cs="宋体"/>
          <w:color w:val="auto"/>
          <w:highlight w:val="none"/>
        </w:rPr>
      </w:pPr>
    </w:p>
    <w:tbl>
      <w:tblPr>
        <w:tblStyle w:val="31"/>
        <w:tblW w:w="8839"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5"/>
        <w:gridCol w:w="1127"/>
        <w:gridCol w:w="2477"/>
        <w:gridCol w:w="1451"/>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1565" w:type="dxa"/>
            <w:vAlign w:val="top"/>
          </w:tcPr>
          <w:p>
            <w:pPr>
              <w:keepNext w:val="0"/>
              <w:keepLines w:val="0"/>
              <w:pageBreakBefore w:val="0"/>
              <w:kinsoku/>
              <w:wordWrap w:val="0"/>
              <w:overflowPunct w:val="0"/>
              <w:topLinePunct/>
              <w:autoSpaceDE w:val="0"/>
              <w:autoSpaceDN w:val="0"/>
              <w:bidi w:val="0"/>
              <w:spacing w:before="277" w:line="228" w:lineRule="auto"/>
              <w:ind w:left="23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供应商名称</w:t>
            </w:r>
          </w:p>
        </w:tc>
        <w:tc>
          <w:tcPr>
            <w:tcW w:w="7274" w:type="dxa"/>
            <w:gridSpan w:val="4"/>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trPr>
        <w:tc>
          <w:tcPr>
            <w:tcW w:w="1565" w:type="dxa"/>
            <w:vAlign w:val="top"/>
          </w:tcPr>
          <w:p>
            <w:pPr>
              <w:keepNext w:val="0"/>
              <w:keepLines w:val="0"/>
              <w:pageBreakBefore w:val="0"/>
              <w:kinsoku/>
              <w:wordWrap w:val="0"/>
              <w:overflowPunct w:val="0"/>
              <w:topLinePunct/>
              <w:autoSpaceDE w:val="0"/>
              <w:autoSpaceDN w:val="0"/>
              <w:bidi w:val="0"/>
              <w:spacing w:before="201" w:line="230" w:lineRule="auto"/>
              <w:ind w:left="344"/>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注</w:t>
            </w:r>
            <w:r>
              <w:rPr>
                <w:rFonts w:hint="eastAsia" w:ascii="宋体" w:hAnsi="宋体" w:eastAsia="宋体" w:cs="宋体"/>
                <w:color w:val="auto"/>
                <w:spacing w:val="7"/>
                <w:sz w:val="20"/>
                <w:szCs w:val="20"/>
                <w:highlight w:val="none"/>
              </w:rPr>
              <w:t>册地址</w:t>
            </w:r>
          </w:p>
        </w:tc>
        <w:tc>
          <w:tcPr>
            <w:tcW w:w="3604" w:type="dxa"/>
            <w:gridSpan w:val="2"/>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451" w:type="dxa"/>
            <w:vAlign w:val="top"/>
          </w:tcPr>
          <w:p>
            <w:pPr>
              <w:keepNext w:val="0"/>
              <w:keepLines w:val="0"/>
              <w:pageBreakBefore w:val="0"/>
              <w:kinsoku/>
              <w:wordWrap w:val="0"/>
              <w:overflowPunct w:val="0"/>
              <w:topLinePunct/>
              <w:autoSpaceDE w:val="0"/>
              <w:autoSpaceDN w:val="0"/>
              <w:bidi w:val="0"/>
              <w:spacing w:before="202" w:line="228" w:lineRule="auto"/>
              <w:ind w:left="334"/>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邮</w:t>
            </w:r>
            <w:r>
              <w:rPr>
                <w:rFonts w:hint="eastAsia" w:ascii="宋体" w:hAnsi="宋体" w:eastAsia="宋体" w:cs="宋体"/>
                <w:color w:val="auto"/>
                <w:spacing w:val="3"/>
                <w:sz w:val="20"/>
                <w:szCs w:val="20"/>
                <w:highlight w:val="none"/>
              </w:rPr>
              <w:t>政编码</w:t>
            </w:r>
          </w:p>
        </w:tc>
        <w:tc>
          <w:tcPr>
            <w:tcW w:w="2219"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trPr>
        <w:tc>
          <w:tcPr>
            <w:tcW w:w="1565" w:type="dxa"/>
            <w:vMerge w:val="restart"/>
            <w:vAlign w:val="top"/>
          </w:tcPr>
          <w:p>
            <w:pPr>
              <w:keepNext w:val="0"/>
              <w:keepLines w:val="0"/>
              <w:pageBreakBefore w:val="0"/>
              <w:kinsoku/>
              <w:wordWrap w:val="0"/>
              <w:overflowPunct w:val="0"/>
              <w:topLinePunct/>
              <w:autoSpaceDE w:val="0"/>
              <w:autoSpaceDN w:val="0"/>
              <w:bidi w:val="0"/>
              <w:spacing w:line="42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5" w:line="230" w:lineRule="auto"/>
              <w:ind w:left="34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联系方式</w:t>
            </w:r>
          </w:p>
        </w:tc>
        <w:tc>
          <w:tcPr>
            <w:tcW w:w="1127" w:type="dxa"/>
            <w:vAlign w:val="top"/>
          </w:tcPr>
          <w:p>
            <w:pPr>
              <w:keepNext w:val="0"/>
              <w:keepLines w:val="0"/>
              <w:pageBreakBefore w:val="0"/>
              <w:kinsoku/>
              <w:wordWrap w:val="0"/>
              <w:overflowPunct w:val="0"/>
              <w:topLinePunct/>
              <w:autoSpaceDE w:val="0"/>
              <w:autoSpaceDN w:val="0"/>
              <w:bidi w:val="0"/>
              <w:spacing w:before="190" w:line="231" w:lineRule="auto"/>
              <w:ind w:left="242"/>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联</w:t>
            </w:r>
            <w:r>
              <w:rPr>
                <w:rFonts w:hint="eastAsia" w:ascii="宋体" w:hAnsi="宋体" w:eastAsia="宋体" w:cs="宋体"/>
                <w:color w:val="auto"/>
                <w:spacing w:val="6"/>
                <w:sz w:val="20"/>
                <w:szCs w:val="20"/>
                <w:highlight w:val="none"/>
              </w:rPr>
              <w:t>系人</w:t>
            </w:r>
          </w:p>
        </w:tc>
        <w:tc>
          <w:tcPr>
            <w:tcW w:w="2477"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451" w:type="dxa"/>
            <w:vAlign w:val="top"/>
          </w:tcPr>
          <w:p>
            <w:pPr>
              <w:keepNext w:val="0"/>
              <w:keepLines w:val="0"/>
              <w:pageBreakBefore w:val="0"/>
              <w:kinsoku/>
              <w:wordWrap w:val="0"/>
              <w:overflowPunct w:val="0"/>
              <w:topLinePunct/>
              <w:autoSpaceDE w:val="0"/>
              <w:autoSpaceDN w:val="0"/>
              <w:bidi w:val="0"/>
              <w:spacing w:before="190" w:line="231" w:lineRule="auto"/>
              <w:ind w:left="54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电</w:t>
            </w:r>
            <w:r>
              <w:rPr>
                <w:rFonts w:hint="eastAsia" w:ascii="宋体" w:hAnsi="宋体" w:eastAsia="宋体" w:cs="宋体"/>
                <w:color w:val="auto"/>
                <w:spacing w:val="-7"/>
                <w:sz w:val="20"/>
                <w:szCs w:val="20"/>
                <w:highlight w:val="none"/>
              </w:rPr>
              <w:t>话</w:t>
            </w:r>
          </w:p>
        </w:tc>
        <w:tc>
          <w:tcPr>
            <w:tcW w:w="2219"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1565" w:type="dxa"/>
            <w:vMerge w:val="continue"/>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127" w:type="dxa"/>
            <w:vAlign w:val="top"/>
          </w:tcPr>
          <w:p>
            <w:pPr>
              <w:keepNext w:val="0"/>
              <w:keepLines w:val="0"/>
              <w:pageBreakBefore w:val="0"/>
              <w:kinsoku/>
              <w:wordWrap w:val="0"/>
              <w:overflowPunct w:val="0"/>
              <w:topLinePunct/>
              <w:autoSpaceDE w:val="0"/>
              <w:autoSpaceDN w:val="0"/>
              <w:bidi w:val="0"/>
              <w:spacing w:before="127" w:line="228" w:lineRule="auto"/>
              <w:ind w:left="345"/>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传</w:t>
            </w:r>
            <w:r>
              <w:rPr>
                <w:rFonts w:hint="eastAsia" w:ascii="宋体" w:hAnsi="宋体" w:eastAsia="宋体" w:cs="宋体"/>
                <w:color w:val="auto"/>
                <w:spacing w:val="5"/>
                <w:sz w:val="20"/>
                <w:szCs w:val="20"/>
                <w:highlight w:val="none"/>
              </w:rPr>
              <w:t>真</w:t>
            </w:r>
          </w:p>
        </w:tc>
        <w:tc>
          <w:tcPr>
            <w:tcW w:w="2477"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451" w:type="dxa"/>
            <w:vAlign w:val="top"/>
          </w:tcPr>
          <w:p>
            <w:pPr>
              <w:keepNext w:val="0"/>
              <w:keepLines w:val="0"/>
              <w:pageBreakBefore w:val="0"/>
              <w:kinsoku/>
              <w:wordWrap w:val="0"/>
              <w:overflowPunct w:val="0"/>
              <w:topLinePunct/>
              <w:autoSpaceDE w:val="0"/>
              <w:autoSpaceDN w:val="0"/>
              <w:bidi w:val="0"/>
              <w:spacing w:before="128" w:line="229" w:lineRule="auto"/>
              <w:ind w:left="538"/>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邮箱</w:t>
            </w:r>
          </w:p>
        </w:tc>
        <w:tc>
          <w:tcPr>
            <w:tcW w:w="2219"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trPr>
        <w:tc>
          <w:tcPr>
            <w:tcW w:w="1565" w:type="dxa"/>
            <w:vAlign w:val="top"/>
          </w:tcPr>
          <w:p>
            <w:pPr>
              <w:keepNext w:val="0"/>
              <w:keepLines w:val="0"/>
              <w:pageBreakBefore w:val="0"/>
              <w:kinsoku/>
              <w:wordWrap w:val="0"/>
              <w:overflowPunct w:val="0"/>
              <w:topLinePunct/>
              <w:autoSpaceDE w:val="0"/>
              <w:autoSpaceDN w:val="0"/>
              <w:bidi w:val="0"/>
              <w:spacing w:before="204" w:line="228" w:lineRule="auto"/>
              <w:ind w:left="23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法定代表</w:t>
            </w:r>
            <w:r>
              <w:rPr>
                <w:rFonts w:hint="eastAsia" w:ascii="宋体" w:hAnsi="宋体" w:eastAsia="宋体" w:cs="宋体"/>
                <w:color w:val="auto"/>
                <w:spacing w:val="7"/>
                <w:sz w:val="20"/>
                <w:szCs w:val="20"/>
                <w:highlight w:val="none"/>
              </w:rPr>
              <w:t>人</w:t>
            </w:r>
          </w:p>
        </w:tc>
        <w:tc>
          <w:tcPr>
            <w:tcW w:w="1127" w:type="dxa"/>
            <w:vAlign w:val="top"/>
          </w:tcPr>
          <w:p>
            <w:pPr>
              <w:keepNext w:val="0"/>
              <w:keepLines w:val="0"/>
              <w:pageBreakBefore w:val="0"/>
              <w:kinsoku/>
              <w:wordWrap w:val="0"/>
              <w:overflowPunct w:val="0"/>
              <w:topLinePunct/>
              <w:autoSpaceDE w:val="0"/>
              <w:autoSpaceDN w:val="0"/>
              <w:bidi w:val="0"/>
              <w:spacing w:before="204" w:line="228" w:lineRule="auto"/>
              <w:ind w:left="347"/>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姓</w:t>
            </w:r>
            <w:r>
              <w:rPr>
                <w:rFonts w:hint="eastAsia" w:ascii="宋体" w:hAnsi="宋体" w:eastAsia="宋体" w:cs="宋体"/>
                <w:color w:val="auto"/>
                <w:spacing w:val="4"/>
                <w:sz w:val="20"/>
                <w:szCs w:val="20"/>
                <w:highlight w:val="none"/>
              </w:rPr>
              <w:t>名</w:t>
            </w:r>
          </w:p>
        </w:tc>
        <w:tc>
          <w:tcPr>
            <w:tcW w:w="2477"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451" w:type="dxa"/>
            <w:vAlign w:val="top"/>
          </w:tcPr>
          <w:p>
            <w:pPr>
              <w:keepNext w:val="0"/>
              <w:keepLines w:val="0"/>
              <w:pageBreakBefore w:val="0"/>
              <w:kinsoku/>
              <w:wordWrap w:val="0"/>
              <w:overflowPunct w:val="0"/>
              <w:topLinePunct/>
              <w:autoSpaceDE w:val="0"/>
              <w:autoSpaceDN w:val="0"/>
              <w:bidi w:val="0"/>
              <w:spacing w:before="203" w:line="231" w:lineRule="auto"/>
              <w:ind w:left="54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电</w:t>
            </w:r>
            <w:r>
              <w:rPr>
                <w:rFonts w:hint="eastAsia" w:ascii="宋体" w:hAnsi="宋体" w:eastAsia="宋体" w:cs="宋体"/>
                <w:color w:val="auto"/>
                <w:spacing w:val="-7"/>
                <w:sz w:val="20"/>
                <w:szCs w:val="20"/>
                <w:highlight w:val="none"/>
              </w:rPr>
              <w:t>话</w:t>
            </w:r>
          </w:p>
        </w:tc>
        <w:tc>
          <w:tcPr>
            <w:tcW w:w="2219"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1565" w:type="dxa"/>
            <w:vAlign w:val="top"/>
          </w:tcPr>
          <w:p>
            <w:pPr>
              <w:keepNext w:val="0"/>
              <w:keepLines w:val="0"/>
              <w:pageBreakBefore w:val="0"/>
              <w:kinsoku/>
              <w:wordWrap w:val="0"/>
              <w:overflowPunct w:val="0"/>
              <w:topLinePunct/>
              <w:autoSpaceDE w:val="0"/>
              <w:autoSpaceDN w:val="0"/>
              <w:bidi w:val="0"/>
              <w:spacing w:before="187" w:line="230" w:lineRule="auto"/>
              <w:ind w:left="34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成立时</w:t>
            </w:r>
            <w:r>
              <w:rPr>
                <w:rFonts w:hint="eastAsia" w:ascii="宋体" w:hAnsi="宋体" w:eastAsia="宋体" w:cs="宋体"/>
                <w:color w:val="auto"/>
                <w:spacing w:val="6"/>
                <w:sz w:val="20"/>
                <w:szCs w:val="20"/>
                <w:highlight w:val="none"/>
              </w:rPr>
              <w:t>间</w:t>
            </w:r>
          </w:p>
        </w:tc>
        <w:tc>
          <w:tcPr>
            <w:tcW w:w="3604" w:type="dxa"/>
            <w:gridSpan w:val="2"/>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451" w:type="dxa"/>
            <w:vAlign w:val="top"/>
          </w:tcPr>
          <w:p>
            <w:pPr>
              <w:keepNext w:val="0"/>
              <w:keepLines w:val="0"/>
              <w:pageBreakBefore w:val="0"/>
              <w:kinsoku/>
              <w:wordWrap w:val="0"/>
              <w:overflowPunct w:val="0"/>
              <w:topLinePunct/>
              <w:autoSpaceDE w:val="0"/>
              <w:autoSpaceDN w:val="0"/>
              <w:bidi w:val="0"/>
              <w:spacing w:before="188" w:line="228" w:lineRule="auto"/>
              <w:ind w:left="221"/>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员</w:t>
            </w:r>
            <w:r>
              <w:rPr>
                <w:rFonts w:hint="eastAsia" w:ascii="宋体" w:hAnsi="宋体" w:eastAsia="宋体" w:cs="宋体"/>
                <w:color w:val="auto"/>
                <w:spacing w:val="6"/>
                <w:sz w:val="20"/>
                <w:szCs w:val="20"/>
                <w:highlight w:val="none"/>
              </w:rPr>
              <w:t>工总人数</w:t>
            </w:r>
          </w:p>
        </w:tc>
        <w:tc>
          <w:tcPr>
            <w:tcW w:w="2219"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1565" w:type="dxa"/>
            <w:vAlign w:val="top"/>
          </w:tcPr>
          <w:p>
            <w:pPr>
              <w:keepNext w:val="0"/>
              <w:keepLines w:val="0"/>
              <w:pageBreakBefore w:val="0"/>
              <w:kinsoku/>
              <w:wordWrap w:val="0"/>
              <w:overflowPunct w:val="0"/>
              <w:topLinePunct/>
              <w:autoSpaceDE w:val="0"/>
              <w:autoSpaceDN w:val="0"/>
              <w:bidi w:val="0"/>
              <w:spacing w:before="196" w:line="228" w:lineRule="auto"/>
              <w:ind w:left="24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营业执照</w:t>
            </w:r>
            <w:r>
              <w:rPr>
                <w:rFonts w:hint="eastAsia" w:ascii="宋体" w:hAnsi="宋体" w:eastAsia="宋体" w:cs="宋体"/>
                <w:color w:val="auto"/>
                <w:spacing w:val="6"/>
                <w:sz w:val="20"/>
                <w:szCs w:val="20"/>
                <w:highlight w:val="none"/>
              </w:rPr>
              <w:t>号</w:t>
            </w:r>
          </w:p>
        </w:tc>
        <w:tc>
          <w:tcPr>
            <w:tcW w:w="7274" w:type="dxa"/>
            <w:gridSpan w:val="4"/>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1565" w:type="dxa"/>
            <w:vAlign w:val="top"/>
          </w:tcPr>
          <w:p>
            <w:pPr>
              <w:keepNext w:val="0"/>
              <w:keepLines w:val="0"/>
              <w:pageBreakBefore w:val="0"/>
              <w:kinsoku/>
              <w:wordWrap w:val="0"/>
              <w:overflowPunct w:val="0"/>
              <w:topLinePunct/>
              <w:autoSpaceDE w:val="0"/>
              <w:autoSpaceDN w:val="0"/>
              <w:bidi w:val="0"/>
              <w:spacing w:before="186" w:line="230" w:lineRule="auto"/>
              <w:ind w:left="344"/>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注</w:t>
            </w:r>
            <w:r>
              <w:rPr>
                <w:rFonts w:hint="eastAsia" w:ascii="宋体" w:hAnsi="宋体" w:eastAsia="宋体" w:cs="宋体"/>
                <w:color w:val="auto"/>
                <w:spacing w:val="7"/>
                <w:sz w:val="20"/>
                <w:szCs w:val="20"/>
                <w:highlight w:val="none"/>
              </w:rPr>
              <w:t>册资金</w:t>
            </w:r>
          </w:p>
        </w:tc>
        <w:tc>
          <w:tcPr>
            <w:tcW w:w="7274" w:type="dxa"/>
            <w:gridSpan w:val="4"/>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1565" w:type="dxa"/>
            <w:vAlign w:val="top"/>
          </w:tcPr>
          <w:p>
            <w:pPr>
              <w:keepNext w:val="0"/>
              <w:keepLines w:val="0"/>
              <w:pageBreakBefore w:val="0"/>
              <w:kinsoku/>
              <w:wordWrap w:val="0"/>
              <w:overflowPunct w:val="0"/>
              <w:topLinePunct/>
              <w:autoSpaceDE w:val="0"/>
              <w:autoSpaceDN w:val="0"/>
              <w:bidi w:val="0"/>
              <w:spacing w:line="252"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5" w:line="229" w:lineRule="auto"/>
              <w:ind w:left="34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开户银行</w:t>
            </w:r>
          </w:p>
        </w:tc>
        <w:tc>
          <w:tcPr>
            <w:tcW w:w="7274" w:type="dxa"/>
            <w:gridSpan w:val="4"/>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565" w:type="dxa"/>
            <w:vAlign w:val="top"/>
          </w:tcPr>
          <w:p>
            <w:pPr>
              <w:keepNext w:val="0"/>
              <w:keepLines w:val="0"/>
              <w:pageBreakBefore w:val="0"/>
              <w:kinsoku/>
              <w:wordWrap w:val="0"/>
              <w:overflowPunct w:val="0"/>
              <w:topLinePunct/>
              <w:autoSpaceDE w:val="0"/>
              <w:autoSpaceDN w:val="0"/>
              <w:bidi w:val="0"/>
              <w:spacing w:before="149" w:line="230" w:lineRule="auto"/>
              <w:ind w:left="55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账号</w:t>
            </w:r>
          </w:p>
        </w:tc>
        <w:tc>
          <w:tcPr>
            <w:tcW w:w="7274" w:type="dxa"/>
            <w:gridSpan w:val="4"/>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trPr>
        <w:tc>
          <w:tcPr>
            <w:tcW w:w="1565" w:type="dxa"/>
            <w:vAlign w:val="top"/>
          </w:tcPr>
          <w:p>
            <w:pPr>
              <w:keepNext w:val="0"/>
              <w:keepLines w:val="0"/>
              <w:pageBreakBefore w:val="0"/>
              <w:kinsoku/>
              <w:wordWrap w:val="0"/>
              <w:overflowPunct w:val="0"/>
              <w:topLinePunct/>
              <w:autoSpaceDE w:val="0"/>
              <w:autoSpaceDN w:val="0"/>
              <w:bidi w:val="0"/>
              <w:spacing w:line="25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5" w:line="229" w:lineRule="auto"/>
              <w:ind w:left="34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经营范</w:t>
            </w:r>
            <w:r>
              <w:rPr>
                <w:rFonts w:hint="eastAsia" w:ascii="宋体" w:hAnsi="宋体" w:eastAsia="宋体" w:cs="宋体"/>
                <w:color w:val="auto"/>
                <w:spacing w:val="6"/>
                <w:sz w:val="20"/>
                <w:szCs w:val="20"/>
                <w:highlight w:val="none"/>
              </w:rPr>
              <w:t>围</w:t>
            </w:r>
          </w:p>
        </w:tc>
        <w:tc>
          <w:tcPr>
            <w:tcW w:w="7274" w:type="dxa"/>
            <w:gridSpan w:val="4"/>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565" w:type="dxa"/>
            <w:vAlign w:val="top"/>
          </w:tcPr>
          <w:p>
            <w:pPr>
              <w:keepNext w:val="0"/>
              <w:keepLines w:val="0"/>
              <w:pageBreakBefore w:val="0"/>
              <w:kinsoku/>
              <w:wordWrap w:val="0"/>
              <w:overflowPunct w:val="0"/>
              <w:topLinePunct/>
              <w:autoSpaceDE w:val="0"/>
              <w:autoSpaceDN w:val="0"/>
              <w:bidi w:val="0"/>
              <w:spacing w:before="38" w:line="230" w:lineRule="auto"/>
              <w:ind w:left="558"/>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备</w:t>
            </w:r>
            <w:r>
              <w:rPr>
                <w:rFonts w:hint="eastAsia" w:ascii="宋体" w:hAnsi="宋体" w:eastAsia="宋体" w:cs="宋体"/>
                <w:color w:val="auto"/>
                <w:spacing w:val="3"/>
                <w:sz w:val="20"/>
                <w:szCs w:val="20"/>
                <w:highlight w:val="none"/>
              </w:rPr>
              <w:t>注</w:t>
            </w:r>
          </w:p>
        </w:tc>
        <w:tc>
          <w:tcPr>
            <w:tcW w:w="7274" w:type="dxa"/>
            <w:gridSpan w:val="4"/>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bl>
    <w:p>
      <w:pPr>
        <w:keepNext w:val="0"/>
        <w:keepLines w:val="0"/>
        <w:pageBreakBefore w:val="0"/>
        <w:kinsoku/>
        <w:wordWrap w:val="0"/>
        <w:overflowPunct w:val="0"/>
        <w:topLinePunct/>
        <w:autoSpaceDE w:val="0"/>
        <w:autoSpaceDN w:val="0"/>
        <w:bidi w:val="0"/>
        <w:spacing w:line="256"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后附</w:t>
      </w:r>
      <w:r>
        <w:rPr>
          <w:rFonts w:hint="eastAsia" w:ascii="宋体" w:hAnsi="宋体" w:eastAsia="宋体" w:cs="宋体"/>
          <w:b/>
          <w:bCs/>
          <w:color w:val="auto"/>
          <w:highlight w:val="none"/>
        </w:rPr>
        <w:t>“投标人须知”前附表第 1.4.1 项中规定的</w:t>
      </w:r>
      <w:r>
        <w:rPr>
          <w:rFonts w:hint="eastAsia" w:ascii="宋体" w:hAnsi="宋体" w:eastAsia="宋体" w:cs="宋体"/>
          <w:b/>
          <w:bCs/>
          <w:color w:val="auto"/>
          <w:highlight w:val="none"/>
          <w:lang w:val="en-US" w:eastAsia="zh-CN"/>
        </w:rPr>
        <w:t>相关</w:t>
      </w:r>
      <w:r>
        <w:rPr>
          <w:rFonts w:hint="eastAsia" w:ascii="宋体" w:hAnsi="宋体" w:eastAsia="宋体" w:cs="宋体"/>
          <w:b/>
          <w:bCs/>
          <w:color w:val="auto"/>
          <w:highlight w:val="none"/>
        </w:rPr>
        <w:t>资料</w:t>
      </w:r>
    </w:p>
    <w:p>
      <w:pPr>
        <w:keepNext w:val="0"/>
        <w:keepLines w:val="0"/>
        <w:pageBreakBefore w:val="0"/>
        <w:kinsoku/>
        <w:wordWrap w:val="0"/>
        <w:overflowPunct w:val="0"/>
        <w:topLinePunct/>
        <w:autoSpaceDE w:val="0"/>
        <w:autoSpaceDN w:val="0"/>
        <w:bidi w:val="0"/>
        <w:spacing w:before="68" w:line="224" w:lineRule="auto"/>
        <w:ind w:left="4855"/>
        <w:rPr>
          <w:rFonts w:hint="eastAsia" w:ascii="宋体" w:hAnsi="宋体" w:eastAsia="宋体" w:cs="宋体"/>
          <w:color w:val="auto"/>
          <w:sz w:val="21"/>
          <w:highlight w:val="none"/>
        </w:rPr>
      </w:pPr>
      <w:r>
        <w:rPr>
          <w:rFonts w:hint="eastAsia" w:ascii="宋体" w:hAnsi="宋体" w:eastAsia="宋体" w:cs="宋体"/>
          <w:color w:val="auto"/>
          <w:spacing w:val="16"/>
          <w:sz w:val="21"/>
          <w:szCs w:val="21"/>
          <w:highlight w:val="none"/>
        </w:rPr>
        <w:t>投标人(单位电子签章)：</w:t>
      </w:r>
    </w:p>
    <w:p>
      <w:pPr>
        <w:keepNext w:val="0"/>
        <w:keepLines w:val="0"/>
        <w:pageBreakBefore w:val="0"/>
        <w:kinsoku/>
        <w:wordWrap w:val="0"/>
        <w:overflowPunct w:val="0"/>
        <w:topLinePunct/>
        <w:autoSpaceDE w:val="0"/>
        <w:autoSpaceDN w:val="0"/>
        <w:bidi w:val="0"/>
        <w:spacing w:line="25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9" w:line="225" w:lineRule="auto"/>
        <w:ind w:right="370"/>
        <w:jc w:val="righ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法定代表人或其委托代理人 (签字或电子签名</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w:t>
      </w:r>
    </w:p>
    <w:p>
      <w:pPr>
        <w:keepNext w:val="0"/>
        <w:keepLines w:val="0"/>
        <w:pageBreakBefore w:val="0"/>
        <w:kinsoku/>
        <w:wordWrap w:val="0"/>
        <w:overflowPunct w:val="0"/>
        <w:topLinePunct/>
        <w:autoSpaceDE w:val="0"/>
        <w:autoSpaceDN w:val="0"/>
        <w:bidi w:val="0"/>
        <w:spacing w:line="256"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8" w:line="225" w:lineRule="auto"/>
        <w:ind w:left="714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 xml:space="preserve">年      月      </w:t>
      </w:r>
      <w:r>
        <w:rPr>
          <w:rFonts w:hint="eastAsia" w:ascii="宋体" w:hAnsi="宋体" w:eastAsia="宋体" w:cs="宋体"/>
          <w:color w:val="auto"/>
          <w:spacing w:val="1"/>
          <w:sz w:val="21"/>
          <w:szCs w:val="21"/>
          <w:highlight w:val="none"/>
        </w:rPr>
        <w:t>日</w:t>
      </w: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footerReference r:id="rId18" w:type="default"/>
          <w:pgSz w:w="11909" w:h="16834"/>
          <w:pgMar w:top="1440" w:right="1080" w:bottom="1440" w:left="1080" w:header="0" w:footer="1806" w:gutter="0"/>
          <w:pgNumType w:fmt="decimal"/>
          <w:cols w:space="720" w:num="1"/>
        </w:sectPr>
      </w:pPr>
    </w:p>
    <w:p>
      <w:pPr>
        <w:keepNext w:val="0"/>
        <w:keepLines w:val="0"/>
        <w:pageBreakBefore w:val="0"/>
        <w:kinsoku/>
        <w:wordWrap w:val="0"/>
        <w:overflowPunct w:val="0"/>
        <w:topLinePunct/>
        <w:autoSpaceDE w:val="0"/>
        <w:autoSpaceDN w:val="0"/>
        <w:bidi w:val="0"/>
        <w:spacing w:before="65" w:line="271" w:lineRule="exact"/>
        <w:ind w:left="431"/>
        <w:rPr>
          <w:rFonts w:hint="eastAsia" w:ascii="宋体" w:hAnsi="宋体" w:eastAsia="宋体" w:cs="宋体"/>
          <w:color w:val="auto"/>
          <w:sz w:val="20"/>
          <w:szCs w:val="20"/>
          <w:highlight w:val="none"/>
        </w:rPr>
      </w:pPr>
      <w:bookmarkStart w:id="103" w:name="_Toc6357"/>
      <w:r>
        <w:rPr>
          <w:rFonts w:hint="eastAsia" w:ascii="宋体" w:hAnsi="宋体" w:eastAsia="宋体" w:cs="宋体"/>
          <w:color w:val="auto"/>
          <w:spacing w:val="12"/>
          <w:position w:val="1"/>
          <w:sz w:val="20"/>
          <w:szCs w:val="20"/>
          <w:highlight w:val="none"/>
        </w:rPr>
        <w:t>2</w:t>
      </w:r>
      <w:r>
        <w:rPr>
          <w:rFonts w:hint="eastAsia" w:ascii="宋体" w:hAnsi="宋体" w:eastAsia="宋体" w:cs="宋体"/>
          <w:color w:val="auto"/>
          <w:spacing w:val="8"/>
          <w:position w:val="1"/>
          <w:sz w:val="20"/>
          <w:szCs w:val="20"/>
          <w:highlight w:val="none"/>
        </w:rPr>
        <w:t>、供应商同类项目业绩</w:t>
      </w:r>
    </w:p>
    <w:p>
      <w:pPr>
        <w:keepNext w:val="0"/>
        <w:keepLines w:val="0"/>
        <w:pageBreakBefore w:val="0"/>
        <w:kinsoku/>
        <w:wordWrap w:val="0"/>
        <w:overflowPunct w:val="0"/>
        <w:topLinePunct/>
        <w:autoSpaceDE w:val="0"/>
        <w:autoSpaceDN w:val="0"/>
        <w:bidi w:val="0"/>
        <w:spacing w:before="137" w:line="228" w:lineRule="auto"/>
        <w:ind w:left="3555"/>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类</w:t>
      </w:r>
      <w:r>
        <w:rPr>
          <w:rFonts w:hint="eastAsia" w:ascii="宋体" w:hAnsi="宋体" w:eastAsia="宋体" w:cs="宋体"/>
          <w:color w:val="auto"/>
          <w:spacing w:val="9"/>
          <w:sz w:val="20"/>
          <w:szCs w:val="20"/>
          <w:highlight w:val="none"/>
        </w:rPr>
        <w:t>似项目实施业绩一览表</w:t>
      </w:r>
    </w:p>
    <w:p>
      <w:pPr>
        <w:keepNext w:val="0"/>
        <w:keepLines w:val="0"/>
        <w:pageBreakBefore w:val="0"/>
        <w:kinsoku/>
        <w:wordWrap w:val="0"/>
        <w:overflowPunct w:val="0"/>
        <w:topLinePunct/>
        <w:autoSpaceDE w:val="0"/>
        <w:autoSpaceDN w:val="0"/>
        <w:bidi w:val="0"/>
        <w:spacing w:line="130" w:lineRule="exact"/>
        <w:rPr>
          <w:rFonts w:hint="eastAsia" w:ascii="宋体" w:hAnsi="宋体" w:eastAsia="宋体" w:cs="宋体"/>
          <w:color w:val="auto"/>
          <w:highlight w:val="none"/>
        </w:rPr>
      </w:pPr>
    </w:p>
    <w:tbl>
      <w:tblPr>
        <w:tblStyle w:val="31"/>
        <w:tblW w:w="9017" w:type="dxa"/>
        <w:tblInd w:w="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757"/>
        <w:gridCol w:w="1317"/>
        <w:gridCol w:w="1317"/>
        <w:gridCol w:w="1350"/>
        <w:gridCol w:w="2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851" w:type="dxa"/>
            <w:tcBorders>
              <w:left w:val="single" w:color="000000" w:sz="10" w:space="0"/>
              <w:right w:val="single" w:color="000000" w:sz="6"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757" w:type="dxa"/>
            <w:tcBorders>
              <w:left w:val="single" w:color="000000" w:sz="6" w:space="0"/>
              <w:right w:val="single" w:color="000000" w:sz="6"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1317" w:type="dxa"/>
            <w:tcBorders>
              <w:left w:val="single" w:color="000000" w:sz="6" w:space="0"/>
              <w:right w:val="single" w:color="000000" w:sz="6"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被服务人数</w:t>
            </w:r>
          </w:p>
        </w:tc>
        <w:tc>
          <w:tcPr>
            <w:tcW w:w="1317" w:type="dxa"/>
            <w:tcBorders>
              <w:left w:val="single" w:color="000000" w:sz="6" w:space="0"/>
              <w:right w:val="single" w:color="000000" w:sz="6"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项目金额</w:t>
            </w: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(万元)</w:t>
            </w:r>
          </w:p>
        </w:tc>
        <w:tc>
          <w:tcPr>
            <w:tcW w:w="1350" w:type="dxa"/>
            <w:tcBorders>
              <w:left w:val="single" w:color="000000" w:sz="6" w:space="0"/>
              <w:right w:val="single" w:color="000000" w:sz="6"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实施</w:t>
            </w: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时间</w:t>
            </w:r>
          </w:p>
        </w:tc>
        <w:tc>
          <w:tcPr>
            <w:tcW w:w="2425" w:type="dxa"/>
            <w:tcBorders>
              <w:left w:val="single" w:color="000000" w:sz="6" w:space="0"/>
              <w:right w:val="single" w:color="000000" w:sz="10" w:space="0"/>
            </w:tcBorders>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项目单位</w:t>
            </w: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51" w:type="dxa"/>
            <w:tcBorders>
              <w:left w:val="single" w:color="000000" w:sz="10"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75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50"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2425" w:type="dxa"/>
            <w:tcBorders>
              <w:left w:val="single" w:color="000000" w:sz="6" w:space="0"/>
              <w:right w:val="single" w:color="000000" w:sz="10"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51" w:type="dxa"/>
            <w:tcBorders>
              <w:left w:val="single" w:color="000000" w:sz="10"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75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50"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2425" w:type="dxa"/>
            <w:tcBorders>
              <w:left w:val="single" w:color="000000" w:sz="6" w:space="0"/>
              <w:right w:val="single" w:color="000000" w:sz="10"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51" w:type="dxa"/>
            <w:tcBorders>
              <w:left w:val="single" w:color="000000" w:sz="10"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75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50"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2425" w:type="dxa"/>
            <w:tcBorders>
              <w:left w:val="single" w:color="000000" w:sz="6" w:space="0"/>
              <w:right w:val="single" w:color="000000" w:sz="10"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51" w:type="dxa"/>
            <w:tcBorders>
              <w:left w:val="single" w:color="000000" w:sz="10"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75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50"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2425" w:type="dxa"/>
            <w:tcBorders>
              <w:left w:val="single" w:color="000000" w:sz="6" w:space="0"/>
              <w:right w:val="single" w:color="000000" w:sz="10"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51" w:type="dxa"/>
            <w:tcBorders>
              <w:left w:val="single" w:color="000000" w:sz="10"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75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50"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2425" w:type="dxa"/>
            <w:tcBorders>
              <w:left w:val="single" w:color="000000" w:sz="6" w:space="0"/>
              <w:right w:val="single" w:color="000000" w:sz="10"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51" w:type="dxa"/>
            <w:tcBorders>
              <w:left w:val="single" w:color="000000" w:sz="10"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75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50"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2425" w:type="dxa"/>
            <w:tcBorders>
              <w:left w:val="single" w:color="000000" w:sz="6" w:space="0"/>
              <w:right w:val="single" w:color="000000" w:sz="10"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51" w:type="dxa"/>
            <w:tcBorders>
              <w:left w:val="single" w:color="000000" w:sz="10"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75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50"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2425" w:type="dxa"/>
            <w:tcBorders>
              <w:left w:val="single" w:color="000000" w:sz="6" w:space="0"/>
              <w:right w:val="single" w:color="000000" w:sz="10"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51" w:type="dxa"/>
            <w:tcBorders>
              <w:left w:val="single" w:color="000000" w:sz="10"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75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50"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2425" w:type="dxa"/>
            <w:tcBorders>
              <w:left w:val="single" w:color="000000" w:sz="6" w:space="0"/>
              <w:right w:val="single" w:color="000000" w:sz="10"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51" w:type="dxa"/>
            <w:tcBorders>
              <w:left w:val="single" w:color="000000" w:sz="10"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75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50"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2425" w:type="dxa"/>
            <w:tcBorders>
              <w:left w:val="single" w:color="000000" w:sz="6" w:space="0"/>
              <w:right w:val="single" w:color="000000" w:sz="10"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51" w:type="dxa"/>
            <w:tcBorders>
              <w:left w:val="single" w:color="000000" w:sz="10"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75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17"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350" w:type="dxa"/>
            <w:tcBorders>
              <w:left w:val="single" w:color="000000" w:sz="6" w:space="0"/>
              <w:right w:val="single" w:color="000000" w:sz="6"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2425" w:type="dxa"/>
            <w:tcBorders>
              <w:left w:val="single" w:color="000000" w:sz="6" w:space="0"/>
              <w:right w:val="single" w:color="000000" w:sz="10" w:space="0"/>
            </w:tcBorders>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bl>
    <w:p>
      <w:pPr>
        <w:keepNext w:val="0"/>
        <w:keepLines w:val="0"/>
        <w:pageBreakBefore w:val="0"/>
        <w:kinsoku/>
        <w:wordWrap w:val="0"/>
        <w:overflowPunct w:val="0"/>
        <w:topLinePunct/>
        <w:autoSpaceDE w:val="0"/>
        <w:autoSpaceDN w:val="0"/>
        <w:bidi w:val="0"/>
        <w:spacing w:before="68" w:line="224" w:lineRule="auto"/>
        <w:ind w:left="4855"/>
        <w:rPr>
          <w:rFonts w:hint="eastAsia" w:ascii="宋体" w:hAnsi="宋体" w:eastAsia="宋体" w:cs="宋体"/>
          <w:color w:val="auto"/>
          <w:sz w:val="21"/>
          <w:highlight w:val="none"/>
        </w:rPr>
      </w:pPr>
      <w:r>
        <w:rPr>
          <w:rFonts w:hint="eastAsia" w:ascii="宋体" w:hAnsi="宋体" w:eastAsia="宋体" w:cs="宋体"/>
          <w:color w:val="auto"/>
          <w:spacing w:val="16"/>
          <w:sz w:val="21"/>
          <w:szCs w:val="21"/>
          <w:highlight w:val="none"/>
        </w:rPr>
        <w:t>投标人(单位电子签章)：</w:t>
      </w:r>
    </w:p>
    <w:p>
      <w:pPr>
        <w:keepNext w:val="0"/>
        <w:keepLines w:val="0"/>
        <w:pageBreakBefore w:val="0"/>
        <w:kinsoku/>
        <w:wordWrap w:val="0"/>
        <w:overflowPunct w:val="0"/>
        <w:topLinePunct/>
        <w:autoSpaceDE w:val="0"/>
        <w:autoSpaceDN w:val="0"/>
        <w:bidi w:val="0"/>
        <w:spacing w:line="25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9" w:line="225" w:lineRule="auto"/>
        <w:ind w:right="370"/>
        <w:jc w:val="righ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法定代表人或其委托代理人 (签字或电子签名</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w:t>
      </w:r>
    </w:p>
    <w:p>
      <w:pPr>
        <w:keepNext w:val="0"/>
        <w:keepLines w:val="0"/>
        <w:pageBreakBefore w:val="0"/>
        <w:kinsoku/>
        <w:wordWrap w:val="0"/>
        <w:overflowPunct w:val="0"/>
        <w:topLinePunct/>
        <w:autoSpaceDE w:val="0"/>
        <w:autoSpaceDN w:val="0"/>
        <w:bidi w:val="0"/>
        <w:spacing w:line="256"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6"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8" w:line="225" w:lineRule="auto"/>
        <w:ind w:left="714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 xml:space="preserve">年      月      </w:t>
      </w:r>
      <w:r>
        <w:rPr>
          <w:rFonts w:hint="eastAsia" w:ascii="宋体" w:hAnsi="宋体" w:eastAsia="宋体" w:cs="宋体"/>
          <w:color w:val="auto"/>
          <w:spacing w:val="1"/>
          <w:sz w:val="21"/>
          <w:szCs w:val="21"/>
          <w:highlight w:val="none"/>
        </w:rPr>
        <w:t>日</w:t>
      </w:r>
    </w:p>
    <w:p>
      <w:pPr>
        <w:keepNext w:val="0"/>
        <w:keepLines w:val="0"/>
        <w:pageBreakBefore w:val="0"/>
        <w:kinsoku/>
        <w:wordWrap w:val="0"/>
        <w:overflowPunct w:val="0"/>
        <w:topLinePunct/>
        <w:autoSpaceDE w:val="0"/>
        <w:autoSpaceDN w:val="0"/>
        <w:bidi w:val="0"/>
        <w:rPr>
          <w:rFonts w:hint="eastAsia" w:ascii="宋体" w:hAnsi="宋体" w:eastAsia="宋体" w:cs="宋体"/>
          <w:color w:val="auto"/>
          <w:spacing w:val="-11"/>
          <w:sz w:val="30"/>
          <w:szCs w:val="30"/>
          <w:highlight w:val="none"/>
          <w14:textOutline w14:w="5495" w14:cap="flat" w14:cmpd="sng">
            <w14:solidFill>
              <w14:srgbClr w14:val="000000"/>
            </w14:solidFill>
            <w14:prstDash w14:val="solid"/>
            <w14:miter w14:val="0"/>
          </w14:textOutline>
        </w:rPr>
      </w:pPr>
    </w:p>
    <w:p>
      <w:pPr>
        <w:pStyle w:val="13"/>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p>
      <w:pPr>
        <w:pStyle w:val="13"/>
        <w:keepNext w:val="0"/>
        <w:keepLines w:val="0"/>
        <w:pageBreakBefore w:val="0"/>
        <w:kinsoku/>
        <w:wordWrap w:val="0"/>
        <w:overflowPunct w:val="0"/>
        <w:topLinePunct/>
        <w:autoSpaceDE w:val="0"/>
        <w:autoSpaceDN w:val="0"/>
        <w:bidi w:val="0"/>
        <w:rPr>
          <w:rFonts w:hint="eastAsia" w:ascii="宋体" w:hAnsi="宋体" w:eastAsia="宋体" w:cs="宋体"/>
          <w:color w:val="auto"/>
          <w:spacing w:val="-11"/>
          <w:sz w:val="30"/>
          <w:szCs w:val="30"/>
          <w:highlight w:val="none"/>
          <w14:textOutline w14:w="5495" w14:cap="flat" w14:cmpd="sng">
            <w14:solidFill>
              <w14:srgbClr w14:val="000000"/>
            </w14:solidFill>
            <w14:prstDash w14:val="solid"/>
            <w14:miter w14:val="0"/>
          </w14:textOutline>
        </w:rPr>
      </w:pP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p>
      <w:pPr>
        <w:keepNext w:val="0"/>
        <w:keepLines w:val="0"/>
        <w:pageBreakBefore w:val="0"/>
        <w:kinsoku/>
        <w:wordWrap w:val="0"/>
        <w:overflowPunct w:val="0"/>
        <w:topLinePunct/>
        <w:autoSpaceDE w:val="0"/>
        <w:autoSpaceDN w:val="0"/>
        <w:bidi w:val="0"/>
        <w:rPr>
          <w:rFonts w:hint="eastAsia" w:ascii="宋体" w:hAnsi="宋体" w:eastAsia="宋体" w:cs="宋体"/>
          <w:color w:val="auto"/>
          <w:spacing w:val="10"/>
          <w:position w:val="1"/>
          <w:sz w:val="20"/>
          <w:szCs w:val="20"/>
          <w:highlight w:val="none"/>
        </w:rPr>
      </w:pPr>
      <w:r>
        <w:rPr>
          <w:rFonts w:hint="eastAsia" w:ascii="宋体" w:hAnsi="宋体" w:eastAsia="宋体" w:cs="宋体"/>
          <w:color w:val="auto"/>
          <w:spacing w:val="10"/>
          <w:position w:val="1"/>
          <w:sz w:val="20"/>
          <w:szCs w:val="20"/>
          <w:highlight w:val="none"/>
        </w:rPr>
        <w:br w:type="page"/>
      </w:r>
    </w:p>
    <w:p>
      <w:pPr>
        <w:keepNext w:val="0"/>
        <w:keepLines w:val="0"/>
        <w:pageBreakBefore w:val="0"/>
        <w:kinsoku/>
        <w:wordWrap w:val="0"/>
        <w:overflowPunct w:val="0"/>
        <w:topLinePunct/>
        <w:autoSpaceDE w:val="0"/>
        <w:autoSpaceDN w:val="0"/>
        <w:bidi w:val="0"/>
        <w:spacing w:before="65" w:line="270" w:lineRule="exact"/>
        <w:ind w:left="432"/>
        <w:rPr>
          <w:rFonts w:hint="eastAsia" w:ascii="宋体" w:hAnsi="宋体" w:eastAsia="宋体" w:cs="宋体"/>
          <w:color w:val="auto"/>
          <w:sz w:val="20"/>
          <w:szCs w:val="20"/>
          <w:highlight w:val="none"/>
        </w:rPr>
      </w:pPr>
      <w:r>
        <w:rPr>
          <w:rFonts w:hint="eastAsia" w:ascii="宋体" w:hAnsi="宋体" w:eastAsia="宋体" w:cs="宋体"/>
          <w:color w:val="auto"/>
          <w:spacing w:val="10"/>
          <w:position w:val="1"/>
          <w:sz w:val="20"/>
          <w:szCs w:val="20"/>
          <w:highlight w:val="none"/>
        </w:rPr>
        <w:t>3</w:t>
      </w:r>
      <w:r>
        <w:rPr>
          <w:rFonts w:hint="eastAsia" w:ascii="宋体" w:hAnsi="宋体" w:eastAsia="宋体" w:cs="宋体"/>
          <w:color w:val="auto"/>
          <w:spacing w:val="8"/>
          <w:position w:val="1"/>
          <w:sz w:val="20"/>
          <w:szCs w:val="20"/>
          <w:highlight w:val="none"/>
        </w:rPr>
        <w:t>、</w:t>
      </w:r>
      <w:r>
        <w:rPr>
          <w:rFonts w:hint="eastAsia" w:ascii="宋体" w:hAnsi="宋体" w:eastAsia="宋体" w:cs="宋体"/>
          <w:color w:val="auto"/>
          <w:spacing w:val="8"/>
          <w:position w:val="1"/>
          <w:sz w:val="20"/>
          <w:szCs w:val="20"/>
          <w:highlight w:val="none"/>
          <w:lang w:eastAsia="zh-CN"/>
        </w:rPr>
        <w:t>项目经理</w:t>
      </w:r>
      <w:r>
        <w:rPr>
          <w:rFonts w:hint="eastAsia" w:ascii="宋体" w:hAnsi="宋体" w:eastAsia="宋体" w:cs="宋体"/>
          <w:color w:val="auto"/>
          <w:spacing w:val="8"/>
          <w:position w:val="1"/>
          <w:sz w:val="20"/>
          <w:szCs w:val="20"/>
          <w:highlight w:val="none"/>
        </w:rPr>
        <w:t>简历表</w:t>
      </w:r>
    </w:p>
    <w:p>
      <w:pPr>
        <w:keepNext w:val="0"/>
        <w:keepLines w:val="0"/>
        <w:pageBreakBefore w:val="0"/>
        <w:kinsoku/>
        <w:wordWrap w:val="0"/>
        <w:overflowPunct w:val="0"/>
        <w:topLinePunct/>
        <w:autoSpaceDE w:val="0"/>
        <w:autoSpaceDN w:val="0"/>
        <w:bidi w:val="0"/>
        <w:spacing w:line="109" w:lineRule="exact"/>
        <w:rPr>
          <w:rFonts w:hint="eastAsia" w:ascii="宋体" w:hAnsi="宋体" w:eastAsia="宋体" w:cs="宋体"/>
          <w:color w:val="auto"/>
          <w:highlight w:val="none"/>
        </w:rPr>
      </w:pPr>
    </w:p>
    <w:tbl>
      <w:tblPr>
        <w:tblStyle w:val="31"/>
        <w:tblW w:w="8867" w:type="dxa"/>
        <w:tblInd w:w="2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3"/>
        <w:gridCol w:w="2557"/>
        <w:gridCol w:w="1910"/>
        <w:gridCol w:w="3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867" w:type="dxa"/>
            <w:gridSpan w:val="4"/>
            <w:vAlign w:val="center"/>
          </w:tcPr>
          <w:p>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zCs w:val="20"/>
                <w:highlight w:val="none"/>
              </w:rPr>
            </w:pPr>
            <w:r>
              <w:rPr>
                <w:rFonts w:hint="eastAsia" w:ascii="宋体" w:hAnsi="宋体" w:eastAsia="宋体" w:cs="宋体"/>
                <w:b/>
                <w:bCs/>
                <w:color w:val="auto"/>
                <w:highlight w:val="none"/>
                <w:lang w:eastAsia="zh-CN"/>
              </w:rPr>
              <w:t>项目经理</w:t>
            </w:r>
            <w:r>
              <w:rPr>
                <w:rFonts w:hint="eastAsia" w:ascii="宋体" w:hAnsi="宋体" w:eastAsia="宋体" w:cs="宋体"/>
                <w:b/>
                <w:bCs/>
                <w:color w:val="auto"/>
                <w:highlight w:val="none"/>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73" w:type="dxa"/>
            <w:vAlign w:val="top"/>
          </w:tcPr>
          <w:p>
            <w:pPr>
              <w:keepNext w:val="0"/>
              <w:keepLines w:val="0"/>
              <w:pageBreakBefore w:val="0"/>
              <w:kinsoku/>
              <w:wordWrap w:val="0"/>
              <w:overflowPunct w:val="0"/>
              <w:topLinePunct/>
              <w:autoSpaceDE w:val="0"/>
              <w:autoSpaceDN w:val="0"/>
              <w:bidi w:val="0"/>
              <w:spacing w:before="32" w:line="228" w:lineRule="auto"/>
              <w:ind w:left="381"/>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姓</w:t>
            </w:r>
            <w:r>
              <w:rPr>
                <w:rFonts w:hint="eastAsia" w:ascii="宋体" w:hAnsi="宋体" w:eastAsia="宋体" w:cs="宋体"/>
                <w:color w:val="auto"/>
                <w:spacing w:val="4"/>
                <w:sz w:val="20"/>
                <w:szCs w:val="20"/>
                <w:highlight w:val="none"/>
              </w:rPr>
              <w:t>名</w:t>
            </w:r>
          </w:p>
        </w:tc>
        <w:tc>
          <w:tcPr>
            <w:tcW w:w="2557"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910" w:type="dxa"/>
            <w:vAlign w:val="top"/>
          </w:tcPr>
          <w:p>
            <w:pPr>
              <w:keepNext w:val="0"/>
              <w:keepLines w:val="0"/>
              <w:pageBreakBefore w:val="0"/>
              <w:kinsoku/>
              <w:wordWrap w:val="0"/>
              <w:overflowPunct w:val="0"/>
              <w:topLinePunct/>
              <w:autoSpaceDE w:val="0"/>
              <w:autoSpaceDN w:val="0"/>
              <w:bidi w:val="0"/>
              <w:spacing w:before="32" w:line="229" w:lineRule="auto"/>
              <w:ind w:left="75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性</w:t>
            </w:r>
            <w:r>
              <w:rPr>
                <w:rFonts w:hint="eastAsia" w:ascii="宋体" w:hAnsi="宋体" w:eastAsia="宋体" w:cs="宋体"/>
                <w:color w:val="auto"/>
                <w:spacing w:val="4"/>
                <w:sz w:val="20"/>
                <w:szCs w:val="20"/>
                <w:highlight w:val="none"/>
              </w:rPr>
              <w:t>别</w:t>
            </w:r>
          </w:p>
        </w:tc>
        <w:tc>
          <w:tcPr>
            <w:tcW w:w="3227"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3" w:type="dxa"/>
            <w:vAlign w:val="top"/>
          </w:tcPr>
          <w:p>
            <w:pPr>
              <w:keepNext w:val="0"/>
              <w:keepLines w:val="0"/>
              <w:pageBreakBefore w:val="0"/>
              <w:kinsoku/>
              <w:wordWrap w:val="0"/>
              <w:overflowPunct w:val="0"/>
              <w:topLinePunct/>
              <w:autoSpaceDE w:val="0"/>
              <w:autoSpaceDN w:val="0"/>
              <w:bidi w:val="0"/>
              <w:spacing w:before="32" w:line="228" w:lineRule="auto"/>
              <w:ind w:left="382"/>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年龄</w:t>
            </w:r>
          </w:p>
        </w:tc>
        <w:tc>
          <w:tcPr>
            <w:tcW w:w="2557"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910" w:type="dxa"/>
            <w:vAlign w:val="top"/>
          </w:tcPr>
          <w:p>
            <w:pPr>
              <w:keepNext w:val="0"/>
              <w:keepLines w:val="0"/>
              <w:pageBreakBefore w:val="0"/>
              <w:kinsoku/>
              <w:wordWrap w:val="0"/>
              <w:overflowPunct w:val="0"/>
              <w:topLinePunct/>
              <w:autoSpaceDE w:val="0"/>
              <w:autoSpaceDN w:val="0"/>
              <w:bidi w:val="0"/>
              <w:spacing w:before="32" w:line="229" w:lineRule="auto"/>
              <w:ind w:left="751"/>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专业</w:t>
            </w:r>
          </w:p>
        </w:tc>
        <w:tc>
          <w:tcPr>
            <w:tcW w:w="3227"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73" w:type="dxa"/>
            <w:vAlign w:val="top"/>
          </w:tcPr>
          <w:p>
            <w:pPr>
              <w:keepNext w:val="0"/>
              <w:keepLines w:val="0"/>
              <w:pageBreakBefore w:val="0"/>
              <w:kinsoku/>
              <w:wordWrap w:val="0"/>
              <w:overflowPunct w:val="0"/>
              <w:topLinePunct/>
              <w:autoSpaceDE w:val="0"/>
              <w:autoSpaceDN w:val="0"/>
              <w:bidi w:val="0"/>
              <w:spacing w:before="34" w:line="230" w:lineRule="auto"/>
              <w:ind w:left="385"/>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学</w:t>
            </w:r>
            <w:r>
              <w:rPr>
                <w:rFonts w:hint="eastAsia" w:ascii="宋体" w:hAnsi="宋体" w:eastAsia="宋体" w:cs="宋体"/>
                <w:color w:val="auto"/>
                <w:spacing w:val="2"/>
                <w:sz w:val="20"/>
                <w:szCs w:val="20"/>
                <w:highlight w:val="none"/>
              </w:rPr>
              <w:t>历</w:t>
            </w:r>
          </w:p>
        </w:tc>
        <w:tc>
          <w:tcPr>
            <w:tcW w:w="2557"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910" w:type="dxa"/>
            <w:vAlign w:val="top"/>
          </w:tcPr>
          <w:p>
            <w:pPr>
              <w:keepNext w:val="0"/>
              <w:keepLines w:val="0"/>
              <w:pageBreakBefore w:val="0"/>
              <w:kinsoku/>
              <w:wordWrap w:val="0"/>
              <w:overflowPunct w:val="0"/>
              <w:topLinePunct/>
              <w:autoSpaceDE w:val="0"/>
              <w:autoSpaceDN w:val="0"/>
              <w:bidi w:val="0"/>
              <w:spacing w:before="34" w:line="231" w:lineRule="auto"/>
              <w:ind w:left="751"/>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职称</w:t>
            </w:r>
          </w:p>
        </w:tc>
        <w:tc>
          <w:tcPr>
            <w:tcW w:w="3227"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73" w:type="dxa"/>
            <w:vAlign w:val="top"/>
          </w:tcPr>
          <w:p>
            <w:pPr>
              <w:keepNext w:val="0"/>
              <w:keepLines w:val="0"/>
              <w:pageBreakBefore w:val="0"/>
              <w:kinsoku/>
              <w:wordWrap w:val="0"/>
              <w:overflowPunct w:val="0"/>
              <w:topLinePunct/>
              <w:autoSpaceDE w:val="0"/>
              <w:autoSpaceDN w:val="0"/>
              <w:bidi w:val="0"/>
              <w:spacing w:before="33" w:line="228" w:lineRule="auto"/>
              <w:ind w:left="382"/>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职务</w:t>
            </w:r>
          </w:p>
        </w:tc>
        <w:tc>
          <w:tcPr>
            <w:tcW w:w="2557"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c>
          <w:tcPr>
            <w:tcW w:w="1910" w:type="dxa"/>
            <w:vAlign w:val="top"/>
          </w:tcPr>
          <w:p>
            <w:pPr>
              <w:keepNext w:val="0"/>
              <w:keepLines w:val="0"/>
              <w:pageBreakBefore w:val="0"/>
              <w:kinsoku/>
              <w:wordWrap w:val="0"/>
              <w:overflowPunct w:val="0"/>
              <w:topLinePunct/>
              <w:autoSpaceDE w:val="0"/>
              <w:autoSpaceDN w:val="0"/>
              <w:bidi w:val="0"/>
              <w:spacing w:before="33" w:line="229" w:lineRule="auto"/>
              <w:ind w:left="332"/>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参加工作时</w:t>
            </w:r>
            <w:r>
              <w:rPr>
                <w:rFonts w:hint="eastAsia" w:ascii="宋体" w:hAnsi="宋体" w:eastAsia="宋体" w:cs="宋体"/>
                <w:color w:val="auto"/>
                <w:spacing w:val="7"/>
                <w:sz w:val="20"/>
                <w:szCs w:val="20"/>
                <w:highlight w:val="none"/>
              </w:rPr>
              <w:t>间</w:t>
            </w:r>
          </w:p>
        </w:tc>
        <w:tc>
          <w:tcPr>
            <w:tcW w:w="3227" w:type="dxa"/>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730" w:type="dxa"/>
            <w:gridSpan w:val="2"/>
            <w:vAlign w:val="top"/>
          </w:tcPr>
          <w:p>
            <w:pPr>
              <w:keepNext w:val="0"/>
              <w:keepLines w:val="0"/>
              <w:pageBreakBefore w:val="0"/>
              <w:kinsoku/>
              <w:wordWrap w:val="0"/>
              <w:overflowPunct w:val="0"/>
              <w:topLinePunct/>
              <w:autoSpaceDE w:val="0"/>
              <w:autoSpaceDN w:val="0"/>
              <w:bidi w:val="0"/>
              <w:spacing w:before="35" w:line="228" w:lineRule="auto"/>
              <w:ind w:left="1034"/>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从</w:t>
            </w:r>
            <w:r>
              <w:rPr>
                <w:rFonts w:hint="eastAsia" w:ascii="宋体" w:hAnsi="宋体" w:eastAsia="宋体" w:cs="宋体"/>
                <w:color w:val="auto"/>
                <w:spacing w:val="8"/>
                <w:sz w:val="20"/>
                <w:szCs w:val="20"/>
                <w:highlight w:val="none"/>
              </w:rPr>
              <w:t>事专业工作年限</w:t>
            </w:r>
          </w:p>
        </w:tc>
        <w:tc>
          <w:tcPr>
            <w:tcW w:w="5137" w:type="dxa"/>
            <w:gridSpan w:val="2"/>
            <w:vAlign w:val="top"/>
          </w:tcPr>
          <w:p>
            <w:pPr>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7" w:hRule="atLeast"/>
        </w:trPr>
        <w:tc>
          <w:tcPr>
            <w:tcW w:w="8867" w:type="dxa"/>
            <w:gridSpan w:val="4"/>
            <w:vAlign w:val="top"/>
          </w:tcPr>
          <w:p>
            <w:pPr>
              <w:keepNext w:val="0"/>
              <w:keepLines w:val="0"/>
              <w:pageBreakBefore w:val="0"/>
              <w:kinsoku/>
              <w:wordWrap w:val="0"/>
              <w:overflowPunct w:val="0"/>
              <w:topLinePunct/>
              <w:autoSpaceDE w:val="0"/>
              <w:autoSpaceDN w:val="0"/>
              <w:bidi w:val="0"/>
              <w:spacing w:before="34" w:line="229" w:lineRule="auto"/>
              <w:ind w:left="402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工</w:t>
            </w:r>
            <w:r>
              <w:rPr>
                <w:rFonts w:hint="eastAsia" w:ascii="宋体" w:hAnsi="宋体" w:eastAsia="宋体" w:cs="宋体"/>
                <w:color w:val="auto"/>
                <w:spacing w:val="6"/>
                <w:sz w:val="20"/>
                <w:szCs w:val="20"/>
                <w:highlight w:val="none"/>
              </w:rPr>
              <w:t>作业绩</w:t>
            </w:r>
          </w:p>
        </w:tc>
      </w:tr>
    </w:tbl>
    <w:p>
      <w:pPr>
        <w:keepNext w:val="0"/>
        <w:keepLines w:val="0"/>
        <w:pageBreakBefore w:val="0"/>
        <w:kinsoku/>
        <w:wordWrap w:val="0"/>
        <w:overflowPunct w:val="0"/>
        <w:topLinePunct/>
        <w:autoSpaceDE w:val="0"/>
        <w:autoSpaceDN w:val="0"/>
        <w:bidi w:val="0"/>
        <w:spacing w:before="68" w:line="224" w:lineRule="auto"/>
        <w:ind w:left="4855"/>
        <w:rPr>
          <w:rFonts w:hint="eastAsia" w:ascii="宋体" w:hAnsi="宋体" w:eastAsia="宋体" w:cs="宋体"/>
          <w:color w:val="auto"/>
          <w:spacing w:val="16"/>
          <w:sz w:val="21"/>
          <w:szCs w:val="21"/>
          <w:highlight w:val="none"/>
        </w:rPr>
      </w:pPr>
    </w:p>
    <w:p>
      <w:pPr>
        <w:keepNext w:val="0"/>
        <w:keepLines w:val="0"/>
        <w:pageBreakBefore w:val="0"/>
        <w:kinsoku/>
        <w:wordWrap w:val="0"/>
        <w:overflowPunct w:val="0"/>
        <w:topLinePunct/>
        <w:autoSpaceDE w:val="0"/>
        <w:autoSpaceDN w:val="0"/>
        <w:bidi w:val="0"/>
        <w:spacing w:before="68" w:line="224" w:lineRule="auto"/>
        <w:ind w:left="4855"/>
        <w:rPr>
          <w:rFonts w:hint="eastAsia" w:ascii="宋体" w:hAnsi="宋体" w:eastAsia="宋体" w:cs="宋体"/>
          <w:color w:val="auto"/>
          <w:sz w:val="21"/>
          <w:highlight w:val="none"/>
        </w:rPr>
      </w:pPr>
      <w:r>
        <w:rPr>
          <w:rFonts w:hint="eastAsia" w:ascii="宋体" w:hAnsi="宋体" w:eastAsia="宋体" w:cs="宋体"/>
          <w:color w:val="auto"/>
          <w:spacing w:val="16"/>
          <w:sz w:val="21"/>
          <w:szCs w:val="21"/>
          <w:highlight w:val="none"/>
        </w:rPr>
        <w:t>投标人(单位电子签章)：</w:t>
      </w:r>
    </w:p>
    <w:p>
      <w:pPr>
        <w:keepNext w:val="0"/>
        <w:keepLines w:val="0"/>
        <w:pageBreakBefore w:val="0"/>
        <w:kinsoku/>
        <w:wordWrap w:val="0"/>
        <w:overflowPunct w:val="0"/>
        <w:topLinePunct/>
        <w:autoSpaceDE w:val="0"/>
        <w:autoSpaceDN w:val="0"/>
        <w:bidi w:val="0"/>
        <w:spacing w:line="25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9" w:line="225" w:lineRule="auto"/>
        <w:ind w:right="370"/>
        <w:jc w:val="righ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法定代表人或其委托代理人 (签字或电子签名</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w:t>
      </w:r>
    </w:p>
    <w:p>
      <w:pPr>
        <w:keepNext w:val="0"/>
        <w:keepLines w:val="0"/>
        <w:pageBreakBefore w:val="0"/>
        <w:kinsoku/>
        <w:wordWrap w:val="0"/>
        <w:overflowPunct w:val="0"/>
        <w:topLinePunct/>
        <w:autoSpaceDE w:val="0"/>
        <w:autoSpaceDN w:val="0"/>
        <w:bidi w:val="0"/>
        <w:spacing w:line="256"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56"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8" w:line="225" w:lineRule="auto"/>
        <w:ind w:left="714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 xml:space="preserve">年      月      </w:t>
      </w:r>
      <w:r>
        <w:rPr>
          <w:rFonts w:hint="eastAsia" w:ascii="宋体" w:hAnsi="宋体" w:eastAsia="宋体" w:cs="宋体"/>
          <w:color w:val="auto"/>
          <w:spacing w:val="1"/>
          <w:sz w:val="21"/>
          <w:szCs w:val="21"/>
          <w:highlight w:val="none"/>
        </w:rPr>
        <w:t>日</w:t>
      </w:r>
    </w:p>
    <w:p>
      <w:pPr>
        <w:keepNext w:val="0"/>
        <w:keepLines w:val="0"/>
        <w:pageBreakBefore w:val="0"/>
        <w:kinsoku/>
        <w:wordWrap w:val="0"/>
        <w:overflowPunct w:val="0"/>
        <w:topLinePunct/>
        <w:autoSpaceDE w:val="0"/>
        <w:autoSpaceDN w:val="0"/>
        <w:bidi w:val="0"/>
        <w:spacing w:before="68" w:line="225" w:lineRule="auto"/>
        <w:ind w:left="7145"/>
        <w:rPr>
          <w:rFonts w:hint="eastAsia" w:ascii="宋体" w:hAnsi="宋体" w:eastAsia="宋体" w:cs="宋体"/>
          <w:color w:val="auto"/>
          <w:sz w:val="21"/>
          <w:szCs w:val="21"/>
          <w:highlight w:val="none"/>
        </w:rPr>
      </w:pPr>
      <w:r>
        <w:rPr>
          <w:rFonts w:hint="eastAsia" w:ascii="宋体" w:hAnsi="宋体" w:eastAsia="宋体" w:cs="宋体"/>
          <w:color w:val="auto"/>
          <w:spacing w:val="-11"/>
          <w:sz w:val="30"/>
          <w:szCs w:val="30"/>
          <w:highlight w:val="none"/>
          <w14:textOutline w14:w="5495" w14:cap="flat" w14:cmpd="sng">
            <w14:solidFill>
              <w14:srgbClr w14:val="000000"/>
            </w14:solidFill>
            <w14:prstDash w14:val="solid"/>
            <w14:miter w14:val="0"/>
          </w14:textOutline>
        </w:rPr>
        <w:br w:type="page"/>
      </w: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四、</w:t>
      </w:r>
      <w:bookmarkEnd w:id="103"/>
      <w:r>
        <w:rPr>
          <w:rFonts w:hint="eastAsia" w:ascii="宋体" w:hAnsi="宋体" w:eastAsia="宋体" w:cs="宋体"/>
          <w:b/>
          <w:bCs/>
          <w:color w:val="auto"/>
          <w:sz w:val="30"/>
          <w:szCs w:val="30"/>
          <w:highlight w:val="none"/>
          <w:lang w:val="en-US" w:eastAsia="zh-CN"/>
        </w:rPr>
        <w:t>服务方案</w:t>
      </w:r>
    </w:p>
    <w:p>
      <w:pPr>
        <w:keepNext w:val="0"/>
        <w:keepLines w:val="0"/>
        <w:pageBreakBefore w:val="0"/>
        <w:kinsoku/>
        <w:wordWrap w:val="0"/>
        <w:overflowPunct w:val="0"/>
        <w:topLinePunct/>
        <w:autoSpaceDE w:val="0"/>
        <w:autoSpaceDN w:val="0"/>
        <w:bidi w:val="0"/>
        <w:spacing w:line="291" w:lineRule="auto"/>
        <w:rPr>
          <w:rFonts w:hint="eastAsia" w:ascii="宋体" w:hAnsi="宋体" w:eastAsia="宋体" w:cs="宋体"/>
          <w:color w:val="auto"/>
          <w:sz w:val="21"/>
          <w:highlight w:val="none"/>
        </w:rPr>
      </w:pPr>
    </w:p>
    <w:p>
      <w:pPr>
        <w:pStyle w:val="13"/>
        <w:keepNext w:val="0"/>
        <w:keepLines w:val="0"/>
        <w:pageBreakBefore w:val="0"/>
        <w:kinsoku/>
        <w:wordWrap w:val="0"/>
        <w:overflowPunct w:val="0"/>
        <w:topLinePunct/>
        <w:autoSpaceDE w:val="0"/>
        <w:autoSpaceDN w:val="0"/>
        <w:bidi w:val="0"/>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91" w:line="221" w:lineRule="auto"/>
        <w:ind w:left="587"/>
        <w:rPr>
          <w:rFonts w:hint="eastAsia" w:ascii="宋体" w:hAnsi="宋体" w:eastAsia="宋体" w:cs="宋体"/>
          <w:color w:val="auto"/>
          <w:spacing w:val="12"/>
          <w:sz w:val="28"/>
          <w:szCs w:val="28"/>
          <w:highlight w:val="none"/>
        </w:rPr>
      </w:pPr>
    </w:p>
    <w:p>
      <w:pPr>
        <w:keepNext w:val="0"/>
        <w:keepLines w:val="0"/>
        <w:pageBreakBefore w:val="0"/>
        <w:kinsoku/>
        <w:wordWrap w:val="0"/>
        <w:overflowPunct w:val="0"/>
        <w:topLinePunct/>
        <w:autoSpaceDE w:val="0"/>
        <w:autoSpaceDN w:val="0"/>
        <w:bidi w:val="0"/>
        <w:spacing w:before="91" w:line="221" w:lineRule="auto"/>
        <w:ind w:left="587"/>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备</w:t>
      </w:r>
      <w:r>
        <w:rPr>
          <w:rFonts w:hint="eastAsia" w:ascii="宋体" w:hAnsi="宋体" w:eastAsia="宋体" w:cs="宋体"/>
          <w:color w:val="auto"/>
          <w:spacing w:val="11"/>
          <w:sz w:val="28"/>
          <w:szCs w:val="28"/>
          <w:highlight w:val="none"/>
        </w:rPr>
        <w:t>注</w:t>
      </w:r>
      <w:r>
        <w:rPr>
          <w:rFonts w:hint="eastAsia" w:ascii="宋体" w:hAnsi="宋体" w:eastAsia="宋体" w:cs="宋体"/>
          <w:color w:val="auto"/>
          <w:spacing w:val="6"/>
          <w:sz w:val="28"/>
          <w:szCs w:val="28"/>
          <w:highlight w:val="none"/>
        </w:rPr>
        <w:t>：供应商应当仔细核对招标文件中有关条款和评标标</w:t>
      </w:r>
      <w:r>
        <w:rPr>
          <w:rFonts w:hint="eastAsia" w:ascii="宋体" w:hAnsi="宋体" w:eastAsia="宋体" w:cs="宋体"/>
          <w:color w:val="auto"/>
          <w:spacing w:val="-6"/>
          <w:sz w:val="28"/>
          <w:szCs w:val="28"/>
          <w:highlight w:val="none"/>
        </w:rPr>
        <w:t>准，提供供</w:t>
      </w:r>
      <w:r>
        <w:rPr>
          <w:rFonts w:hint="eastAsia" w:ascii="宋体" w:hAnsi="宋体" w:eastAsia="宋体" w:cs="宋体"/>
          <w:color w:val="auto"/>
          <w:spacing w:val="-5"/>
          <w:sz w:val="28"/>
          <w:szCs w:val="28"/>
          <w:highlight w:val="none"/>
        </w:rPr>
        <w:t>应</w:t>
      </w:r>
      <w:r>
        <w:rPr>
          <w:rFonts w:hint="eastAsia" w:ascii="宋体" w:hAnsi="宋体" w:eastAsia="宋体" w:cs="宋体"/>
          <w:color w:val="auto"/>
          <w:spacing w:val="-3"/>
          <w:sz w:val="28"/>
          <w:szCs w:val="28"/>
          <w:highlight w:val="none"/>
        </w:rPr>
        <w:t>商认为应当附加的其它内容，以充分证明其投标符合招</w:t>
      </w:r>
      <w:r>
        <w:rPr>
          <w:rFonts w:hint="eastAsia" w:ascii="宋体" w:hAnsi="宋体" w:eastAsia="宋体" w:cs="宋体"/>
          <w:color w:val="auto"/>
          <w:spacing w:val="-6"/>
          <w:sz w:val="28"/>
          <w:szCs w:val="28"/>
          <w:highlight w:val="none"/>
        </w:rPr>
        <w:t>标文件规定</w:t>
      </w:r>
      <w:r>
        <w:rPr>
          <w:rFonts w:hint="eastAsia" w:ascii="宋体" w:hAnsi="宋体" w:eastAsia="宋体" w:cs="宋体"/>
          <w:color w:val="auto"/>
          <w:spacing w:val="-3"/>
          <w:sz w:val="28"/>
          <w:szCs w:val="28"/>
          <w:highlight w:val="none"/>
        </w:rPr>
        <w:t>，并为评标打分提供充分依据。如果供应商未能提供相关</w:t>
      </w:r>
      <w:r>
        <w:rPr>
          <w:rFonts w:hint="eastAsia" w:ascii="宋体" w:hAnsi="宋体" w:eastAsia="宋体" w:cs="宋体"/>
          <w:color w:val="auto"/>
          <w:spacing w:val="-1"/>
          <w:sz w:val="28"/>
          <w:szCs w:val="28"/>
          <w:highlight w:val="none"/>
        </w:rPr>
        <w:t>证明文件，将有可能导致</w:t>
      </w:r>
      <w:r>
        <w:rPr>
          <w:rFonts w:hint="eastAsia" w:ascii="宋体" w:hAnsi="宋体" w:eastAsia="宋体" w:cs="宋体"/>
          <w:color w:val="auto"/>
          <w:sz w:val="28"/>
          <w:szCs w:val="28"/>
          <w:highlight w:val="none"/>
        </w:rPr>
        <w:t>无法得分。</w:t>
      </w:r>
    </w:p>
    <w:p>
      <w:pPr>
        <w:keepNext w:val="0"/>
        <w:keepLines w:val="0"/>
        <w:pageBreakBefore w:val="0"/>
        <w:kinsoku/>
        <w:wordWrap w:val="0"/>
        <w:overflowPunct w:val="0"/>
        <w:topLinePunct/>
        <w:autoSpaceDE w:val="0"/>
        <w:autoSpaceDN w:val="0"/>
        <w:bidi w:val="0"/>
        <w:spacing w:line="241"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1"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1"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9" w:line="224" w:lineRule="auto"/>
        <w:ind w:left="4610"/>
        <w:jc w:val="righ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投标人名称：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lang w:val="en-US" w:eastAsia="zh-CN"/>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(单位电子签章)</w:t>
      </w:r>
    </w:p>
    <w:p>
      <w:pPr>
        <w:keepNext w:val="0"/>
        <w:keepLines w:val="0"/>
        <w:pageBreakBefore w:val="0"/>
        <w:kinsoku/>
        <w:wordWrap w:val="0"/>
        <w:overflowPunct w:val="0"/>
        <w:topLinePunct/>
        <w:autoSpaceDE w:val="0"/>
        <w:autoSpaceDN w:val="0"/>
        <w:bidi w:val="0"/>
        <w:spacing w:before="293" w:line="472" w:lineRule="auto"/>
        <w:ind w:right="43" w:firstLine="3270" w:firstLineChars="1500"/>
        <w:jc w:val="righ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法定代表人或其</w:t>
      </w:r>
      <w:r>
        <w:rPr>
          <w:rFonts w:hint="eastAsia" w:ascii="宋体" w:hAnsi="宋体" w:eastAsia="宋体" w:cs="宋体"/>
          <w:color w:val="auto"/>
          <w:spacing w:val="2"/>
          <w:sz w:val="21"/>
          <w:szCs w:val="21"/>
          <w:highlight w:val="none"/>
        </w:rPr>
        <w:t>委托代理人 (签字或电子签名) ：</w:t>
      </w:r>
      <w:r>
        <w:rPr>
          <w:rFonts w:hint="eastAsia" w:ascii="宋体" w:hAnsi="宋体" w:eastAsia="宋体" w:cs="宋体"/>
          <w:color w:val="auto"/>
          <w:sz w:val="21"/>
          <w:szCs w:val="21"/>
          <w:highlight w:val="none"/>
        </w:rPr>
        <w:t xml:space="preserve"> </w:t>
      </w:r>
    </w:p>
    <w:p>
      <w:pPr>
        <w:keepNext w:val="0"/>
        <w:keepLines w:val="0"/>
        <w:pageBreakBefore w:val="0"/>
        <w:kinsoku/>
        <w:wordWrap w:val="0"/>
        <w:overflowPunct w:val="0"/>
        <w:topLinePunct/>
        <w:autoSpaceDE w:val="0"/>
        <w:autoSpaceDN w:val="0"/>
        <w:bidi w:val="0"/>
        <w:spacing w:before="293" w:line="472" w:lineRule="auto"/>
        <w:ind w:right="43" w:firstLine="5936" w:firstLineChars="280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年    </w:t>
      </w:r>
      <w:r>
        <w:rPr>
          <w:rFonts w:hint="eastAsia" w:ascii="宋体" w:hAnsi="宋体" w:eastAsia="宋体" w:cs="宋体"/>
          <w:color w:val="auto"/>
          <w:sz w:val="21"/>
          <w:szCs w:val="21"/>
          <w:highlight w:val="none"/>
        </w:rPr>
        <w:t>月    日</w:t>
      </w:r>
    </w:p>
    <w:p>
      <w:pPr>
        <w:keepNext w:val="0"/>
        <w:keepLines w:val="0"/>
        <w:pageBreakBefore w:val="0"/>
        <w:kinsoku/>
        <w:wordWrap w:val="0"/>
        <w:overflowPunct w:val="0"/>
        <w:topLinePunct/>
        <w:autoSpaceDE w:val="0"/>
        <w:autoSpaceDN w:val="0"/>
        <w:bidi w:val="0"/>
        <w:spacing w:line="32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329"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rPr>
          <w:rFonts w:hint="eastAsia" w:ascii="宋体" w:hAnsi="宋体" w:eastAsia="宋体" w:cs="宋体"/>
          <w:color w:val="auto"/>
          <w:spacing w:val="15"/>
          <w:position w:val="16"/>
          <w:sz w:val="30"/>
          <w:szCs w:val="30"/>
          <w:highlight w:val="none"/>
          <w14:textOutline w14:w="5495" w14:cap="flat" w14:cmpd="sng">
            <w14:solidFill>
              <w14:srgbClr w14:val="000000"/>
            </w14:solidFill>
            <w14:prstDash w14:val="solid"/>
            <w14:miter w14:val="0"/>
          </w14:textOutline>
        </w:rPr>
      </w:pPr>
      <w:r>
        <w:rPr>
          <w:rFonts w:hint="eastAsia" w:ascii="宋体" w:hAnsi="宋体" w:eastAsia="宋体" w:cs="宋体"/>
          <w:color w:val="auto"/>
          <w:spacing w:val="15"/>
          <w:position w:val="16"/>
          <w:sz w:val="30"/>
          <w:szCs w:val="30"/>
          <w:highlight w:val="none"/>
          <w14:textOutline w14:w="5495" w14:cap="flat" w14:cmpd="sng">
            <w14:solidFill>
              <w14:srgbClr w14:val="000000"/>
            </w14:solidFill>
            <w14:prstDash w14:val="solid"/>
            <w14:miter w14:val="0"/>
          </w14:textOutline>
        </w:rPr>
        <w:br w:type="page"/>
      </w:r>
    </w:p>
    <w:p>
      <w:pPr>
        <w:keepNext w:val="0"/>
        <w:keepLines w:val="0"/>
        <w:pageBreakBefore w:val="0"/>
        <w:numPr>
          <w:ilvl w:val="0"/>
          <w:numId w:val="2"/>
        </w:numPr>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bookmarkStart w:id="104" w:name="_Toc25685"/>
      <w:r>
        <w:rPr>
          <w:rFonts w:hint="eastAsia" w:ascii="宋体" w:hAnsi="宋体" w:eastAsia="宋体" w:cs="宋体"/>
          <w:b/>
          <w:bCs/>
          <w:color w:val="auto"/>
          <w:sz w:val="30"/>
          <w:szCs w:val="30"/>
          <w:highlight w:val="none"/>
          <w:lang w:val="en-US" w:eastAsia="zh-CN"/>
        </w:rPr>
        <w:t>供应商认为需要提供的其他材料</w:t>
      </w:r>
      <w:bookmarkEnd w:id="104"/>
    </w:p>
    <w:p>
      <w:pPr>
        <w:pStyle w:val="13"/>
        <w:numPr>
          <w:ilvl w:val="0"/>
          <w:numId w:val="0"/>
        </w:numPr>
        <w:rPr>
          <w:rFonts w:hint="eastAsia"/>
          <w:color w:val="auto"/>
          <w:highlight w:val="none"/>
          <w:lang w:val="en-US" w:eastAsia="zh-CN"/>
        </w:rPr>
      </w:pPr>
    </w:p>
    <w:p>
      <w:pPr>
        <w:keepNext w:val="0"/>
        <w:keepLines w:val="0"/>
        <w:pageBreakBefore w:val="0"/>
        <w:numPr>
          <w:ilvl w:val="0"/>
          <w:numId w:val="3"/>
        </w:numPr>
        <w:kinsoku/>
        <w:wordWrap w:val="0"/>
        <w:overflowPunct w:val="0"/>
        <w:topLinePunct/>
        <w:autoSpaceDE w:val="0"/>
        <w:autoSpaceDN w:val="0"/>
        <w:bidi w:val="0"/>
        <w:spacing w:line="292"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综合标中要求的相关资料</w:t>
      </w:r>
    </w:p>
    <w:p>
      <w:pPr>
        <w:keepNext w:val="0"/>
        <w:keepLines w:val="0"/>
        <w:pageBreakBefore w:val="0"/>
        <w:numPr>
          <w:ilvl w:val="0"/>
          <w:numId w:val="3"/>
        </w:numPr>
        <w:kinsoku/>
        <w:wordWrap w:val="0"/>
        <w:overflowPunct w:val="0"/>
        <w:topLinePunct/>
        <w:autoSpaceDE w:val="0"/>
        <w:autoSpaceDN w:val="0"/>
        <w:bidi w:val="0"/>
        <w:spacing w:line="292"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供应商认为需要提供的其他材料</w:t>
      </w:r>
    </w:p>
    <w:p>
      <w:pPr>
        <w:rPr>
          <w:rFonts w:hint="default"/>
          <w:color w:val="auto"/>
          <w:highlight w:val="none"/>
          <w:lang w:val="en-US" w:eastAsia="zh-CN"/>
        </w:rPr>
      </w:pPr>
    </w:p>
    <w:p>
      <w:pPr>
        <w:keepNext w:val="0"/>
        <w:keepLines w:val="0"/>
        <w:pageBreakBefore w:val="0"/>
        <w:kinsoku/>
        <w:wordWrap w:val="0"/>
        <w:overflowPunct w:val="0"/>
        <w:topLinePunct/>
        <w:autoSpaceDE w:val="0"/>
        <w:autoSpaceDN w:val="0"/>
        <w:bidi w:val="0"/>
        <w:spacing w:line="293"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93"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91" w:line="221" w:lineRule="auto"/>
        <w:ind w:left="587"/>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备</w:t>
      </w:r>
      <w:r>
        <w:rPr>
          <w:rFonts w:hint="eastAsia" w:ascii="宋体" w:hAnsi="宋体" w:eastAsia="宋体" w:cs="宋体"/>
          <w:color w:val="auto"/>
          <w:spacing w:val="11"/>
          <w:sz w:val="28"/>
          <w:szCs w:val="28"/>
          <w:highlight w:val="none"/>
        </w:rPr>
        <w:t>注</w:t>
      </w:r>
      <w:r>
        <w:rPr>
          <w:rFonts w:hint="eastAsia" w:ascii="宋体" w:hAnsi="宋体" w:eastAsia="宋体" w:cs="宋体"/>
          <w:color w:val="auto"/>
          <w:spacing w:val="6"/>
          <w:sz w:val="28"/>
          <w:szCs w:val="28"/>
          <w:highlight w:val="none"/>
        </w:rPr>
        <w:t>：供应商应当仔细核对招标文件中有关条款和评标标</w:t>
      </w:r>
      <w:r>
        <w:rPr>
          <w:rFonts w:hint="eastAsia" w:ascii="宋体" w:hAnsi="宋体" w:eastAsia="宋体" w:cs="宋体"/>
          <w:color w:val="auto"/>
          <w:spacing w:val="-6"/>
          <w:sz w:val="28"/>
          <w:szCs w:val="28"/>
          <w:highlight w:val="none"/>
        </w:rPr>
        <w:t>准，提供供</w:t>
      </w:r>
      <w:r>
        <w:rPr>
          <w:rFonts w:hint="eastAsia" w:ascii="宋体" w:hAnsi="宋体" w:eastAsia="宋体" w:cs="宋体"/>
          <w:color w:val="auto"/>
          <w:spacing w:val="-5"/>
          <w:sz w:val="28"/>
          <w:szCs w:val="28"/>
          <w:highlight w:val="none"/>
        </w:rPr>
        <w:t>应</w:t>
      </w:r>
      <w:r>
        <w:rPr>
          <w:rFonts w:hint="eastAsia" w:ascii="宋体" w:hAnsi="宋体" w:eastAsia="宋体" w:cs="宋体"/>
          <w:color w:val="auto"/>
          <w:spacing w:val="-3"/>
          <w:sz w:val="28"/>
          <w:szCs w:val="28"/>
          <w:highlight w:val="none"/>
        </w:rPr>
        <w:t>商认为应当附加的其它内容，以充分证明其投标符合招</w:t>
      </w:r>
      <w:r>
        <w:rPr>
          <w:rFonts w:hint="eastAsia" w:ascii="宋体" w:hAnsi="宋体" w:eastAsia="宋体" w:cs="宋体"/>
          <w:color w:val="auto"/>
          <w:spacing w:val="-6"/>
          <w:sz w:val="28"/>
          <w:szCs w:val="28"/>
          <w:highlight w:val="none"/>
        </w:rPr>
        <w:t>标文件规定</w:t>
      </w:r>
      <w:r>
        <w:rPr>
          <w:rFonts w:hint="eastAsia" w:ascii="宋体" w:hAnsi="宋体" w:eastAsia="宋体" w:cs="宋体"/>
          <w:color w:val="auto"/>
          <w:spacing w:val="-3"/>
          <w:sz w:val="28"/>
          <w:szCs w:val="28"/>
          <w:highlight w:val="none"/>
        </w:rPr>
        <w:t>，并为评标打分提供充分依据。如果供应商未能提供相关</w:t>
      </w:r>
      <w:r>
        <w:rPr>
          <w:rFonts w:hint="eastAsia" w:ascii="宋体" w:hAnsi="宋体" w:eastAsia="宋体" w:cs="宋体"/>
          <w:color w:val="auto"/>
          <w:spacing w:val="-1"/>
          <w:sz w:val="28"/>
          <w:szCs w:val="28"/>
          <w:highlight w:val="none"/>
        </w:rPr>
        <w:t>证明文件，将有可能导致</w:t>
      </w:r>
      <w:r>
        <w:rPr>
          <w:rFonts w:hint="eastAsia" w:ascii="宋体" w:hAnsi="宋体" w:eastAsia="宋体" w:cs="宋体"/>
          <w:color w:val="auto"/>
          <w:sz w:val="28"/>
          <w:szCs w:val="28"/>
          <w:highlight w:val="none"/>
        </w:rPr>
        <w:t>无法得分。</w:t>
      </w:r>
    </w:p>
    <w:p>
      <w:pPr>
        <w:pStyle w:val="13"/>
        <w:keepNext w:val="0"/>
        <w:keepLines w:val="0"/>
        <w:pageBreakBefore w:val="0"/>
        <w:kinsoku/>
        <w:wordWrap w:val="0"/>
        <w:overflowPunct w:val="0"/>
        <w:topLinePunct/>
        <w:autoSpaceDE w:val="0"/>
        <w:autoSpaceDN w:val="0"/>
        <w:bidi w:val="0"/>
        <w:rPr>
          <w:rFonts w:hint="eastAsia" w:ascii="宋体" w:hAnsi="宋体" w:eastAsia="宋体" w:cs="宋体"/>
          <w:color w:val="auto"/>
          <w:sz w:val="28"/>
          <w:szCs w:val="28"/>
          <w:highlight w:val="none"/>
        </w:rPr>
      </w:pPr>
    </w:p>
    <w:p>
      <w:pPr>
        <w:keepNext w:val="0"/>
        <w:keepLines w:val="0"/>
        <w:pageBreakBefore w:val="0"/>
        <w:kinsoku/>
        <w:wordWrap w:val="0"/>
        <w:overflowPunct w:val="0"/>
        <w:topLinePunct/>
        <w:autoSpaceDE w:val="0"/>
        <w:autoSpaceDN w:val="0"/>
        <w:bidi w:val="0"/>
        <w:rPr>
          <w:rFonts w:hint="eastAsia" w:ascii="宋体" w:hAnsi="宋体" w:eastAsia="宋体" w:cs="宋体"/>
          <w:color w:val="auto"/>
          <w:sz w:val="28"/>
          <w:szCs w:val="28"/>
          <w:highlight w:val="none"/>
        </w:rPr>
      </w:pPr>
    </w:p>
    <w:p>
      <w:pPr>
        <w:keepNext w:val="0"/>
        <w:keepLines w:val="0"/>
        <w:pageBreakBefore w:val="0"/>
        <w:kinsoku/>
        <w:wordWrap w:val="0"/>
        <w:overflowPunct w:val="0"/>
        <w:topLinePunct/>
        <w:autoSpaceDE w:val="0"/>
        <w:autoSpaceDN w:val="0"/>
        <w:bidi w:val="0"/>
        <w:spacing w:before="69" w:line="224" w:lineRule="auto"/>
        <w:ind w:left="4610"/>
        <w:jc w:val="right"/>
        <w:rPr>
          <w:rFonts w:hint="eastAsia" w:ascii="宋体" w:hAnsi="宋体" w:eastAsia="宋体" w:cs="宋体"/>
          <w:color w:val="auto"/>
          <w:spacing w:val="-2"/>
          <w:sz w:val="21"/>
          <w:szCs w:val="21"/>
          <w:highlight w:val="none"/>
        </w:rPr>
      </w:pPr>
      <w:r>
        <w:rPr>
          <w:rFonts w:hint="eastAsia" w:ascii="宋体" w:hAnsi="宋体" w:eastAsia="宋体" w:cs="宋体"/>
          <w:color w:val="auto"/>
          <w:spacing w:val="-4"/>
          <w:sz w:val="21"/>
          <w:szCs w:val="21"/>
          <w:highlight w:val="none"/>
        </w:rPr>
        <w:t>投标人名称：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lang w:val="en-US" w:eastAsia="zh-CN"/>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(单位电子签章)</w:t>
      </w:r>
    </w:p>
    <w:p>
      <w:pPr>
        <w:pStyle w:val="13"/>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p>
      <w:pPr>
        <w:pStyle w:val="13"/>
        <w:keepNext w:val="0"/>
        <w:keepLines w:val="0"/>
        <w:pageBreakBefore w:val="0"/>
        <w:kinsoku/>
        <w:wordWrap w:val="0"/>
        <w:overflowPunct w:val="0"/>
        <w:topLinePunct/>
        <w:autoSpaceDE w:val="0"/>
        <w:autoSpaceDN w:val="0"/>
        <w:bidi w:val="0"/>
        <w:jc w:val="right"/>
        <w:rPr>
          <w:rFonts w:hint="eastAsia" w:ascii="宋体" w:hAnsi="宋体" w:eastAsia="宋体" w:cs="宋体"/>
          <w:color w:val="auto"/>
          <w:spacing w:val="2"/>
          <w:sz w:val="21"/>
          <w:szCs w:val="21"/>
          <w:highlight w:val="none"/>
        </w:rPr>
      </w:pPr>
      <w:r>
        <w:rPr>
          <w:rFonts w:hint="eastAsia" w:ascii="宋体" w:hAnsi="宋体" w:eastAsia="宋体" w:cs="宋体"/>
          <w:color w:val="auto"/>
          <w:spacing w:val="4"/>
          <w:sz w:val="21"/>
          <w:szCs w:val="21"/>
          <w:highlight w:val="none"/>
        </w:rPr>
        <w:t>法定代表人或其</w:t>
      </w:r>
      <w:r>
        <w:rPr>
          <w:rFonts w:hint="eastAsia" w:ascii="宋体" w:hAnsi="宋体" w:eastAsia="宋体" w:cs="宋体"/>
          <w:color w:val="auto"/>
          <w:spacing w:val="2"/>
          <w:sz w:val="21"/>
          <w:szCs w:val="21"/>
          <w:highlight w:val="none"/>
        </w:rPr>
        <w:t>委托代理人 (签字或电子签名) ：</w:t>
      </w:r>
    </w:p>
    <w:p>
      <w:pPr>
        <w:pStyle w:val="13"/>
        <w:keepNext w:val="0"/>
        <w:keepLines w:val="0"/>
        <w:pageBreakBefore w:val="0"/>
        <w:kinsoku/>
        <w:wordWrap w:val="0"/>
        <w:overflowPunct w:val="0"/>
        <w:topLinePunct/>
        <w:autoSpaceDE w:val="0"/>
        <w:autoSpaceDN w:val="0"/>
        <w:bidi w:val="0"/>
        <w:jc w:val="right"/>
        <w:rPr>
          <w:rFonts w:hint="eastAsia" w:ascii="宋体" w:hAnsi="宋体" w:eastAsia="宋体" w:cs="宋体"/>
          <w:color w:val="auto"/>
          <w:highlight w:val="none"/>
        </w:rPr>
      </w:pPr>
      <w:r>
        <w:rPr>
          <w:rFonts w:hint="eastAsia" w:ascii="宋体" w:hAnsi="宋体" w:eastAsia="宋体" w:cs="宋体"/>
          <w:color w:val="auto"/>
          <w:spacing w:val="1"/>
          <w:sz w:val="21"/>
          <w:szCs w:val="21"/>
          <w:highlight w:val="none"/>
        </w:rPr>
        <w:t xml:space="preserve">年    </w:t>
      </w:r>
      <w:r>
        <w:rPr>
          <w:rFonts w:hint="eastAsia" w:ascii="宋体" w:hAnsi="宋体" w:eastAsia="宋体" w:cs="宋体"/>
          <w:color w:val="auto"/>
          <w:sz w:val="21"/>
          <w:szCs w:val="21"/>
          <w:highlight w:val="none"/>
        </w:rPr>
        <w:t>月    日</w:t>
      </w:r>
    </w:p>
    <w:p>
      <w:pPr>
        <w:keepNext w:val="0"/>
        <w:keepLines w:val="0"/>
        <w:pageBreakBefore w:val="0"/>
        <w:kinsoku/>
        <w:wordWrap w:val="0"/>
        <w:overflowPunct w:val="0"/>
        <w:topLinePunct/>
        <w:autoSpaceDE w:val="0"/>
        <w:autoSpaceDN w:val="0"/>
        <w:bidi w:val="0"/>
        <w:jc w:val="right"/>
        <w:rPr>
          <w:rFonts w:hint="eastAsia" w:ascii="宋体" w:hAnsi="宋体" w:eastAsia="宋体" w:cs="宋体"/>
          <w:color w:val="auto"/>
          <w:highlight w:val="none"/>
        </w:rPr>
        <w:sectPr>
          <w:footerReference r:id="rId19" w:type="default"/>
          <w:pgSz w:w="11909" w:h="16834"/>
          <w:pgMar w:top="1440" w:right="1080" w:bottom="1440" w:left="1080" w:header="0" w:footer="1806" w:gutter="0"/>
          <w:pgNumType w:fmt="decimal"/>
          <w:cols w:space="720" w:num="1"/>
        </w:sect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bookmarkStart w:id="105" w:name="_Toc30704"/>
      <w:r>
        <w:rPr>
          <w:rFonts w:hint="eastAsia" w:ascii="宋体" w:hAnsi="宋体" w:eastAsia="宋体" w:cs="宋体"/>
          <w:b/>
          <w:bCs/>
          <w:color w:val="auto"/>
          <w:sz w:val="30"/>
          <w:szCs w:val="30"/>
          <w:highlight w:val="none"/>
          <w:lang w:val="en-US" w:eastAsia="zh-CN"/>
        </w:rPr>
        <w:t>1、反商业贿赂承诺书</w:t>
      </w:r>
      <w:bookmarkEnd w:id="105"/>
    </w:p>
    <w:p>
      <w:pPr>
        <w:keepNext w:val="0"/>
        <w:keepLines w:val="0"/>
        <w:pageBreakBefore w:val="0"/>
        <w:kinsoku/>
        <w:wordWrap w:val="0"/>
        <w:overflowPunct w:val="0"/>
        <w:topLinePunct/>
        <w:autoSpaceDE w:val="0"/>
        <w:autoSpaceDN w:val="0"/>
        <w:bidi w:val="0"/>
        <w:spacing w:line="361"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8" w:line="225" w:lineRule="auto"/>
        <w:outlineLvl w:val="0"/>
        <w:rPr>
          <w:rFonts w:hint="eastAsia" w:ascii="宋体" w:hAnsi="宋体" w:eastAsia="宋体" w:cs="宋体"/>
          <w:color w:val="auto"/>
          <w:sz w:val="21"/>
          <w:szCs w:val="21"/>
          <w:highlight w:val="none"/>
        </w:rPr>
      </w:pPr>
      <w:bookmarkStart w:id="106" w:name="_Toc24772"/>
      <w:bookmarkStart w:id="107" w:name="_Toc14370"/>
      <w:r>
        <w:rPr>
          <w:rFonts w:hint="eastAsia" w:ascii="宋体" w:hAnsi="宋体" w:eastAsia="宋体" w:cs="宋体"/>
          <w:color w:val="auto"/>
          <w:spacing w:val="-6"/>
          <w:sz w:val="21"/>
          <w:szCs w:val="21"/>
          <w:highlight w:val="none"/>
        </w:rPr>
        <w:t>我</w:t>
      </w:r>
      <w:r>
        <w:rPr>
          <w:rFonts w:hint="eastAsia" w:ascii="宋体" w:hAnsi="宋体" w:eastAsia="宋体" w:cs="宋体"/>
          <w:color w:val="auto"/>
          <w:spacing w:val="-3"/>
          <w:sz w:val="21"/>
          <w:szCs w:val="21"/>
          <w:highlight w:val="none"/>
        </w:rPr>
        <w:t>公司承诺：</w:t>
      </w:r>
      <w:bookmarkEnd w:id="106"/>
      <w:bookmarkEnd w:id="107"/>
    </w:p>
    <w:p>
      <w:pPr>
        <w:keepNext w:val="0"/>
        <w:keepLines w:val="0"/>
        <w:pageBreakBefore w:val="0"/>
        <w:kinsoku/>
        <w:wordWrap w:val="0"/>
        <w:overflowPunct w:val="0"/>
        <w:topLinePunct/>
        <w:autoSpaceDE w:val="0"/>
        <w:autoSpaceDN w:val="0"/>
        <w:bidi w:val="0"/>
        <w:spacing w:before="147" w:line="360" w:lineRule="auto"/>
        <w:ind w:left="401"/>
        <w:outlineLvl w:val="0"/>
        <w:rPr>
          <w:rFonts w:hint="eastAsia" w:ascii="宋体" w:hAnsi="宋体" w:eastAsia="宋体" w:cs="宋体"/>
          <w:color w:val="auto"/>
          <w:sz w:val="21"/>
          <w:szCs w:val="21"/>
          <w:highlight w:val="none"/>
        </w:rPr>
      </w:pPr>
      <w:bookmarkStart w:id="108" w:name="_Toc11824"/>
      <w:bookmarkStart w:id="109" w:name="_Toc3545"/>
      <w:r>
        <w:rPr>
          <w:rFonts w:hint="eastAsia" w:ascii="宋体" w:hAnsi="宋体" w:eastAsia="宋体" w:cs="宋体"/>
          <w:color w:val="auto"/>
          <w:spacing w:val="-2"/>
          <w:sz w:val="21"/>
          <w:szCs w:val="21"/>
          <w:highlight w:val="none"/>
        </w:rPr>
        <w:t>在</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(项目名称) </w:t>
      </w:r>
      <w:r>
        <w:rPr>
          <w:rFonts w:hint="eastAsia" w:ascii="宋体" w:hAnsi="宋体" w:eastAsia="宋体" w:cs="宋体"/>
          <w:color w:val="auto"/>
          <w:spacing w:val="-2"/>
          <w:sz w:val="21"/>
          <w:szCs w:val="21"/>
          <w:highlight w:val="none"/>
          <w:lang w:eastAsia="zh-CN"/>
        </w:rPr>
        <w:t>采购编号</w:t>
      </w:r>
      <w:r>
        <w:rPr>
          <w:rFonts w:hint="eastAsia" w:ascii="宋体" w:hAnsi="宋体" w:eastAsia="宋体" w:cs="宋体"/>
          <w:color w:val="auto"/>
          <w:spacing w:val="-2"/>
          <w:sz w:val="21"/>
          <w:szCs w:val="21"/>
          <w:highlight w:val="none"/>
        </w:rPr>
        <w:t>为：</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 采购活动中，我方保证做到：</w:t>
      </w:r>
      <w:bookmarkEnd w:id="108"/>
      <w:bookmarkEnd w:id="109"/>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color w:val="auto"/>
          <w:highlight w:val="none"/>
        </w:rPr>
      </w:pPr>
      <w:bookmarkStart w:id="110" w:name="_Toc629"/>
      <w:r>
        <w:rPr>
          <w:rFonts w:hint="eastAsia"/>
          <w:color w:val="auto"/>
          <w:highlight w:val="none"/>
        </w:rPr>
        <w:t>一、公平竞争参加本次采购活动。</w:t>
      </w:r>
      <w:bookmarkEnd w:id="110"/>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color w:val="auto"/>
          <w:highlight w:val="none"/>
        </w:rPr>
      </w:pPr>
      <w:bookmarkStart w:id="111" w:name="_Toc1416"/>
      <w:bookmarkStart w:id="112" w:name="_Toc4492"/>
      <w:r>
        <w:rPr>
          <w:rFonts w:hint="eastAsia"/>
          <w:color w:val="auto"/>
          <w:highlight w:val="none"/>
        </w:rPr>
        <w:t>二、杜绝任何形式的商业贿赂行为。不向国家工作人员、代理机构工作人员、评审专家及其亲</w:t>
      </w:r>
      <w:bookmarkEnd w:id="111"/>
      <w:bookmarkEnd w:id="112"/>
      <w:r>
        <w:rPr>
          <w:rFonts w:hint="eastAsia"/>
          <w:color w:val="auto"/>
          <w:highlight w:val="none"/>
        </w:rPr>
        <w:t>属提供礼品礼金、有价证券、购物券、回扣、佣金、咨询费、劳务费、赞助费、宣传费、宴请；不为其报销各种消费凭证， 不支付其旅游、娱乐等费用。</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三、若出现上述行为， 我方及参与</w:t>
      </w:r>
      <w:r>
        <w:rPr>
          <w:rFonts w:hint="eastAsia" w:eastAsia="宋体"/>
          <w:color w:val="auto"/>
          <w:highlight w:val="none"/>
          <w:lang w:val="en-US" w:eastAsia="zh-CN"/>
        </w:rPr>
        <w:t>投标</w:t>
      </w:r>
      <w:r>
        <w:rPr>
          <w:rFonts w:hint="eastAsia"/>
          <w:color w:val="auto"/>
          <w:highlight w:val="none"/>
        </w:rPr>
        <w:t>的工作人员愿意接受按照国家法律法规等有关规定给予</w:t>
      </w:r>
      <w:bookmarkStart w:id="113" w:name="_Toc21272"/>
      <w:r>
        <w:rPr>
          <w:rFonts w:hint="eastAsia"/>
          <w:color w:val="auto"/>
          <w:highlight w:val="none"/>
        </w:rPr>
        <w:t>的处罚。</w:t>
      </w:r>
      <w:bookmarkEnd w:id="113"/>
    </w:p>
    <w:p>
      <w:pPr>
        <w:keepNext w:val="0"/>
        <w:keepLines w:val="0"/>
        <w:pageBreakBefore w:val="0"/>
        <w:kinsoku/>
        <w:wordWrap w:val="0"/>
        <w:overflowPunct w:val="0"/>
        <w:topLinePunct/>
        <w:autoSpaceDE w:val="0"/>
        <w:autoSpaceDN w:val="0"/>
        <w:bidi w:val="0"/>
        <w:spacing w:line="24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6"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8" w:line="224" w:lineRule="auto"/>
        <w:ind w:left="303"/>
        <w:outlineLvl w:val="0"/>
        <w:rPr>
          <w:rFonts w:hint="eastAsia" w:ascii="宋体" w:hAnsi="宋体" w:eastAsia="宋体" w:cs="宋体"/>
          <w:color w:val="auto"/>
          <w:sz w:val="21"/>
          <w:szCs w:val="21"/>
          <w:highlight w:val="none"/>
        </w:rPr>
      </w:pPr>
      <w:bookmarkStart w:id="114" w:name="_Toc7635"/>
      <w:bookmarkStart w:id="115" w:name="_Toc8897"/>
      <w:r>
        <w:rPr>
          <w:rFonts w:hint="eastAsia" w:ascii="宋体" w:hAnsi="宋体" w:eastAsia="宋体" w:cs="宋体"/>
          <w:color w:val="auto"/>
          <w:spacing w:val="16"/>
          <w:sz w:val="21"/>
          <w:szCs w:val="21"/>
          <w:highlight w:val="none"/>
        </w:rPr>
        <w:t>投标人(单位电子签章)：</w:t>
      </w:r>
      <w:bookmarkEnd w:id="114"/>
      <w:bookmarkEnd w:id="115"/>
    </w:p>
    <w:p>
      <w:pPr>
        <w:keepNext w:val="0"/>
        <w:keepLines w:val="0"/>
        <w:pageBreakBefore w:val="0"/>
        <w:kinsoku/>
        <w:wordWrap w:val="0"/>
        <w:overflowPunct w:val="0"/>
        <w:topLinePunct/>
        <w:autoSpaceDE w:val="0"/>
        <w:autoSpaceDN w:val="0"/>
        <w:bidi w:val="0"/>
        <w:spacing w:before="149" w:line="225" w:lineRule="auto"/>
        <w:ind w:left="316"/>
        <w:outlineLvl w:val="0"/>
        <w:rPr>
          <w:rFonts w:hint="eastAsia" w:ascii="宋体" w:hAnsi="宋体" w:eastAsia="宋体" w:cs="宋体"/>
          <w:color w:val="auto"/>
          <w:sz w:val="21"/>
          <w:szCs w:val="21"/>
          <w:highlight w:val="none"/>
        </w:rPr>
      </w:pPr>
      <w:bookmarkStart w:id="116" w:name="_Toc5290"/>
      <w:bookmarkStart w:id="117" w:name="_Toc19024"/>
      <w:r>
        <w:rPr>
          <w:rFonts w:hint="eastAsia" w:ascii="宋体" w:hAnsi="宋体" w:eastAsia="宋体" w:cs="宋体"/>
          <w:color w:val="auto"/>
          <w:spacing w:val="4"/>
          <w:sz w:val="21"/>
          <w:szCs w:val="21"/>
          <w:highlight w:val="none"/>
        </w:rPr>
        <w:t>法定代表人或其委托代理人 (签字或电子签名)：</w:t>
      </w:r>
      <w:bookmarkEnd w:id="116"/>
      <w:bookmarkEnd w:id="117"/>
    </w:p>
    <w:p>
      <w:pPr>
        <w:keepNext w:val="0"/>
        <w:keepLines w:val="0"/>
        <w:pageBreakBefore w:val="0"/>
        <w:kinsoku/>
        <w:wordWrap w:val="0"/>
        <w:overflowPunct w:val="0"/>
        <w:topLinePunct/>
        <w:autoSpaceDE w:val="0"/>
        <w:autoSpaceDN w:val="0"/>
        <w:bidi w:val="0"/>
        <w:spacing w:line="246"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9" w:line="225" w:lineRule="auto"/>
        <w:ind w:left="352"/>
        <w:outlineLvl w:val="0"/>
        <w:rPr>
          <w:rFonts w:hint="eastAsia" w:ascii="宋体" w:hAnsi="宋体" w:eastAsia="宋体" w:cs="宋体"/>
          <w:color w:val="auto"/>
          <w:sz w:val="21"/>
          <w:szCs w:val="21"/>
          <w:highlight w:val="none"/>
        </w:rPr>
      </w:pPr>
      <w:bookmarkStart w:id="118" w:name="_Toc15989"/>
      <w:bookmarkStart w:id="119" w:name="_Toc19087"/>
      <w:r>
        <w:rPr>
          <w:rFonts w:hint="eastAsia" w:ascii="宋体" w:hAnsi="宋体" w:eastAsia="宋体" w:cs="宋体"/>
          <w:color w:val="auto"/>
          <w:spacing w:val="-6"/>
          <w:sz w:val="21"/>
          <w:szCs w:val="21"/>
          <w:highlight w:val="none"/>
        </w:rPr>
        <w:t>日期：</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月</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日</w:t>
      </w:r>
      <w:bookmarkEnd w:id="118"/>
      <w:bookmarkEnd w:id="119"/>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footerReference r:id="rId20" w:type="default"/>
          <w:pgSz w:w="11909" w:h="16834"/>
          <w:pgMar w:top="1440" w:right="1080" w:bottom="1440" w:left="1080" w:header="0" w:footer="1806" w:gutter="0"/>
          <w:pgNumType w:fmt="decimal"/>
          <w:cols w:space="720" w:num="1"/>
        </w:sect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bookmarkStart w:id="120" w:name="_Toc7150"/>
      <w:r>
        <w:rPr>
          <w:rFonts w:hint="eastAsia" w:ascii="宋体" w:hAnsi="宋体" w:eastAsia="宋体" w:cs="宋体"/>
          <w:b/>
          <w:bCs/>
          <w:color w:val="auto"/>
          <w:sz w:val="30"/>
          <w:szCs w:val="30"/>
          <w:highlight w:val="none"/>
          <w:lang w:val="en-US" w:eastAsia="zh-CN"/>
        </w:rPr>
        <w:t>2、信阳市政府采购供应商信用承诺函</w:t>
      </w:r>
    </w:p>
    <w:p>
      <w:pPr>
        <w:keepNext w:val="0"/>
        <w:keepLines w:val="0"/>
        <w:pageBreakBefore w:val="0"/>
        <w:widowControl/>
        <w:kinsoku/>
        <w:wordWrap w:val="0"/>
        <w:overflowPunct w:val="0"/>
        <w:topLinePunct/>
        <w:autoSpaceDE w:val="0"/>
        <w:autoSpaceDN w:val="0"/>
        <w:bidi w:val="0"/>
        <w:spacing w:line="400" w:lineRule="exact"/>
        <w:ind w:firstLine="42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致</w:t>
      </w:r>
      <w:r>
        <w:rPr>
          <w:rFonts w:hint="eastAsia" w:ascii="宋体" w:hAnsi="宋体" w:eastAsia="宋体" w:cs="宋体"/>
          <w:color w:val="auto"/>
          <w:kern w:val="0"/>
          <w:szCs w:val="21"/>
          <w:highlight w:val="none"/>
          <w:u w:val="single"/>
          <w:lang w:bidi="ar"/>
        </w:rPr>
        <w:t xml:space="preserve">（采购人或采购代理机构）：                 </w:t>
      </w:r>
    </w:p>
    <w:p>
      <w:pPr>
        <w:keepNext w:val="0"/>
        <w:keepLines w:val="0"/>
        <w:pageBreakBefore w:val="0"/>
        <w:widowControl/>
        <w:kinsoku/>
        <w:wordWrap w:val="0"/>
        <w:overflowPunct w:val="0"/>
        <w:topLinePunct/>
        <w:autoSpaceDE w:val="0"/>
        <w:autoSpaceDN w:val="0"/>
        <w:bidi w:val="0"/>
        <w:spacing w:line="400" w:lineRule="exact"/>
        <w:ind w:firstLine="42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单位名称（自然人姓名）</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val="en-US" w:eastAsia="zh-CN" w:bidi="ar"/>
        </w:rPr>
        <w:t xml:space="preserve">    </w:t>
      </w:r>
      <w:r>
        <w:rPr>
          <w:rFonts w:hint="eastAsia" w:ascii="宋体" w:hAnsi="宋体" w:eastAsia="宋体" w:cs="宋体"/>
          <w:color w:val="auto"/>
          <w:kern w:val="0"/>
          <w:szCs w:val="21"/>
          <w:highlight w:val="none"/>
          <w:u w:val="single"/>
          <w:lang w:bidi="ar"/>
        </w:rPr>
        <w:t xml:space="preserve">  </w:t>
      </w:r>
    </w:p>
    <w:p>
      <w:pPr>
        <w:keepNext w:val="0"/>
        <w:keepLines w:val="0"/>
        <w:pageBreakBefore w:val="0"/>
        <w:widowControl/>
        <w:kinsoku/>
        <w:wordWrap w:val="0"/>
        <w:overflowPunct w:val="0"/>
        <w:topLinePunct/>
        <w:autoSpaceDE w:val="0"/>
        <w:autoSpaceDN w:val="0"/>
        <w:bidi w:val="0"/>
        <w:spacing w:line="400" w:lineRule="exact"/>
        <w:ind w:firstLine="42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统一社会信用代码（身份证号码）</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u w:val="single"/>
          <w:lang w:val="en-US" w:eastAsia="zh-CN" w:bidi="ar"/>
        </w:rPr>
        <w:t xml:space="preserve">     </w:t>
      </w:r>
      <w:r>
        <w:rPr>
          <w:rFonts w:hint="eastAsia" w:ascii="宋体" w:hAnsi="宋体" w:eastAsia="宋体" w:cs="宋体"/>
          <w:color w:val="auto"/>
          <w:kern w:val="0"/>
          <w:szCs w:val="21"/>
          <w:highlight w:val="none"/>
          <w:u w:val="single"/>
          <w:lang w:bidi="ar"/>
        </w:rPr>
        <w:t xml:space="preserve"> </w:t>
      </w:r>
    </w:p>
    <w:p>
      <w:pPr>
        <w:keepNext w:val="0"/>
        <w:keepLines w:val="0"/>
        <w:pageBreakBefore w:val="0"/>
        <w:widowControl/>
        <w:kinsoku/>
        <w:wordWrap w:val="0"/>
        <w:overflowPunct w:val="0"/>
        <w:topLinePunct/>
        <w:autoSpaceDE w:val="0"/>
        <w:autoSpaceDN w:val="0"/>
        <w:bidi w:val="0"/>
        <w:spacing w:line="400" w:lineRule="exact"/>
        <w:ind w:firstLine="42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法定代表人（负责人）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val="en-US" w:eastAsia="zh-CN" w:bidi="ar"/>
        </w:rPr>
        <w:t xml:space="preserve">  </w:t>
      </w:r>
      <w:r>
        <w:rPr>
          <w:rFonts w:hint="eastAsia" w:ascii="宋体" w:hAnsi="宋体" w:eastAsia="宋体" w:cs="宋体"/>
          <w:color w:val="auto"/>
          <w:kern w:val="0"/>
          <w:szCs w:val="21"/>
          <w:highlight w:val="none"/>
          <w:u w:val="single"/>
          <w:lang w:bidi="ar"/>
        </w:rPr>
        <w:t xml:space="preserve">  </w:t>
      </w:r>
    </w:p>
    <w:p>
      <w:pPr>
        <w:keepNext w:val="0"/>
        <w:keepLines w:val="0"/>
        <w:pageBreakBefore w:val="0"/>
        <w:widowControl/>
        <w:kinsoku/>
        <w:wordWrap w:val="0"/>
        <w:overflowPunct w:val="0"/>
        <w:topLinePunct/>
        <w:autoSpaceDE w:val="0"/>
        <w:autoSpaceDN w:val="0"/>
        <w:bidi w:val="0"/>
        <w:spacing w:line="400" w:lineRule="exact"/>
        <w:ind w:firstLine="42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联系地址和电话</w:t>
      </w:r>
      <w:r>
        <w:rPr>
          <w:rFonts w:hint="eastAsia" w:ascii="宋体" w:hAnsi="宋体" w:eastAsia="宋体" w:cs="宋体"/>
          <w:color w:val="auto"/>
          <w:kern w:val="0"/>
          <w:szCs w:val="21"/>
          <w:highlight w:val="none"/>
          <w:u w:val="single"/>
          <w:lang w:bidi="ar"/>
        </w:rPr>
        <w:t xml:space="preserve">：              </w:t>
      </w:r>
    </w:p>
    <w:p>
      <w:pPr>
        <w:keepNext w:val="0"/>
        <w:keepLines w:val="0"/>
        <w:pageBreakBefore w:val="0"/>
        <w:widowControl/>
        <w:kinsoku/>
        <w:wordWrap w:val="0"/>
        <w:overflowPunct w:val="0"/>
        <w:topLinePunct/>
        <w:autoSpaceDE w:val="0"/>
        <w:autoSpaceDN w:val="0"/>
        <w:bidi w:val="0"/>
        <w:spacing w:line="400" w:lineRule="exact"/>
        <w:ind w:firstLine="42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为维护公平、公正、公开的政府采购市场秩序，树立诚实守信的政府采购供应商形象，我单位（本人）自愿作出以下承诺：</w:t>
      </w:r>
    </w:p>
    <w:p>
      <w:pPr>
        <w:keepNext w:val="0"/>
        <w:keepLines w:val="0"/>
        <w:pageBreakBefore w:val="0"/>
        <w:widowControl/>
        <w:numPr>
          <w:ilvl w:val="0"/>
          <w:numId w:val="4"/>
        </w:numPr>
        <w:kinsoku/>
        <w:wordWrap w:val="0"/>
        <w:overflowPunct w:val="0"/>
        <w:topLinePunct/>
        <w:autoSpaceDE w:val="0"/>
        <w:autoSpaceDN w:val="0"/>
        <w:bidi w:val="0"/>
        <w:spacing w:line="400" w:lineRule="exact"/>
        <w:ind w:firstLine="42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numPr>
          <w:ilvl w:val="0"/>
          <w:numId w:val="5"/>
        </w:numPr>
        <w:kinsoku/>
        <w:wordWrap w:val="0"/>
        <w:overflowPunct w:val="0"/>
        <w:topLinePunct/>
        <w:autoSpaceDE w:val="0"/>
        <w:autoSpaceDN w:val="0"/>
        <w:bidi w:val="0"/>
        <w:spacing w:line="400" w:lineRule="exact"/>
        <w:ind w:left="0" w:firstLineChars="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具有独立承担民事责任的能力；</w:t>
      </w:r>
    </w:p>
    <w:p>
      <w:pPr>
        <w:keepNext w:val="0"/>
        <w:keepLines w:val="0"/>
        <w:pageBreakBefore w:val="0"/>
        <w:widowControl/>
        <w:numPr>
          <w:ilvl w:val="0"/>
          <w:numId w:val="5"/>
        </w:numPr>
        <w:kinsoku/>
        <w:wordWrap w:val="0"/>
        <w:overflowPunct w:val="0"/>
        <w:topLinePunct/>
        <w:autoSpaceDE w:val="0"/>
        <w:autoSpaceDN w:val="0"/>
        <w:bidi w:val="0"/>
        <w:spacing w:line="400" w:lineRule="exact"/>
        <w:ind w:left="0" w:firstLineChars="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具有良好的商业信誉和健全的财务会计制度； </w:t>
      </w:r>
    </w:p>
    <w:p>
      <w:pPr>
        <w:keepNext w:val="0"/>
        <w:keepLines w:val="0"/>
        <w:pageBreakBefore w:val="0"/>
        <w:widowControl/>
        <w:numPr>
          <w:ilvl w:val="0"/>
          <w:numId w:val="5"/>
        </w:numPr>
        <w:kinsoku/>
        <w:wordWrap w:val="0"/>
        <w:overflowPunct w:val="0"/>
        <w:topLinePunct/>
        <w:autoSpaceDE w:val="0"/>
        <w:autoSpaceDN w:val="0"/>
        <w:bidi w:val="0"/>
        <w:spacing w:line="400" w:lineRule="exact"/>
        <w:ind w:left="0" w:firstLineChars="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具有履行合同所必需的设备和专业技术能力；</w:t>
      </w:r>
    </w:p>
    <w:p>
      <w:pPr>
        <w:keepNext w:val="0"/>
        <w:keepLines w:val="0"/>
        <w:pageBreakBefore w:val="0"/>
        <w:widowControl/>
        <w:numPr>
          <w:ilvl w:val="0"/>
          <w:numId w:val="5"/>
        </w:numPr>
        <w:kinsoku/>
        <w:wordWrap w:val="0"/>
        <w:overflowPunct w:val="0"/>
        <w:topLinePunct/>
        <w:autoSpaceDE w:val="0"/>
        <w:autoSpaceDN w:val="0"/>
        <w:bidi w:val="0"/>
        <w:spacing w:line="400" w:lineRule="exact"/>
        <w:ind w:left="0" w:firstLineChars="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有依法缴纳税收和社会保障资金的良好记录； </w:t>
      </w:r>
    </w:p>
    <w:p>
      <w:pPr>
        <w:keepNext w:val="0"/>
        <w:keepLines w:val="0"/>
        <w:pageBreakBefore w:val="0"/>
        <w:widowControl/>
        <w:numPr>
          <w:ilvl w:val="0"/>
          <w:numId w:val="5"/>
        </w:numPr>
        <w:kinsoku/>
        <w:wordWrap w:val="0"/>
        <w:overflowPunct w:val="0"/>
        <w:topLinePunct/>
        <w:autoSpaceDE w:val="0"/>
        <w:autoSpaceDN w:val="0"/>
        <w:bidi w:val="0"/>
        <w:spacing w:line="400" w:lineRule="exact"/>
        <w:ind w:left="0" w:firstLineChars="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参加政府采购活动前三年内，在经营活动中没有重大违法记录； </w:t>
      </w:r>
    </w:p>
    <w:p>
      <w:pPr>
        <w:keepNext w:val="0"/>
        <w:keepLines w:val="0"/>
        <w:pageBreakBefore w:val="0"/>
        <w:widowControl/>
        <w:numPr>
          <w:ilvl w:val="0"/>
          <w:numId w:val="5"/>
        </w:numPr>
        <w:kinsoku/>
        <w:wordWrap w:val="0"/>
        <w:overflowPunct w:val="0"/>
        <w:topLinePunct/>
        <w:autoSpaceDE w:val="0"/>
        <w:autoSpaceDN w:val="0"/>
        <w:bidi w:val="0"/>
        <w:spacing w:line="400" w:lineRule="exact"/>
        <w:ind w:left="0" w:firstLineChars="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未被列入经营异常名录或者严重违法失信名单、失信被执行人、重大税收违法</w:t>
      </w:r>
      <w:r>
        <w:rPr>
          <w:rFonts w:hint="eastAsia" w:ascii="宋体" w:hAnsi="宋体" w:eastAsia="宋体" w:cs="宋体"/>
          <w:color w:val="auto"/>
          <w:kern w:val="0"/>
          <w:szCs w:val="21"/>
          <w:highlight w:val="none"/>
          <w:lang w:val="en-US" w:eastAsia="zh-CN" w:bidi="ar"/>
        </w:rPr>
        <w:t>失信主体</w:t>
      </w:r>
      <w:r>
        <w:rPr>
          <w:rFonts w:hint="eastAsia" w:ascii="宋体" w:hAnsi="宋体" w:eastAsia="宋体" w:cs="宋体"/>
          <w:color w:val="auto"/>
          <w:kern w:val="0"/>
          <w:szCs w:val="21"/>
          <w:highlight w:val="none"/>
          <w:lang w:bidi="ar"/>
        </w:rPr>
        <w:t>、政府采购严重违法失信行为记录名单；</w:t>
      </w:r>
    </w:p>
    <w:p>
      <w:pPr>
        <w:keepNext w:val="0"/>
        <w:keepLines w:val="0"/>
        <w:pageBreakBefore w:val="0"/>
        <w:widowControl/>
        <w:numPr>
          <w:ilvl w:val="0"/>
          <w:numId w:val="5"/>
        </w:numPr>
        <w:kinsoku/>
        <w:wordWrap w:val="0"/>
        <w:overflowPunct w:val="0"/>
        <w:topLinePunct/>
        <w:autoSpaceDE w:val="0"/>
        <w:autoSpaceDN w:val="0"/>
        <w:bidi w:val="0"/>
        <w:spacing w:line="400" w:lineRule="exact"/>
        <w:ind w:left="0" w:firstLineChars="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未被相关监管部门作出行政处罚且尚在处罚有效期内； </w:t>
      </w:r>
    </w:p>
    <w:p>
      <w:pPr>
        <w:keepNext w:val="0"/>
        <w:keepLines w:val="0"/>
        <w:pageBreakBefore w:val="0"/>
        <w:widowControl/>
        <w:numPr>
          <w:ilvl w:val="0"/>
          <w:numId w:val="5"/>
        </w:numPr>
        <w:kinsoku/>
        <w:wordWrap w:val="0"/>
        <w:overflowPunct w:val="0"/>
        <w:topLinePunct/>
        <w:autoSpaceDE w:val="0"/>
        <w:autoSpaceDN w:val="0"/>
        <w:bidi w:val="0"/>
        <w:spacing w:line="400" w:lineRule="exact"/>
        <w:ind w:left="0" w:firstLineChars="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未曾做出虚假采购承诺； </w:t>
      </w:r>
    </w:p>
    <w:p>
      <w:pPr>
        <w:keepNext w:val="0"/>
        <w:keepLines w:val="0"/>
        <w:pageBreakBefore w:val="0"/>
        <w:widowControl/>
        <w:kinsoku/>
        <w:wordWrap w:val="0"/>
        <w:overflowPunct w:val="0"/>
        <w:topLinePunct/>
        <w:autoSpaceDE w:val="0"/>
        <w:autoSpaceDN w:val="0"/>
        <w:bidi w:val="0"/>
        <w:spacing w:line="400" w:lineRule="exact"/>
        <w:ind w:firstLine="0" w:firstLineChars="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（九）符合法律、行政法规规定的其他条件。</w:t>
      </w:r>
    </w:p>
    <w:p>
      <w:pPr>
        <w:keepNext w:val="0"/>
        <w:keepLines w:val="0"/>
        <w:pageBreakBefore w:val="0"/>
        <w:widowControl/>
        <w:numPr>
          <w:ilvl w:val="0"/>
          <w:numId w:val="4"/>
        </w:numPr>
        <w:kinsoku/>
        <w:wordWrap w:val="0"/>
        <w:overflowPunct w:val="0"/>
        <w:topLinePunct/>
        <w:autoSpaceDE w:val="0"/>
        <w:autoSpaceDN w:val="0"/>
        <w:bidi w:val="0"/>
        <w:spacing w:line="400" w:lineRule="exact"/>
        <w:ind w:firstLine="42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keepNext w:val="0"/>
        <w:keepLines w:val="0"/>
        <w:pageBreakBefore w:val="0"/>
        <w:widowControl/>
        <w:kinsoku/>
        <w:wordWrap w:val="0"/>
        <w:overflowPunct w:val="0"/>
        <w:topLinePunct/>
        <w:autoSpaceDE w:val="0"/>
        <w:autoSpaceDN w:val="0"/>
        <w:bidi w:val="0"/>
        <w:spacing w:line="400" w:lineRule="exact"/>
        <w:ind w:firstLine="420"/>
        <w:jc w:val="righ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供应商（单位电子签章）：</w:t>
      </w:r>
    </w:p>
    <w:p>
      <w:pPr>
        <w:keepNext w:val="0"/>
        <w:keepLines w:val="0"/>
        <w:pageBreakBefore w:val="0"/>
        <w:widowControl/>
        <w:kinsoku/>
        <w:wordWrap w:val="0"/>
        <w:overflowPunct w:val="0"/>
        <w:topLinePunct/>
        <w:autoSpaceDE w:val="0"/>
        <w:autoSpaceDN w:val="0"/>
        <w:bidi w:val="0"/>
        <w:spacing w:line="400" w:lineRule="exact"/>
        <w:ind w:firstLine="420"/>
        <w:jc w:val="righ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法定代表人、负责人、本人或授权代表（电子签名或盖章）：</w:t>
      </w:r>
    </w:p>
    <w:p>
      <w:pPr>
        <w:keepNext w:val="0"/>
        <w:keepLines w:val="0"/>
        <w:pageBreakBefore w:val="0"/>
        <w:widowControl/>
        <w:kinsoku/>
        <w:wordWrap w:val="0"/>
        <w:overflowPunct w:val="0"/>
        <w:topLinePunct/>
        <w:autoSpaceDE w:val="0"/>
        <w:autoSpaceDN w:val="0"/>
        <w:bidi w:val="0"/>
        <w:spacing w:line="400" w:lineRule="exact"/>
        <w:ind w:firstLine="420"/>
        <w:jc w:val="righ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日期：  年  月  日</w:t>
      </w:r>
    </w:p>
    <w:p>
      <w:pPr>
        <w:keepNext w:val="0"/>
        <w:keepLines w:val="0"/>
        <w:pageBreakBefore w:val="0"/>
        <w:widowControl/>
        <w:kinsoku/>
        <w:wordWrap w:val="0"/>
        <w:overflowPunct w:val="0"/>
        <w:topLinePunct/>
        <w:autoSpaceDE w:val="0"/>
        <w:autoSpaceDN w:val="0"/>
        <w:bidi w:val="0"/>
        <w:spacing w:line="400" w:lineRule="exact"/>
        <w:ind w:firstLine="210" w:firstLineChars="1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 注：1、投标人须在投标文件中按此模板提供承诺函，未提供视为未实质性响应招标文件要求，按无效投标处理。</w:t>
      </w:r>
    </w:p>
    <w:p>
      <w:pPr>
        <w:keepNext w:val="0"/>
        <w:keepLines w:val="0"/>
        <w:pageBreakBefore w:val="0"/>
        <w:widowControl/>
        <w:kinsoku/>
        <w:wordWrap w:val="0"/>
        <w:overflowPunct w:val="0"/>
        <w:topLinePunct/>
        <w:autoSpaceDE w:val="0"/>
        <w:autoSpaceDN w:val="0"/>
        <w:bidi w:val="0"/>
        <w:spacing w:line="400" w:lineRule="exact"/>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2、投标人的法定代表人或者授权代表的签字或盖章应真实、有效，如由授权代表签字或盖章的，应提供“法定代表人授权书”。</w:t>
      </w:r>
    </w:p>
    <w:p>
      <w:pPr>
        <w:keepNext w:val="0"/>
        <w:keepLines w:val="0"/>
        <w:pageBreakBefore w:val="0"/>
        <w:kinsoku/>
        <w:wordWrap w:val="0"/>
        <w:overflowPunct w:val="0"/>
        <w:topLinePunct/>
        <w:autoSpaceDE w:val="0"/>
        <w:autoSpaceDN w:val="0"/>
        <w:bidi w:val="0"/>
        <w:rPr>
          <w:rFonts w:hint="eastAsia" w:ascii="宋体" w:hAnsi="宋体" w:eastAsia="宋体" w:cs="宋体"/>
          <w:color w:val="auto"/>
          <w:spacing w:val="5"/>
          <w:position w:val="1"/>
          <w:sz w:val="28"/>
          <w:szCs w:val="28"/>
          <w:highlight w:val="none"/>
          <w:lang w:val="en-US" w:eastAsia="zh-CN"/>
          <w14:textOutline w14:w="3918" w14:cap="flat" w14:cmpd="sng">
            <w14:solidFill>
              <w14:srgbClr w14:val="000000"/>
            </w14:solidFill>
            <w14:prstDash w14:val="solid"/>
            <w14:miter w14:val="0"/>
          </w14:textOutline>
        </w:rPr>
      </w:pPr>
      <w:r>
        <w:rPr>
          <w:rFonts w:hint="eastAsia" w:ascii="宋体" w:hAnsi="宋体" w:eastAsia="宋体" w:cs="宋体"/>
          <w:color w:val="auto"/>
          <w:spacing w:val="5"/>
          <w:position w:val="1"/>
          <w:sz w:val="28"/>
          <w:szCs w:val="28"/>
          <w:highlight w:val="none"/>
          <w:lang w:val="en-US" w:eastAsia="zh-CN"/>
          <w14:textOutline w14:w="3918" w14:cap="flat" w14:cmpd="sng">
            <w14:solidFill>
              <w14:srgbClr w14:val="000000"/>
            </w14:solidFill>
            <w14:prstDash w14:val="solid"/>
            <w14:miter w14:val="0"/>
          </w14:textOutline>
        </w:rPr>
        <w:br w:type="page"/>
      </w: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3 、</w:t>
      </w:r>
      <w:bookmarkEnd w:id="120"/>
      <w:r>
        <w:rPr>
          <w:rFonts w:hint="eastAsia" w:ascii="宋体" w:hAnsi="宋体" w:eastAsia="宋体" w:cs="宋体"/>
          <w:b/>
          <w:bCs/>
          <w:color w:val="auto"/>
          <w:sz w:val="30"/>
          <w:szCs w:val="30"/>
          <w:highlight w:val="none"/>
          <w:lang w:val="en-US" w:eastAsia="zh-CN"/>
        </w:rPr>
        <w:t>中小企业声明函（服务）</w:t>
      </w:r>
    </w:p>
    <w:p>
      <w:pPr>
        <w:keepNext w:val="0"/>
        <w:keepLines w:val="0"/>
        <w:pageBreakBefore w:val="0"/>
        <w:widowControl/>
        <w:kinsoku/>
        <w:wordWrap w:val="0"/>
        <w:overflowPunct w:val="0"/>
        <w:topLinePunct/>
        <w:autoSpaceDE w:val="0"/>
        <w:autoSpaceDN w:val="0"/>
        <w:bidi w:val="0"/>
        <w:adjustRightInd w:val="0"/>
        <w:snapToGrid w:val="0"/>
        <w:spacing w:line="50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kinsoku/>
        <w:wordWrap w:val="0"/>
        <w:overflowPunct w:val="0"/>
        <w:topLinePunct/>
        <w:autoSpaceDE w:val="0"/>
        <w:autoSpaceDN w:val="0"/>
        <w:bidi w:val="0"/>
        <w:adjustRightInd w:val="0"/>
        <w:snapToGrid w:val="0"/>
        <w:spacing w:line="50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；承建（承接）企业为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highlight w:val="none"/>
        </w:rPr>
        <w:t>万元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2"/>
          <w:position w:val="16"/>
          <w:highlight w:val="none"/>
        </w:rPr>
        <w:t>1</w:t>
      </w:r>
      <w:r>
        <w:rPr>
          <w:rFonts w:hint="eastAsia" w:ascii="宋体" w:hAnsi="宋体" w:eastAsia="宋体" w:cs="宋体"/>
          <w:color w:val="auto"/>
          <w:spacing w:val="-12"/>
          <w:position w:val="16"/>
          <w:highlight w:val="none"/>
        </w:rPr>
        <w:fldChar w:fldCharType="end"/>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pPr>
        <w:keepNext w:val="0"/>
        <w:keepLines w:val="0"/>
        <w:pageBreakBefore w:val="0"/>
        <w:widowControl/>
        <w:kinsoku/>
        <w:wordWrap w:val="0"/>
        <w:overflowPunct w:val="0"/>
        <w:topLinePunct/>
        <w:autoSpaceDE w:val="0"/>
        <w:autoSpaceDN w:val="0"/>
        <w:bidi w:val="0"/>
        <w:adjustRightInd w:val="0"/>
        <w:snapToGrid w:val="0"/>
        <w:spacing w:line="50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；承建（承接）企业为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highlight w:val="none"/>
        </w:rPr>
        <w:t>万元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2"/>
          <w:position w:val="16"/>
          <w:highlight w:val="none"/>
        </w:rPr>
        <w:t>1</w:t>
      </w:r>
      <w:r>
        <w:rPr>
          <w:rFonts w:hint="eastAsia" w:ascii="宋体" w:hAnsi="宋体" w:eastAsia="宋体" w:cs="宋体"/>
          <w:color w:val="auto"/>
          <w:spacing w:val="-12"/>
          <w:position w:val="16"/>
          <w:highlight w:val="none"/>
        </w:rPr>
        <w:fldChar w:fldCharType="end"/>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pPr>
        <w:keepNext w:val="0"/>
        <w:keepLines w:val="0"/>
        <w:pageBreakBefore w:val="0"/>
        <w:widowControl/>
        <w:kinsoku/>
        <w:wordWrap w:val="0"/>
        <w:overflowPunct w:val="0"/>
        <w:topLinePunct/>
        <w:autoSpaceDE w:val="0"/>
        <w:autoSpaceDN w:val="0"/>
        <w:bidi w:val="0"/>
        <w:adjustRightInd w:val="0"/>
        <w:snapToGrid w:val="0"/>
        <w:spacing w:line="50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keepNext w:val="0"/>
        <w:keepLines w:val="0"/>
        <w:pageBreakBefore w:val="0"/>
        <w:widowControl/>
        <w:kinsoku/>
        <w:wordWrap w:val="0"/>
        <w:overflowPunct w:val="0"/>
        <w:topLinePunct/>
        <w:autoSpaceDE w:val="0"/>
        <w:autoSpaceDN w:val="0"/>
        <w:bidi w:val="0"/>
        <w:adjustRightInd w:val="0"/>
        <w:snapToGrid w:val="0"/>
        <w:spacing w:line="50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kinsoku/>
        <w:wordWrap w:val="0"/>
        <w:overflowPunct w:val="0"/>
        <w:topLinePunct/>
        <w:autoSpaceDE w:val="0"/>
        <w:autoSpaceDN w:val="0"/>
        <w:bidi w:val="0"/>
        <w:adjustRightInd w:val="0"/>
        <w:snapToGrid w:val="0"/>
        <w:spacing w:line="50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pPr>
        <w:keepNext w:val="0"/>
        <w:keepLines w:val="0"/>
        <w:pageBreakBefore w:val="0"/>
        <w:widowControl/>
        <w:kinsoku/>
        <w:wordWrap w:val="0"/>
        <w:overflowPunct w:val="0"/>
        <w:topLinePunct/>
        <w:autoSpaceDE w:val="0"/>
        <w:autoSpaceDN w:val="0"/>
        <w:bidi w:val="0"/>
        <w:adjustRightInd w:val="0"/>
        <w:snapToGrid w:val="0"/>
        <w:spacing w:line="500" w:lineRule="exact"/>
        <w:jc w:val="center"/>
        <w:textAlignment w:val="baseline"/>
        <w:rPr>
          <w:rFonts w:hint="eastAsia" w:ascii="宋体" w:hAnsi="宋体" w:eastAsia="宋体" w:cs="宋体"/>
          <w:color w:val="auto"/>
          <w:szCs w:val="21"/>
          <w:highlight w:val="none"/>
        </w:rPr>
      </w:pPr>
    </w:p>
    <w:p>
      <w:pPr>
        <w:pStyle w:val="14"/>
        <w:keepNext w:val="0"/>
        <w:keepLines w:val="0"/>
        <w:pageBreakBefore w:val="0"/>
        <w:widowControl/>
        <w:kinsoku/>
        <w:wordWrap w:val="0"/>
        <w:overflowPunct w:val="0"/>
        <w:topLinePunct/>
        <w:autoSpaceDE w:val="0"/>
        <w:autoSpaceDN w:val="0"/>
        <w:bidi w:val="0"/>
        <w:adjustRightInd w:val="0"/>
        <w:snapToGrid w:val="0"/>
        <w:spacing w:line="500" w:lineRule="exact"/>
        <w:textAlignment w:val="baseline"/>
        <w:rPr>
          <w:rFonts w:hint="eastAsia" w:ascii="宋体" w:hAnsi="宋体" w:eastAsia="宋体" w:cs="宋体"/>
          <w:color w:val="auto"/>
          <w:highlight w:val="none"/>
        </w:rPr>
      </w:pPr>
    </w:p>
    <w:p>
      <w:pPr>
        <w:keepNext w:val="0"/>
        <w:keepLines w:val="0"/>
        <w:pageBreakBefore w:val="0"/>
        <w:widowControl/>
        <w:kinsoku/>
        <w:wordWrap w:val="0"/>
        <w:overflowPunct w:val="0"/>
        <w:topLinePunct/>
        <w:autoSpaceDE w:val="0"/>
        <w:autoSpaceDN w:val="0"/>
        <w:bidi w:val="0"/>
        <w:adjustRightInd w:val="0"/>
        <w:snapToGrid w:val="0"/>
        <w:spacing w:line="50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企业名称（盖章）：</w:t>
      </w:r>
    </w:p>
    <w:p>
      <w:pPr>
        <w:keepNext w:val="0"/>
        <w:keepLines w:val="0"/>
        <w:pageBreakBefore w:val="0"/>
        <w:widowControl/>
        <w:kinsoku/>
        <w:wordWrap w:val="0"/>
        <w:overflowPunct w:val="0"/>
        <w:topLinePunct/>
        <w:autoSpaceDE w:val="0"/>
        <w:autoSpaceDN w:val="0"/>
        <w:bidi w:val="0"/>
        <w:adjustRightInd w:val="0"/>
        <w:snapToGrid w:val="0"/>
        <w:spacing w:line="50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p>
    <w:p>
      <w:pPr>
        <w:pStyle w:val="14"/>
        <w:keepNext w:val="0"/>
        <w:keepLines w:val="0"/>
        <w:pageBreakBefore w:val="0"/>
        <w:kinsoku/>
        <w:wordWrap w:val="0"/>
        <w:overflowPunct w:val="0"/>
        <w:topLinePunct/>
        <w:autoSpaceDE w:val="0"/>
        <w:autoSpaceDN w:val="0"/>
        <w:bidi w:val="0"/>
        <w:spacing w:line="360" w:lineRule="auto"/>
        <w:rPr>
          <w:rFonts w:hint="eastAsia" w:ascii="宋体" w:hAnsi="宋体" w:eastAsia="宋体" w:cs="宋体"/>
          <w:color w:val="auto"/>
          <w:szCs w:val="21"/>
          <w:highlight w:val="none"/>
        </w:rPr>
      </w:pPr>
    </w:p>
    <w:p>
      <w:pPr>
        <w:keepNext w:val="0"/>
        <w:keepLines w:val="0"/>
        <w:pageBreakBefore w:val="0"/>
        <w:kinsoku/>
        <w:wordWrap w:val="0"/>
        <w:overflowPunct w:val="0"/>
        <w:topLinePunct/>
        <w:autoSpaceDE w:val="0"/>
        <w:autoSpaceDN w:val="0"/>
        <w:bidi w:val="0"/>
        <w:adjustRightInd w:val="0"/>
        <w:snapToGrid w:val="0"/>
        <w:spacing w:line="360" w:lineRule="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说明：</w:t>
      </w:r>
    </w:p>
    <w:p>
      <w:pPr>
        <w:keepNext w:val="0"/>
        <w:keepLines w:val="0"/>
        <w:pageBreakBefore w:val="0"/>
        <w:kinsoku/>
        <w:wordWrap w:val="0"/>
        <w:overflowPunct w:val="0"/>
        <w:topLinePunct/>
        <w:autoSpaceDE w:val="0"/>
        <w:autoSpaceDN w:val="0"/>
        <w:bidi w:val="0"/>
        <w:adjustRightInd w:val="0"/>
        <w:snapToGrid w:val="0"/>
        <w:spacing w:line="360" w:lineRule="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1、从业人员、营业收入、资产总额填报上一年度数据，无上一年度数据的新成立企业可不填报。</w:t>
      </w:r>
    </w:p>
    <w:p>
      <w:pPr>
        <w:keepNext w:val="0"/>
        <w:keepLines w:val="0"/>
        <w:pageBreakBefore w:val="0"/>
        <w:kinsoku/>
        <w:wordWrap w:val="0"/>
        <w:overflowPunct w:val="0"/>
        <w:topLinePunct/>
        <w:autoSpaceDE w:val="0"/>
        <w:autoSpaceDN w:val="0"/>
        <w:bidi w:val="0"/>
        <w:adjustRightInd w:val="0"/>
        <w:snapToGrid w:val="0"/>
        <w:spacing w:line="360" w:lineRule="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2、填写前请认真阅读《关于印发中小企业划型标准规定的通知》（工信部联企业[2011]300号）和《关于印发＜</w:t>
      </w:r>
      <w:r>
        <w:rPr>
          <w:rFonts w:hint="eastAsia" w:ascii="宋体" w:hAnsi="宋体" w:eastAsia="宋体" w:cs="宋体"/>
          <w:color w:val="auto"/>
          <w:spacing w:val="-2"/>
          <w:highlight w:val="none"/>
        </w:rPr>
        <w:t>政府采购促进中小</w:t>
      </w:r>
      <w:r>
        <w:rPr>
          <w:rFonts w:hint="eastAsia" w:ascii="宋体" w:hAnsi="宋体" w:eastAsia="宋体" w:cs="宋体"/>
          <w:color w:val="auto"/>
          <w:spacing w:val="-18"/>
          <w:highlight w:val="none"/>
        </w:rPr>
        <w:t>企业发展管理办法</w:t>
      </w:r>
      <w:r>
        <w:rPr>
          <w:rFonts w:hint="eastAsia" w:ascii="宋体" w:hAnsi="宋体" w:eastAsia="宋体" w:cs="宋体"/>
          <w:color w:val="auto"/>
          <w:spacing w:val="6"/>
          <w:kern w:val="0"/>
          <w:szCs w:val="21"/>
          <w:highlight w:val="none"/>
        </w:rPr>
        <w:t>＞的通知》(</w:t>
      </w:r>
      <w:r>
        <w:rPr>
          <w:rFonts w:hint="eastAsia" w:ascii="宋体" w:hAnsi="宋体" w:eastAsia="宋体" w:cs="宋体"/>
          <w:color w:val="auto"/>
          <w:spacing w:val="5"/>
          <w:highlight w:val="none"/>
        </w:rPr>
        <w:t>财库</w:t>
      </w:r>
      <w:r>
        <w:rPr>
          <w:rFonts w:hint="eastAsia" w:ascii="宋体" w:hAnsi="宋体" w:eastAsia="宋体" w:cs="宋体"/>
          <w:color w:val="auto"/>
          <w:highlight w:val="none"/>
        </w:rPr>
        <w:t>﹝2020﹞46</w:t>
      </w:r>
      <w:r>
        <w:rPr>
          <w:rFonts w:hint="eastAsia" w:ascii="宋体" w:hAnsi="宋体" w:eastAsia="宋体" w:cs="宋体"/>
          <w:color w:val="auto"/>
          <w:spacing w:val="-38"/>
          <w:highlight w:val="none"/>
        </w:rPr>
        <w:t xml:space="preserve"> 号  </w:t>
      </w:r>
      <w:r>
        <w:rPr>
          <w:rFonts w:hint="eastAsia" w:ascii="宋体" w:hAnsi="宋体" w:eastAsia="宋体" w:cs="宋体"/>
          <w:color w:val="auto"/>
          <w:spacing w:val="6"/>
          <w:kern w:val="0"/>
          <w:szCs w:val="21"/>
          <w:highlight w:val="none"/>
        </w:rPr>
        <w:t>)相关规定。</w:t>
      </w:r>
    </w:p>
    <w:p>
      <w:pPr>
        <w:keepNext w:val="0"/>
        <w:keepLines w:val="0"/>
        <w:pageBreakBefore w:val="0"/>
        <w:kinsoku/>
        <w:wordWrap w:val="0"/>
        <w:overflowPunct w:val="0"/>
        <w:topLinePunct/>
        <w:autoSpaceDE w:val="0"/>
        <w:autoSpaceDN w:val="0"/>
        <w:bidi w:val="0"/>
        <w:adjustRightInd w:val="0"/>
        <w:snapToGrid w:val="0"/>
        <w:spacing w:line="360" w:lineRule="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3、未按上述要求提供、填写的，评审时不予以考虑。</w:t>
      </w:r>
    </w:p>
    <w:p>
      <w:pPr>
        <w:keepNext w:val="0"/>
        <w:keepLines w:val="0"/>
        <w:pageBreakBefore w:val="0"/>
        <w:kinsoku/>
        <w:wordWrap w:val="0"/>
        <w:overflowPunct w:val="0"/>
        <w:topLinePunct/>
        <w:autoSpaceDE w:val="0"/>
        <w:autoSpaceDN w:val="0"/>
        <w:bidi w:val="0"/>
        <w:spacing w:line="12796" w:lineRule="exact"/>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5009515" cy="6753860"/>
            <wp:effectExtent l="0" t="0" r="635" b="889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7"/>
                    <a:stretch>
                      <a:fillRect/>
                    </a:stretch>
                  </pic:blipFill>
                  <pic:spPr>
                    <a:xfrm>
                      <a:off x="0" y="0"/>
                      <a:ext cx="5009515" cy="6753860"/>
                    </a:xfrm>
                    <a:prstGeom prst="rect">
                      <a:avLst/>
                    </a:prstGeom>
                  </pic:spPr>
                </pic:pic>
              </a:graphicData>
            </a:graphic>
          </wp:inline>
        </w:drawing>
      </w: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footerReference r:id="rId21" w:type="default"/>
          <w:pgSz w:w="11909" w:h="16834"/>
          <w:pgMar w:top="1440" w:right="1080" w:bottom="1440" w:left="1080" w:header="0" w:footer="1589" w:gutter="0"/>
          <w:pgNumType w:fmt="decimal"/>
          <w:cols w:space="720" w:num="1"/>
        </w:sectPr>
      </w:pPr>
    </w:p>
    <w:p>
      <w:pPr>
        <w:keepNext w:val="0"/>
        <w:keepLines w:val="0"/>
        <w:pageBreakBefore w:val="0"/>
        <w:kinsoku/>
        <w:wordWrap w:val="0"/>
        <w:overflowPunct w:val="0"/>
        <w:topLinePunct/>
        <w:autoSpaceDE w:val="0"/>
        <w:autoSpaceDN w:val="0"/>
        <w:bidi w:val="0"/>
        <w:spacing w:line="281"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10828" w:lineRule="exact"/>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5010785" cy="6400165"/>
            <wp:effectExtent l="0" t="0" r="18415" b="63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8"/>
                    <a:stretch>
                      <a:fillRect/>
                    </a:stretch>
                  </pic:blipFill>
                  <pic:spPr>
                    <a:xfrm>
                      <a:off x="0" y="0"/>
                      <a:ext cx="5010785" cy="6400165"/>
                    </a:xfrm>
                    <a:prstGeom prst="rect">
                      <a:avLst/>
                    </a:prstGeom>
                  </pic:spPr>
                </pic:pic>
              </a:graphicData>
            </a:graphic>
          </wp:inline>
        </w:drawing>
      </w:r>
    </w:p>
    <w:p>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footerReference r:id="rId22" w:type="default"/>
          <w:pgSz w:w="11909" w:h="16834"/>
          <w:pgMar w:top="1440" w:right="1080" w:bottom="1440" w:left="1080" w:header="0" w:footer="1589" w:gutter="0"/>
          <w:pgNumType w:fmt="decimal"/>
          <w:cols w:space="720" w:num="1"/>
        </w:sectPr>
      </w:pPr>
    </w:p>
    <w:p>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bookmarkStart w:id="121" w:name="_Toc9895"/>
      <w:r>
        <w:rPr>
          <w:rFonts w:hint="eastAsia" w:ascii="宋体" w:hAnsi="宋体" w:eastAsia="宋体" w:cs="宋体"/>
          <w:b/>
          <w:bCs/>
          <w:color w:val="auto"/>
          <w:sz w:val="30"/>
          <w:szCs w:val="30"/>
          <w:highlight w:val="none"/>
          <w:lang w:val="en-US" w:eastAsia="zh-CN"/>
        </w:rPr>
        <w:t>4、残疾人福利企业声明函</w:t>
      </w:r>
      <w:bookmarkEnd w:id="121"/>
    </w:p>
    <w:p>
      <w:pPr>
        <w:keepNext w:val="0"/>
        <w:keepLines w:val="0"/>
        <w:pageBreakBefore w:val="0"/>
        <w:kinsoku/>
        <w:wordWrap w:val="0"/>
        <w:overflowPunct w:val="0"/>
        <w:topLinePunct/>
        <w:autoSpaceDE w:val="0"/>
        <w:autoSpaceDN w:val="0"/>
        <w:bidi w:val="0"/>
        <w:spacing w:line="265"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8" w:line="359"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本单位郑重声明</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rPr>
        <w:t>根据《财政部民政部中国残疾人联合会关于促进残疾人就业政府采购政策的通知》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财库(2017〔141〕号)的规定， 本单位为符合该文件之规定条件</w:t>
      </w:r>
      <w:r>
        <w:rPr>
          <w:rFonts w:hint="eastAsia" w:ascii="宋体" w:hAnsi="宋体" w:eastAsia="宋体" w:cs="宋体"/>
          <w:color w:val="auto"/>
          <w:sz w:val="21"/>
          <w:szCs w:val="21"/>
          <w:highlight w:val="none"/>
        </w:rPr>
        <w:t xml:space="preserve">的残疾人福利性单位， 参加本次政府 </w:t>
      </w:r>
      <w:r>
        <w:rPr>
          <w:rFonts w:hint="eastAsia" w:ascii="宋体" w:hAnsi="宋体" w:eastAsia="宋体" w:cs="宋体"/>
          <w:color w:val="auto"/>
          <w:spacing w:val="-2"/>
          <w:sz w:val="21"/>
          <w:szCs w:val="21"/>
          <w:highlight w:val="none"/>
        </w:rPr>
        <w:t>采购活动提供本单位制造的货物， 或者提供</w:t>
      </w:r>
      <w:r>
        <w:rPr>
          <w:rFonts w:hint="eastAsia" w:ascii="宋体" w:hAnsi="宋体" w:eastAsia="宋体" w:cs="宋体"/>
          <w:color w:val="auto"/>
          <w:spacing w:val="-2"/>
          <w:sz w:val="21"/>
          <w:szCs w:val="21"/>
          <w:highlight w:val="none"/>
          <w:u w:val="single" w:color="auto"/>
        </w:rPr>
        <w:t xml:space="preserve"> (其他</w:t>
      </w:r>
      <w:r>
        <w:rPr>
          <w:rFonts w:hint="eastAsia" w:ascii="宋体" w:hAnsi="宋体" w:eastAsia="宋体" w:cs="宋体"/>
          <w:color w:val="auto"/>
          <w:spacing w:val="-1"/>
          <w:sz w:val="21"/>
          <w:szCs w:val="21"/>
          <w:highlight w:val="none"/>
          <w:u w:val="single" w:color="auto"/>
        </w:rPr>
        <w:t xml:space="preserve">残疾人福利性单位名称) </w:t>
      </w:r>
      <w:r>
        <w:rPr>
          <w:rFonts w:hint="eastAsia" w:ascii="宋体" w:hAnsi="宋体" w:eastAsia="宋体" w:cs="宋体"/>
          <w:color w:val="auto"/>
          <w:spacing w:val="-1"/>
          <w:sz w:val="21"/>
          <w:szCs w:val="21"/>
          <w:highlight w:val="none"/>
        </w:rPr>
        <w:t>制造的货物(不包括使用非</w:t>
      </w:r>
    </w:p>
    <w:p>
      <w:pPr>
        <w:keepNext w:val="0"/>
        <w:keepLines w:val="0"/>
        <w:pageBreakBefore w:val="0"/>
        <w:kinsoku/>
        <w:wordWrap w:val="0"/>
        <w:overflowPunct w:val="0"/>
        <w:topLinePunct/>
        <w:autoSpaceDE w:val="0"/>
        <w:autoSpaceDN w:val="0"/>
        <w:bidi w:val="0"/>
        <w:spacing w:line="367" w:lineRule="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残疾人福利性单位注册商标的货物) 。货物的名称品牌型号是</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z w:val="21"/>
          <w:szCs w:val="21"/>
          <w:highlight w:val="none"/>
        </w:rPr>
        <w:t>。</w:t>
      </w:r>
    </w:p>
    <w:p>
      <w:pPr>
        <w:keepNext w:val="0"/>
        <w:keepLines w:val="0"/>
        <w:pageBreakBefore w:val="0"/>
        <w:kinsoku/>
        <w:wordWrap w:val="0"/>
        <w:overflowPunct w:val="0"/>
        <w:topLinePunct/>
        <w:autoSpaceDE w:val="0"/>
        <w:autoSpaceDN w:val="0"/>
        <w:bidi w:val="0"/>
        <w:spacing w:line="224" w:lineRule="auto"/>
        <w:ind w:left="4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本单位对上述声明的真实性负责。如有虚假</w:t>
      </w:r>
      <w:r>
        <w:rPr>
          <w:rFonts w:hint="eastAsia" w:ascii="宋体" w:hAnsi="宋体" w:eastAsia="宋体" w:cs="宋体"/>
          <w:color w:val="auto"/>
          <w:spacing w:val="1"/>
          <w:sz w:val="21"/>
          <w:szCs w:val="21"/>
          <w:highlight w:val="none"/>
        </w:rPr>
        <w:t>，将承担相应的法律责任。</w:t>
      </w: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8"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8" w:line="404" w:lineRule="exact"/>
        <w:ind w:left="2945"/>
        <w:rPr>
          <w:rFonts w:hint="eastAsia" w:ascii="宋体" w:hAnsi="宋体" w:eastAsia="宋体" w:cs="宋体"/>
          <w:color w:val="auto"/>
          <w:sz w:val="21"/>
          <w:szCs w:val="21"/>
          <w:highlight w:val="none"/>
        </w:rPr>
      </w:pPr>
      <w:r>
        <w:rPr>
          <w:rFonts w:hint="eastAsia" w:ascii="宋体" w:hAnsi="宋体" w:eastAsia="宋体" w:cs="宋体"/>
          <w:color w:val="auto"/>
          <w:spacing w:val="27"/>
          <w:position w:val="14"/>
          <w:sz w:val="21"/>
          <w:szCs w:val="21"/>
          <w:highlight w:val="none"/>
        </w:rPr>
        <w:t>企</w:t>
      </w:r>
      <w:r>
        <w:rPr>
          <w:rFonts w:hint="eastAsia" w:ascii="宋体" w:hAnsi="宋体" w:eastAsia="宋体" w:cs="宋体"/>
          <w:color w:val="auto"/>
          <w:spacing w:val="22"/>
          <w:position w:val="14"/>
          <w:sz w:val="21"/>
          <w:szCs w:val="21"/>
          <w:highlight w:val="none"/>
        </w:rPr>
        <w:t>业名称(盖章)：</w:t>
      </w:r>
    </w:p>
    <w:p>
      <w:pPr>
        <w:keepNext w:val="0"/>
        <w:keepLines w:val="0"/>
        <w:pageBreakBefore w:val="0"/>
        <w:kinsoku/>
        <w:wordWrap w:val="0"/>
        <w:overflowPunct w:val="0"/>
        <w:topLinePunct/>
        <w:autoSpaceDE w:val="0"/>
        <w:autoSpaceDN w:val="0"/>
        <w:bidi w:val="0"/>
        <w:spacing w:line="225" w:lineRule="auto"/>
        <w:ind w:left="4248"/>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日</w:t>
      </w:r>
      <w:r>
        <w:rPr>
          <w:rFonts w:hint="eastAsia" w:ascii="宋体" w:hAnsi="宋体" w:eastAsia="宋体" w:cs="宋体"/>
          <w:color w:val="auto"/>
          <w:spacing w:val="-17"/>
          <w:sz w:val="21"/>
          <w:szCs w:val="21"/>
          <w:highlight w:val="none"/>
        </w:rPr>
        <w:t>期：</w:t>
      </w:r>
    </w:p>
    <w:p>
      <w:pPr>
        <w:keepNext w:val="0"/>
        <w:keepLines w:val="0"/>
        <w:pageBreakBefore w:val="0"/>
        <w:kinsoku/>
        <w:wordWrap w:val="0"/>
        <w:overflowPunct w:val="0"/>
        <w:topLinePunct/>
        <w:autoSpaceDE w:val="0"/>
        <w:autoSpaceDN w:val="0"/>
        <w:bidi w:val="0"/>
        <w:spacing w:line="246"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(提醒： 如果供应商不是残疾人福利性单位，则不需要提供《残疾人福利性单位声明函》。否则，因 此导致虚假投标的后果由供应商自行承担。)</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《财政部民政部中国残疾人联合会关于促进残疾人就业政府采购政策的通知》财库(2017〔141〕 号)的规定：</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1.享受政府采购支持政策的残疾人福利性单位应当同时满足以下条件：</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 安置的残疾人占本单位在职职工人数的比例不低于 25% (含 25%) ，并且安置的残疾人人数不少于</w:t>
      </w:r>
      <w:bookmarkStart w:id="122" w:name="_Toc16895"/>
      <w:r>
        <w:rPr>
          <w:rFonts w:hint="eastAsia" w:ascii="宋体" w:hAnsi="宋体" w:eastAsia="宋体" w:cs="宋体"/>
          <w:color w:val="auto"/>
          <w:highlight w:val="none"/>
        </w:rPr>
        <w:t>10 人(含 10 人)；</w:t>
      </w:r>
      <w:bookmarkEnd w:id="122"/>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(2)依法与安置的每位残疾人签订了一年以上(含一年)的劳动合同或服务协议；</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 为安置的每位残疾人按月足额缴纳了基本养老保险、基本医疗保险、失业保险、工伤保险和生育保险等社会保险费；</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 通过银行等金融机构向安置的每位残疾人，按月支付了不低于单位所在区县适用的经省级人民政 府批准的月最低工资标准的工资；</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 提供本单位制造的货物、承担的工程或者服务(以下简称产品)， 或者提供其他残疾人福利性单位制造的货物(不包括使用非残疾人福利性单位注册商标的货物)。</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 中标人为残疾人福利性单位的，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或者其委托的招标代理机构应当随中标、成交结果同时公告其《残疾人福利性单位声明函》，接受社会监督，一旦发现弄虚作假提供虚假信息的，承担相应的法律责任。</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sectPr>
          <w:footerReference r:id="rId23" w:type="default"/>
          <w:pgSz w:w="11909" w:h="16834"/>
          <w:pgMar w:top="1440" w:right="1080" w:bottom="1440" w:left="1080" w:header="0" w:footer="984" w:gutter="0"/>
          <w:pgNumType w:fmt="decimal"/>
          <w:cols w:space="720" w:num="1"/>
        </w:sectPr>
      </w:pPr>
    </w:p>
    <w:p>
      <w:pPr>
        <w:keepNext w:val="0"/>
        <w:keepLines w:val="0"/>
        <w:pageBreakBefore w:val="0"/>
        <w:kinsoku/>
        <w:wordWrap w:val="0"/>
        <w:overflowPunct w:val="0"/>
        <w:topLinePunct/>
        <w:autoSpaceDE w:val="0"/>
        <w:autoSpaceDN w:val="0"/>
        <w:bidi w:val="0"/>
        <w:spacing w:before="49" w:line="222"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4441" w14:cap="flat" w14:cmpd="sng">
            <w14:solidFill>
              <w14:srgbClr w14:val="000000"/>
            </w14:solidFill>
            <w14:prstDash w14:val="solid"/>
            <w14:miter w14:val="0"/>
          </w14:textOutline>
        </w:rPr>
        <w:t>附</w:t>
      </w:r>
      <w:r>
        <w:rPr>
          <w:rFonts w:hint="eastAsia" w:ascii="宋体" w:hAnsi="宋体" w:eastAsia="宋体" w:cs="宋体"/>
          <w:color w:val="auto"/>
          <w:spacing w:val="-5"/>
          <w:sz w:val="24"/>
          <w:szCs w:val="24"/>
          <w:highlight w:val="none"/>
          <w14:textOutline w14:w="4441" w14:cap="flat" w14:cmpd="sng">
            <w14:solidFill>
              <w14:srgbClr w14:val="000000"/>
            </w14:solidFill>
            <w14:prstDash w14:val="solid"/>
            <w14:miter w14:val="0"/>
          </w14:textOutline>
        </w:rPr>
        <w:t>件</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5"/>
          <w:sz w:val="24"/>
          <w:szCs w:val="24"/>
          <w:highlight w:val="none"/>
          <w14:textOutline w14:w="4441" w14:cap="flat" w14:cmpd="sng">
            <w14:solidFill>
              <w14:srgbClr w14:val="000000"/>
            </w14:solidFill>
            <w14:prstDash w14:val="solid"/>
            <w14:miter w14:val="0"/>
          </w14:textOutline>
        </w:rPr>
        <w:t>：</w:t>
      </w:r>
    </w:p>
    <w:p>
      <w:pPr>
        <w:keepNext w:val="0"/>
        <w:keepLines w:val="0"/>
        <w:pageBreakBefore w:val="0"/>
        <w:kinsoku/>
        <w:wordWrap w:val="0"/>
        <w:overflowPunct w:val="0"/>
        <w:topLinePunct/>
        <w:autoSpaceDE w:val="0"/>
        <w:autoSpaceDN w:val="0"/>
        <w:bidi w:val="0"/>
        <w:spacing w:before="153" w:line="222" w:lineRule="auto"/>
        <w:ind w:left="2036"/>
        <w:outlineLvl w:val="0"/>
        <w:rPr>
          <w:rFonts w:hint="eastAsia" w:ascii="宋体" w:hAnsi="宋体" w:eastAsia="宋体" w:cs="宋体"/>
          <w:color w:val="auto"/>
          <w:sz w:val="31"/>
          <w:szCs w:val="31"/>
          <w:highlight w:val="none"/>
        </w:rPr>
      </w:pPr>
      <w:bookmarkStart w:id="123" w:name="_Toc3745"/>
      <w:bookmarkStart w:id="124" w:name="_Toc2971"/>
      <w:r>
        <w:rPr>
          <w:rFonts w:hint="eastAsia" w:ascii="宋体" w:hAnsi="宋体" w:eastAsia="宋体" w:cs="宋体"/>
          <w:color w:val="auto"/>
          <w:spacing w:val="21"/>
          <w:sz w:val="31"/>
          <w:szCs w:val="31"/>
          <w:highlight w:val="none"/>
          <w14:textOutline w14:w="5756" w14:cap="flat" w14:cmpd="sng">
            <w14:solidFill>
              <w14:srgbClr w14:val="000000"/>
            </w14:solidFill>
            <w14:prstDash w14:val="solid"/>
            <w14:miter w14:val="0"/>
          </w14:textOutline>
        </w:rPr>
        <w:t>河</w:t>
      </w:r>
      <w:r>
        <w:rPr>
          <w:rFonts w:hint="eastAsia" w:ascii="宋体" w:hAnsi="宋体" w:eastAsia="宋体" w:cs="宋体"/>
          <w:color w:val="auto"/>
          <w:spacing w:val="20"/>
          <w:sz w:val="31"/>
          <w:szCs w:val="31"/>
          <w:highlight w:val="none"/>
          <w14:textOutline w14:w="5756" w14:cap="flat" w14:cmpd="sng">
            <w14:solidFill>
              <w14:srgbClr w14:val="000000"/>
            </w14:solidFill>
            <w14:prstDash w14:val="solid"/>
            <w14:miter w14:val="0"/>
          </w14:textOutline>
        </w:rPr>
        <w:t>南省政府采购合同融资政策告知函</w:t>
      </w:r>
      <w:bookmarkEnd w:id="123"/>
      <w:bookmarkEnd w:id="124"/>
    </w:p>
    <w:p>
      <w:pPr>
        <w:keepNext w:val="0"/>
        <w:keepLines w:val="0"/>
        <w:pageBreakBefore w:val="0"/>
        <w:kinsoku/>
        <w:wordWrap w:val="0"/>
        <w:overflowPunct w:val="0"/>
        <w:topLinePunct/>
        <w:autoSpaceDE w:val="0"/>
        <w:autoSpaceDN w:val="0"/>
        <w:bidi w:val="0"/>
        <w:spacing w:before="30" w:line="224" w:lineRule="auto"/>
        <w:ind w:left="3715"/>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(无需附入投标文件内</w:t>
      </w:r>
      <w:r>
        <w:rPr>
          <w:rFonts w:hint="eastAsia" w:ascii="宋体" w:hAnsi="宋体" w:eastAsia="宋体" w:cs="宋体"/>
          <w:color w:val="auto"/>
          <w:spacing w:val="11"/>
          <w:sz w:val="21"/>
          <w:szCs w:val="21"/>
          <w:highlight w:val="none"/>
        </w:rPr>
        <w:t>)</w:t>
      </w:r>
    </w:p>
    <w:p>
      <w:pPr>
        <w:keepNext w:val="0"/>
        <w:keepLines w:val="0"/>
        <w:pageBreakBefore w:val="0"/>
        <w:kinsoku/>
        <w:wordWrap w:val="0"/>
        <w:overflowPunct w:val="0"/>
        <w:topLinePunct/>
        <w:autoSpaceDE w:val="0"/>
        <w:autoSpaceDN w:val="0"/>
        <w:bidi w:val="0"/>
        <w:spacing w:line="423" w:lineRule="auto"/>
        <w:rPr>
          <w:rFonts w:hint="eastAsia" w:ascii="宋体" w:hAnsi="宋体" w:eastAsia="宋体" w:cs="宋体"/>
          <w:color w:val="auto"/>
          <w:sz w:val="21"/>
          <w:highlight w:val="none"/>
        </w:rPr>
      </w:pPr>
    </w:p>
    <w:p>
      <w:pPr>
        <w:keepNext w:val="0"/>
        <w:keepLines w:val="0"/>
        <w:pageBreakBefore w:val="0"/>
        <w:kinsoku/>
        <w:wordWrap w:val="0"/>
        <w:overflowPunct w:val="0"/>
        <w:topLinePunct/>
        <w:autoSpaceDE w:val="0"/>
        <w:autoSpaceDN w:val="0"/>
        <w:bidi w:val="0"/>
        <w:spacing w:before="68" w:line="224" w:lineRule="auto"/>
        <w:ind w:left="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各</w:t>
      </w:r>
      <w:r>
        <w:rPr>
          <w:rFonts w:hint="eastAsia" w:ascii="宋体" w:hAnsi="宋体" w:eastAsia="宋体" w:cs="宋体"/>
          <w:color w:val="auto"/>
          <w:spacing w:val="-5"/>
          <w:sz w:val="21"/>
          <w:szCs w:val="21"/>
          <w:highlight w:val="none"/>
        </w:rPr>
        <w:t>供应商：</w:t>
      </w:r>
    </w:p>
    <w:p>
      <w:pPr>
        <w:keepNext w:val="0"/>
        <w:keepLines w:val="0"/>
        <w:pageBreakBefore w:val="0"/>
        <w:kinsoku/>
        <w:wordWrap w:val="0"/>
        <w:overflowPunct w:val="0"/>
        <w:topLinePunct/>
        <w:autoSpaceDE w:val="0"/>
        <w:autoSpaceDN w:val="0"/>
        <w:bidi w:val="0"/>
        <w:spacing w:before="293" w:line="224" w:lineRule="auto"/>
        <w:ind w:left="41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欢迎贵公司参与河南省政府采购活动</w:t>
      </w:r>
      <w:r>
        <w:rPr>
          <w:rFonts w:hint="eastAsia" w:ascii="宋体" w:hAnsi="宋体" w:eastAsia="宋体" w:cs="宋体"/>
          <w:color w:val="auto"/>
          <w:spacing w:val="2"/>
          <w:sz w:val="21"/>
          <w:szCs w:val="21"/>
          <w:highlight w:val="none"/>
        </w:rPr>
        <w:t>！</w:t>
      </w:r>
    </w:p>
    <w:p>
      <w:pPr>
        <w:keepNext w:val="0"/>
        <w:keepLines w:val="0"/>
        <w:pageBreakBefore w:val="0"/>
        <w:tabs>
          <w:tab w:val="left" w:pos="113"/>
        </w:tabs>
        <w:kinsoku/>
        <w:wordWrap w:val="0"/>
        <w:overflowPunct w:val="0"/>
        <w:topLinePunct/>
        <w:autoSpaceDE w:val="0"/>
        <w:autoSpaceDN w:val="0"/>
        <w:bidi w:val="0"/>
        <w:spacing w:before="281" w:line="481" w:lineRule="auto"/>
        <w:ind w:left="6" w:firstLine="4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政府采购合同融资是河南省财政厅支持中</w:t>
      </w:r>
      <w:r>
        <w:rPr>
          <w:rFonts w:hint="eastAsia" w:ascii="宋体" w:hAnsi="宋体" w:eastAsia="宋体" w:cs="宋体"/>
          <w:color w:val="auto"/>
          <w:sz w:val="21"/>
          <w:szCs w:val="21"/>
          <w:highlight w:val="none"/>
        </w:rPr>
        <w:t>小微企业发展，针对参与政府采购活动的供应商融资难、</w:t>
      </w:r>
      <w:r>
        <w:rPr>
          <w:rFonts w:hint="eastAsia" w:ascii="宋体" w:hAnsi="宋体" w:eastAsia="宋体" w:cs="宋体"/>
          <w:color w:val="auto"/>
          <w:spacing w:val="-2"/>
          <w:sz w:val="21"/>
          <w:szCs w:val="21"/>
          <w:highlight w:val="none"/>
        </w:rPr>
        <w:t>融资贵问题推出的一项融资政策。贵公司若成为本次政府采购项目的中标成</w:t>
      </w:r>
      <w:r>
        <w:rPr>
          <w:rFonts w:hint="eastAsia" w:ascii="宋体" w:hAnsi="宋体" w:eastAsia="宋体" w:cs="宋体"/>
          <w:color w:val="auto"/>
          <w:spacing w:val="-1"/>
          <w:sz w:val="21"/>
          <w:szCs w:val="21"/>
          <w:highlight w:val="none"/>
        </w:rPr>
        <w:t>交供应商，可持政府采购合</w:t>
      </w:r>
      <w:r>
        <w:rPr>
          <w:rFonts w:hint="eastAsia" w:ascii="宋体" w:hAnsi="宋体" w:eastAsia="宋体" w:cs="宋体"/>
          <w:color w:val="auto"/>
          <w:spacing w:val="-3"/>
          <w:sz w:val="21"/>
          <w:szCs w:val="21"/>
          <w:highlight w:val="none"/>
        </w:rPr>
        <w:t>同</w:t>
      </w:r>
      <w:r>
        <w:rPr>
          <w:rFonts w:hint="eastAsia" w:ascii="宋体" w:hAnsi="宋体" w:eastAsia="宋体" w:cs="宋体"/>
          <w:color w:val="auto"/>
          <w:spacing w:val="-2"/>
          <w:sz w:val="21"/>
          <w:szCs w:val="21"/>
          <w:highlight w:val="none"/>
        </w:rPr>
        <w:t>向金融机构申请贷款，无需抵押、担保，融资机构将根据《河南省政府采购合同融资工作实施方案》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(豫财购〔2017〕10 号)，按照双方自愿的原则</w:t>
      </w:r>
      <w:r>
        <w:rPr>
          <w:rFonts w:hint="eastAsia" w:ascii="宋体" w:hAnsi="宋体" w:eastAsia="宋体" w:cs="宋体"/>
          <w:color w:val="auto"/>
          <w:sz w:val="21"/>
          <w:szCs w:val="21"/>
          <w:highlight w:val="none"/>
        </w:rPr>
        <w:t>提供便捷、优惠的贷款服务。</w:t>
      </w:r>
    </w:p>
    <w:p>
      <w:pPr>
        <w:keepNext w:val="0"/>
        <w:keepLines w:val="0"/>
        <w:pageBreakBefore w:val="0"/>
        <w:kinsoku/>
        <w:wordWrap w:val="0"/>
        <w:overflowPunct w:val="0"/>
        <w:topLinePunct/>
        <w:autoSpaceDE w:val="0"/>
        <w:autoSpaceDN w:val="0"/>
        <w:bidi w:val="0"/>
        <w:spacing w:line="484" w:lineRule="auto"/>
        <w:ind w:left="5" w:right="104" w:firstLine="41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贷款渠</w:t>
      </w:r>
      <w:r>
        <w:rPr>
          <w:rFonts w:hint="eastAsia" w:ascii="宋体" w:hAnsi="宋体" w:eastAsia="宋体" w:cs="宋体"/>
          <w:color w:val="auto"/>
          <w:spacing w:val="-4"/>
          <w:sz w:val="21"/>
          <w:szCs w:val="21"/>
          <w:highlight w:val="none"/>
        </w:rPr>
        <w:t>道和提供贷款的金融机构，可在河南省政府采购网“河南省政府采购合同融资平台”查询联</w:t>
      </w:r>
      <w:r>
        <w:rPr>
          <w:rFonts w:hint="eastAsia" w:ascii="宋体" w:hAnsi="宋体" w:eastAsia="宋体" w:cs="宋体"/>
          <w:color w:val="auto"/>
          <w:spacing w:val="-2"/>
          <w:sz w:val="21"/>
          <w:szCs w:val="21"/>
          <w:highlight w:val="none"/>
        </w:rPr>
        <w:t>系。政策解读网址：</w:t>
      </w:r>
      <w:r>
        <w:rPr>
          <w:rFonts w:hint="eastAsia" w:ascii="宋体" w:hAnsi="宋体" w:eastAsia="宋体" w:cs="宋体"/>
          <w:color w:val="auto"/>
          <w:spacing w:val="-1"/>
          <w:sz w:val="21"/>
          <w:szCs w:val="21"/>
          <w:highlight w:val="none"/>
        </w:rPr>
        <w:t>http</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
          <w:sz w:val="21"/>
          <w:szCs w:val="21"/>
          <w:highlight w:val="none"/>
        </w:rPr>
        <w:t>www</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
          <w:sz w:val="21"/>
          <w:szCs w:val="21"/>
          <w:highlight w:val="none"/>
        </w:rPr>
        <w:t>hngp.gov.cn/henan/content?infoId=1601449567470800&amp;channelCod</w:t>
      </w:r>
      <w:r>
        <w:rPr>
          <w:rFonts w:hint="eastAsia" w:ascii="宋体" w:hAnsi="宋体" w:eastAsia="宋体" w:cs="宋体"/>
          <w:color w:val="auto"/>
          <w:sz w:val="21"/>
          <w:szCs w:val="21"/>
          <w:highlight w:val="none"/>
        </w:rPr>
        <w:t>e</w:t>
      </w:r>
      <w:r>
        <w:rPr>
          <w:rFonts w:hint="eastAsia" w:ascii="宋体" w:hAnsi="宋体" w:eastAsia="宋体" w:cs="宋体"/>
          <w:color w:val="auto"/>
          <w:spacing w:val="7"/>
          <w:sz w:val="21"/>
          <w:szCs w:val="21"/>
          <w:highlight w:val="none"/>
        </w:rPr>
        <w:t>=</w:t>
      </w:r>
      <w:r>
        <w:rPr>
          <w:rFonts w:hint="eastAsia" w:ascii="宋体" w:hAnsi="宋体" w:eastAsia="宋体" w:cs="宋体"/>
          <w:color w:val="auto"/>
          <w:sz w:val="21"/>
          <w:szCs w:val="21"/>
          <w:highlight w:val="none"/>
        </w:rPr>
        <w:t>H</w:t>
      </w:r>
      <w:r>
        <w:rPr>
          <w:rFonts w:hint="eastAsia" w:ascii="宋体" w:hAnsi="宋体" w:eastAsia="宋体" w:cs="宋体"/>
          <w:color w:val="auto"/>
          <w:spacing w:val="7"/>
          <w:sz w:val="21"/>
          <w:szCs w:val="21"/>
          <w:highlight w:val="none"/>
        </w:rPr>
        <w:t>6016</w:t>
      </w:r>
    </w:p>
    <w:p>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注：1.此项仅为告知，无须附到投标文件中。</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2.预进行合同融资的，在签订合同时，供应商的合同账号需为合同融资行指定的账户和账号。</w:t>
      </w:r>
    </w:p>
    <w:p>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3.预进行合同融资的，请提醒采购人在合同备案时，将备案系统中供应商默认账号修改后合同融资 行指定的账户和账号，然后再提交合同备案。</w:t>
      </w:r>
    </w:p>
    <w:p>
      <w:pPr>
        <w:keepNext w:val="0"/>
        <w:keepLines w:val="0"/>
        <w:pageBreakBefore w:val="0"/>
        <w:kinsoku/>
        <w:wordWrap w:val="0"/>
        <w:overflowPunct w:val="0"/>
        <w:topLinePunct/>
        <w:autoSpaceDE w:val="0"/>
        <w:autoSpaceDN w:val="0"/>
        <w:bidi w:val="0"/>
        <w:spacing w:before="80" w:line="485" w:lineRule="auto"/>
        <w:ind w:right="133" w:firstLine="42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我县合</w:t>
      </w:r>
      <w:r>
        <w:rPr>
          <w:rFonts w:hint="eastAsia" w:ascii="宋体" w:hAnsi="宋体" w:eastAsia="宋体" w:cs="宋体"/>
          <w:color w:val="auto"/>
          <w:spacing w:val="-6"/>
          <w:sz w:val="21"/>
          <w:szCs w:val="21"/>
          <w:highlight w:val="none"/>
        </w:rPr>
        <w:t>作</w:t>
      </w:r>
      <w:r>
        <w:rPr>
          <w:rFonts w:hint="eastAsia" w:ascii="宋体" w:hAnsi="宋体" w:eastAsia="宋体" w:cs="宋体"/>
          <w:color w:val="auto"/>
          <w:spacing w:val="-4"/>
          <w:sz w:val="21"/>
          <w:szCs w:val="21"/>
          <w:highlight w:val="none"/>
        </w:rPr>
        <w:t>融资平台为 1、中原银行固始支行，联系人： 吴宵 联系方式： 13526070966；2、中国农</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业银行固始县支</w:t>
      </w:r>
      <w:r>
        <w:rPr>
          <w:rFonts w:hint="eastAsia" w:ascii="宋体" w:hAnsi="宋体" w:eastAsia="宋体" w:cs="宋体"/>
          <w:color w:val="auto"/>
          <w:spacing w:val="-5"/>
          <w:sz w:val="21"/>
          <w:szCs w:val="21"/>
          <w:highlight w:val="none"/>
        </w:rPr>
        <w:t>行</w:t>
      </w:r>
      <w:r>
        <w:rPr>
          <w:rFonts w:hint="eastAsia" w:ascii="宋体" w:hAnsi="宋体" w:eastAsia="宋体" w:cs="宋体"/>
          <w:color w:val="auto"/>
          <w:spacing w:val="-4"/>
          <w:sz w:val="21"/>
          <w:szCs w:val="21"/>
          <w:highlight w:val="none"/>
        </w:rPr>
        <w:t>， 联系人：姚玉烛 联系方式： 18037601233。</w:t>
      </w:r>
    </w:p>
    <w:sectPr>
      <w:footerReference r:id="rId24" w:type="default"/>
      <w:pgSz w:w="11909" w:h="16834"/>
      <w:pgMar w:top="1440" w:right="1080" w:bottom="1440" w:left="1080" w:header="0" w:footer="98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2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3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3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7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3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6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6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6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1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8" w:lineRule="auto"/>
      <w:rPr>
        <w:rFonts w:ascii="Arial"/>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p>
    <w:pPr>
      <w:spacing w:before="81" w:line="189" w:lineRule="auto"/>
      <w:ind w:left="7006"/>
      <w:rPr>
        <w:rFonts w:ascii="Times New Roman" w:hAnsi="Times New Roman" w:eastAsia="Times New Roman" w:cs="Times New Roman"/>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8" w:lineRule="auto"/>
      <w:rPr>
        <w:rFonts w:ascii="Arial"/>
        <w:sz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mc:Fallback>
      </mc:AlternateContent>
    </w:r>
  </w:p>
  <w:p>
    <w:pPr>
      <w:spacing w:before="81" w:line="189" w:lineRule="auto"/>
      <w:ind w:left="7006"/>
      <w:rPr>
        <w:rFonts w:ascii="Times New Roman" w:hAnsi="Times New Roman" w:eastAsia="Times New Roman" w:cs="Times New Roman"/>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FDF8E"/>
    <w:multiLevelType w:val="singleLevel"/>
    <w:tmpl w:val="973FDF8E"/>
    <w:lvl w:ilvl="0" w:tentative="0">
      <w:start w:val="5"/>
      <w:numFmt w:val="chineseCounting"/>
      <w:suff w:val="nothing"/>
      <w:lvlText w:val="%1、"/>
      <w:lvlJc w:val="left"/>
      <w:rPr>
        <w:rFonts w:hint="eastAsia"/>
      </w:rPr>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1A2222A2"/>
    <w:multiLevelType w:val="singleLevel"/>
    <w:tmpl w:val="1A2222A2"/>
    <w:lvl w:ilvl="0" w:tentative="0">
      <w:start w:val="1"/>
      <w:numFmt w:val="decimal"/>
      <w:suff w:val="nothing"/>
      <w:lvlText w:val="（%1）"/>
      <w:lvlJc w:val="left"/>
    </w:lvl>
  </w:abstractNum>
  <w:abstractNum w:abstractNumId="3">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4">
    <w:nsid w:val="711A7290"/>
    <w:multiLevelType w:val="singleLevel"/>
    <w:tmpl w:val="711A7290"/>
    <w:lvl w:ilvl="0" w:tentative="0">
      <w:start w:val="9"/>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k5OGUzMjVmNzJlNGMzNmE0OTA2OWYxZTIxNjYxZjcifQ=="/>
  </w:docVars>
  <w:rsids>
    <w:rsidRoot w:val="00000000"/>
    <w:rsid w:val="00066EBC"/>
    <w:rsid w:val="002410F1"/>
    <w:rsid w:val="00443541"/>
    <w:rsid w:val="0049497D"/>
    <w:rsid w:val="004D53C6"/>
    <w:rsid w:val="005260D0"/>
    <w:rsid w:val="007B650D"/>
    <w:rsid w:val="00EE6060"/>
    <w:rsid w:val="011D2710"/>
    <w:rsid w:val="01457570"/>
    <w:rsid w:val="01BF3482"/>
    <w:rsid w:val="02372AF3"/>
    <w:rsid w:val="0241278C"/>
    <w:rsid w:val="024725F3"/>
    <w:rsid w:val="02783976"/>
    <w:rsid w:val="029F53A6"/>
    <w:rsid w:val="02B524D4"/>
    <w:rsid w:val="02BC3862"/>
    <w:rsid w:val="02CE773E"/>
    <w:rsid w:val="033E696D"/>
    <w:rsid w:val="034D095E"/>
    <w:rsid w:val="03B31109"/>
    <w:rsid w:val="03CE0347"/>
    <w:rsid w:val="042C2C6A"/>
    <w:rsid w:val="0449381C"/>
    <w:rsid w:val="04736DDF"/>
    <w:rsid w:val="04DA4474"/>
    <w:rsid w:val="052676B9"/>
    <w:rsid w:val="05410997"/>
    <w:rsid w:val="05445D91"/>
    <w:rsid w:val="05BB6053"/>
    <w:rsid w:val="05FB57F0"/>
    <w:rsid w:val="06410614"/>
    <w:rsid w:val="06426B2D"/>
    <w:rsid w:val="06A46AAA"/>
    <w:rsid w:val="06B87282"/>
    <w:rsid w:val="06CC5B0D"/>
    <w:rsid w:val="06D25D4A"/>
    <w:rsid w:val="06D849E3"/>
    <w:rsid w:val="06E96BF0"/>
    <w:rsid w:val="06F07F7E"/>
    <w:rsid w:val="07040B6B"/>
    <w:rsid w:val="074F5A1D"/>
    <w:rsid w:val="07541319"/>
    <w:rsid w:val="077706A0"/>
    <w:rsid w:val="0777297F"/>
    <w:rsid w:val="07C136C9"/>
    <w:rsid w:val="07D84282"/>
    <w:rsid w:val="081D57F6"/>
    <w:rsid w:val="083245C7"/>
    <w:rsid w:val="08A6123D"/>
    <w:rsid w:val="08D35DAA"/>
    <w:rsid w:val="091268D2"/>
    <w:rsid w:val="0958005D"/>
    <w:rsid w:val="09B72FD5"/>
    <w:rsid w:val="09C32911"/>
    <w:rsid w:val="09EA5159"/>
    <w:rsid w:val="0A176C9A"/>
    <w:rsid w:val="0A254034"/>
    <w:rsid w:val="0A334D52"/>
    <w:rsid w:val="0A6767AA"/>
    <w:rsid w:val="0A692BA5"/>
    <w:rsid w:val="0A8F5D00"/>
    <w:rsid w:val="0ACC0D02"/>
    <w:rsid w:val="0ADD2F10"/>
    <w:rsid w:val="0B0706CB"/>
    <w:rsid w:val="0B2C2FDF"/>
    <w:rsid w:val="0B4D3BF1"/>
    <w:rsid w:val="0B642CE9"/>
    <w:rsid w:val="0B745622"/>
    <w:rsid w:val="0B7E7AA8"/>
    <w:rsid w:val="0BB7550F"/>
    <w:rsid w:val="0C1E10EA"/>
    <w:rsid w:val="0C550884"/>
    <w:rsid w:val="0C57284E"/>
    <w:rsid w:val="0C811679"/>
    <w:rsid w:val="0C8573BB"/>
    <w:rsid w:val="0C996BA8"/>
    <w:rsid w:val="0CB832EC"/>
    <w:rsid w:val="0CC954FA"/>
    <w:rsid w:val="0CDE5006"/>
    <w:rsid w:val="0D0B3D64"/>
    <w:rsid w:val="0D2546FA"/>
    <w:rsid w:val="0D31309F"/>
    <w:rsid w:val="0D4350B1"/>
    <w:rsid w:val="0D444B80"/>
    <w:rsid w:val="0D576FA9"/>
    <w:rsid w:val="0D98311E"/>
    <w:rsid w:val="0E1A287D"/>
    <w:rsid w:val="0E552DBD"/>
    <w:rsid w:val="0E5567B5"/>
    <w:rsid w:val="0E5D18A0"/>
    <w:rsid w:val="0EBD2E3C"/>
    <w:rsid w:val="0F16079E"/>
    <w:rsid w:val="0F242255"/>
    <w:rsid w:val="0F3330FE"/>
    <w:rsid w:val="0FFA07FB"/>
    <w:rsid w:val="10060813"/>
    <w:rsid w:val="1030349B"/>
    <w:rsid w:val="103063C9"/>
    <w:rsid w:val="106D2640"/>
    <w:rsid w:val="10D80401"/>
    <w:rsid w:val="10E91B97"/>
    <w:rsid w:val="110E19A1"/>
    <w:rsid w:val="113C66FE"/>
    <w:rsid w:val="1144666B"/>
    <w:rsid w:val="115F467E"/>
    <w:rsid w:val="121E0096"/>
    <w:rsid w:val="125C6E10"/>
    <w:rsid w:val="12807E56"/>
    <w:rsid w:val="12877022"/>
    <w:rsid w:val="13063CBF"/>
    <w:rsid w:val="131F7875"/>
    <w:rsid w:val="133D415D"/>
    <w:rsid w:val="13504B1D"/>
    <w:rsid w:val="135368F7"/>
    <w:rsid w:val="13653AA2"/>
    <w:rsid w:val="138A3509"/>
    <w:rsid w:val="13906D71"/>
    <w:rsid w:val="13CC3C5E"/>
    <w:rsid w:val="13D3259A"/>
    <w:rsid w:val="13F05A62"/>
    <w:rsid w:val="14253B8C"/>
    <w:rsid w:val="149433CE"/>
    <w:rsid w:val="14F11A91"/>
    <w:rsid w:val="14F2043E"/>
    <w:rsid w:val="154F4A0A"/>
    <w:rsid w:val="15595EBC"/>
    <w:rsid w:val="1573694A"/>
    <w:rsid w:val="15FC65DA"/>
    <w:rsid w:val="161F1B1F"/>
    <w:rsid w:val="164B3423"/>
    <w:rsid w:val="16822ED3"/>
    <w:rsid w:val="168D57EA"/>
    <w:rsid w:val="168F2EB1"/>
    <w:rsid w:val="16A86180"/>
    <w:rsid w:val="16B32D77"/>
    <w:rsid w:val="16BB5874"/>
    <w:rsid w:val="16BF21A1"/>
    <w:rsid w:val="16BF34C9"/>
    <w:rsid w:val="16E94766"/>
    <w:rsid w:val="174A5489"/>
    <w:rsid w:val="175D340E"/>
    <w:rsid w:val="177E548D"/>
    <w:rsid w:val="17805F57"/>
    <w:rsid w:val="17B165B8"/>
    <w:rsid w:val="17DA2BE0"/>
    <w:rsid w:val="182B76DB"/>
    <w:rsid w:val="184A3267"/>
    <w:rsid w:val="18673E19"/>
    <w:rsid w:val="18DA283C"/>
    <w:rsid w:val="190E44EA"/>
    <w:rsid w:val="19603F1C"/>
    <w:rsid w:val="196939B3"/>
    <w:rsid w:val="197651E3"/>
    <w:rsid w:val="19C91CBA"/>
    <w:rsid w:val="19CB02BF"/>
    <w:rsid w:val="19DA74FC"/>
    <w:rsid w:val="19E716B5"/>
    <w:rsid w:val="1A037B71"/>
    <w:rsid w:val="1A0F6EBC"/>
    <w:rsid w:val="1A293A7B"/>
    <w:rsid w:val="1A495ECC"/>
    <w:rsid w:val="1A527B13"/>
    <w:rsid w:val="1A7B48F0"/>
    <w:rsid w:val="1A7F1D1C"/>
    <w:rsid w:val="1AB1581F"/>
    <w:rsid w:val="1AFA71C6"/>
    <w:rsid w:val="1B154000"/>
    <w:rsid w:val="1B1E1106"/>
    <w:rsid w:val="1B524B2B"/>
    <w:rsid w:val="1B5578D5"/>
    <w:rsid w:val="1B83540D"/>
    <w:rsid w:val="1B9B2757"/>
    <w:rsid w:val="1BAA5975"/>
    <w:rsid w:val="1BAB226E"/>
    <w:rsid w:val="1BBD1AAB"/>
    <w:rsid w:val="1C1C6307"/>
    <w:rsid w:val="1C3109C5"/>
    <w:rsid w:val="1C706889"/>
    <w:rsid w:val="1C834305"/>
    <w:rsid w:val="1CCC6940"/>
    <w:rsid w:val="1CE50498"/>
    <w:rsid w:val="1D4A4435"/>
    <w:rsid w:val="1D4A647E"/>
    <w:rsid w:val="1D974374"/>
    <w:rsid w:val="1D994A74"/>
    <w:rsid w:val="1DA16ADD"/>
    <w:rsid w:val="1DA2016E"/>
    <w:rsid w:val="1DC87107"/>
    <w:rsid w:val="1DCF495E"/>
    <w:rsid w:val="1DD0420E"/>
    <w:rsid w:val="1E1467F1"/>
    <w:rsid w:val="1E49223A"/>
    <w:rsid w:val="1E8A252B"/>
    <w:rsid w:val="1EE15C31"/>
    <w:rsid w:val="1EF503D0"/>
    <w:rsid w:val="1FEC17D3"/>
    <w:rsid w:val="1FFE09DE"/>
    <w:rsid w:val="20191E9C"/>
    <w:rsid w:val="206C2914"/>
    <w:rsid w:val="2080016D"/>
    <w:rsid w:val="20A51982"/>
    <w:rsid w:val="20CE712B"/>
    <w:rsid w:val="20E06E5E"/>
    <w:rsid w:val="20EE3329"/>
    <w:rsid w:val="21171278"/>
    <w:rsid w:val="217507A6"/>
    <w:rsid w:val="21C70639"/>
    <w:rsid w:val="21FD15AA"/>
    <w:rsid w:val="2217065D"/>
    <w:rsid w:val="2230171F"/>
    <w:rsid w:val="223E5BEA"/>
    <w:rsid w:val="224376A4"/>
    <w:rsid w:val="226C09A9"/>
    <w:rsid w:val="228A1686"/>
    <w:rsid w:val="228B1745"/>
    <w:rsid w:val="22954D43"/>
    <w:rsid w:val="22BD7457"/>
    <w:rsid w:val="231C1FB2"/>
    <w:rsid w:val="236D7D55"/>
    <w:rsid w:val="23F70746"/>
    <w:rsid w:val="23FA1D3F"/>
    <w:rsid w:val="24163FB5"/>
    <w:rsid w:val="24657E9D"/>
    <w:rsid w:val="24773635"/>
    <w:rsid w:val="24823524"/>
    <w:rsid w:val="24C820E3"/>
    <w:rsid w:val="24C90335"/>
    <w:rsid w:val="24CA19B7"/>
    <w:rsid w:val="24E449CE"/>
    <w:rsid w:val="24FD3B3B"/>
    <w:rsid w:val="251F7F55"/>
    <w:rsid w:val="255319AC"/>
    <w:rsid w:val="257F09F3"/>
    <w:rsid w:val="258D3A08"/>
    <w:rsid w:val="259A61DB"/>
    <w:rsid w:val="25AC75F2"/>
    <w:rsid w:val="25BD151C"/>
    <w:rsid w:val="25BE7601"/>
    <w:rsid w:val="25C44658"/>
    <w:rsid w:val="25CD5C03"/>
    <w:rsid w:val="25FC2044"/>
    <w:rsid w:val="26382CFA"/>
    <w:rsid w:val="264D28A0"/>
    <w:rsid w:val="265C6B68"/>
    <w:rsid w:val="26607C2B"/>
    <w:rsid w:val="26877098"/>
    <w:rsid w:val="26AD333E"/>
    <w:rsid w:val="26B172D2"/>
    <w:rsid w:val="26E054C2"/>
    <w:rsid w:val="27172F07"/>
    <w:rsid w:val="27516E21"/>
    <w:rsid w:val="27693709"/>
    <w:rsid w:val="27AF1460"/>
    <w:rsid w:val="27C055BC"/>
    <w:rsid w:val="28362487"/>
    <w:rsid w:val="287560DE"/>
    <w:rsid w:val="28956780"/>
    <w:rsid w:val="29E76B67"/>
    <w:rsid w:val="29F86FC6"/>
    <w:rsid w:val="2A151926"/>
    <w:rsid w:val="2A48459B"/>
    <w:rsid w:val="2A720B27"/>
    <w:rsid w:val="2A76140C"/>
    <w:rsid w:val="2A956257"/>
    <w:rsid w:val="2AAD392A"/>
    <w:rsid w:val="2B85488A"/>
    <w:rsid w:val="2B9E594C"/>
    <w:rsid w:val="2BA70CA4"/>
    <w:rsid w:val="2C027AA8"/>
    <w:rsid w:val="2C3342E6"/>
    <w:rsid w:val="2C3A1B18"/>
    <w:rsid w:val="2C975494"/>
    <w:rsid w:val="2CC94C4A"/>
    <w:rsid w:val="2CE71061"/>
    <w:rsid w:val="2CF66B55"/>
    <w:rsid w:val="2D045C82"/>
    <w:rsid w:val="2D485B6F"/>
    <w:rsid w:val="2D8824D1"/>
    <w:rsid w:val="2E1819E5"/>
    <w:rsid w:val="2E235240"/>
    <w:rsid w:val="2E277E7A"/>
    <w:rsid w:val="2E2A34C6"/>
    <w:rsid w:val="2E5F7614"/>
    <w:rsid w:val="2E6C44AA"/>
    <w:rsid w:val="2E7A61FC"/>
    <w:rsid w:val="2E7C0E4C"/>
    <w:rsid w:val="2EBF00B3"/>
    <w:rsid w:val="2F0361F1"/>
    <w:rsid w:val="2F5527C5"/>
    <w:rsid w:val="2F73222D"/>
    <w:rsid w:val="2F81180C"/>
    <w:rsid w:val="2F9413A4"/>
    <w:rsid w:val="2F943152"/>
    <w:rsid w:val="2FB15C4D"/>
    <w:rsid w:val="2FB90FA6"/>
    <w:rsid w:val="2FDE6C5E"/>
    <w:rsid w:val="30055F99"/>
    <w:rsid w:val="304171C7"/>
    <w:rsid w:val="304A7E50"/>
    <w:rsid w:val="304E2219"/>
    <w:rsid w:val="30980739"/>
    <w:rsid w:val="30CD1549"/>
    <w:rsid w:val="30D1514D"/>
    <w:rsid w:val="30D50061"/>
    <w:rsid w:val="30E36681"/>
    <w:rsid w:val="30E65DCB"/>
    <w:rsid w:val="313451F6"/>
    <w:rsid w:val="3163566D"/>
    <w:rsid w:val="316633ED"/>
    <w:rsid w:val="31772EC7"/>
    <w:rsid w:val="317F3B29"/>
    <w:rsid w:val="318F1FBE"/>
    <w:rsid w:val="319F3EA5"/>
    <w:rsid w:val="31DE139A"/>
    <w:rsid w:val="31FB58A6"/>
    <w:rsid w:val="31FC4CAA"/>
    <w:rsid w:val="3200110E"/>
    <w:rsid w:val="323106AA"/>
    <w:rsid w:val="324B208A"/>
    <w:rsid w:val="328C22B5"/>
    <w:rsid w:val="3296737C"/>
    <w:rsid w:val="32A606B5"/>
    <w:rsid w:val="32E4633A"/>
    <w:rsid w:val="32FF13C6"/>
    <w:rsid w:val="33092244"/>
    <w:rsid w:val="340C4D7B"/>
    <w:rsid w:val="3430602A"/>
    <w:rsid w:val="34424D74"/>
    <w:rsid w:val="3474193F"/>
    <w:rsid w:val="34784F8C"/>
    <w:rsid w:val="34795E57"/>
    <w:rsid w:val="34A246FE"/>
    <w:rsid w:val="34B47F8E"/>
    <w:rsid w:val="34F85849"/>
    <w:rsid w:val="352913DA"/>
    <w:rsid w:val="358E6D38"/>
    <w:rsid w:val="35A973C7"/>
    <w:rsid w:val="35BE7316"/>
    <w:rsid w:val="35C3492C"/>
    <w:rsid w:val="36436413"/>
    <w:rsid w:val="364A0BAA"/>
    <w:rsid w:val="36811A5E"/>
    <w:rsid w:val="368E7C20"/>
    <w:rsid w:val="36984C27"/>
    <w:rsid w:val="36D466C5"/>
    <w:rsid w:val="36DD37CC"/>
    <w:rsid w:val="36E96615"/>
    <w:rsid w:val="375021F0"/>
    <w:rsid w:val="375F35B5"/>
    <w:rsid w:val="37644EDF"/>
    <w:rsid w:val="37A147F9"/>
    <w:rsid w:val="37C91FA2"/>
    <w:rsid w:val="37CD130A"/>
    <w:rsid w:val="38157F04"/>
    <w:rsid w:val="3836588A"/>
    <w:rsid w:val="3864699E"/>
    <w:rsid w:val="38B90269"/>
    <w:rsid w:val="38BD401B"/>
    <w:rsid w:val="38D64977"/>
    <w:rsid w:val="38DA6126"/>
    <w:rsid w:val="38DB11E0"/>
    <w:rsid w:val="38FE7A29"/>
    <w:rsid w:val="391F41F8"/>
    <w:rsid w:val="393A4F06"/>
    <w:rsid w:val="39A44A75"/>
    <w:rsid w:val="39E44E71"/>
    <w:rsid w:val="39FB2A28"/>
    <w:rsid w:val="3A0D261A"/>
    <w:rsid w:val="3A19468D"/>
    <w:rsid w:val="3A371445"/>
    <w:rsid w:val="3A856654"/>
    <w:rsid w:val="3A8C582C"/>
    <w:rsid w:val="3AFE1F63"/>
    <w:rsid w:val="3B0357CB"/>
    <w:rsid w:val="3B1654FE"/>
    <w:rsid w:val="3B2F5A1E"/>
    <w:rsid w:val="3B392F9B"/>
    <w:rsid w:val="3B73215B"/>
    <w:rsid w:val="3BB23479"/>
    <w:rsid w:val="3BB56AA3"/>
    <w:rsid w:val="3BC812B6"/>
    <w:rsid w:val="3C022953"/>
    <w:rsid w:val="3C0E40B9"/>
    <w:rsid w:val="3C717E98"/>
    <w:rsid w:val="3C834DAB"/>
    <w:rsid w:val="3CCD42E3"/>
    <w:rsid w:val="3CE04016"/>
    <w:rsid w:val="3DAD27CB"/>
    <w:rsid w:val="3DF21912"/>
    <w:rsid w:val="3E612F34"/>
    <w:rsid w:val="3E720C9E"/>
    <w:rsid w:val="3EAB2402"/>
    <w:rsid w:val="3EB72B54"/>
    <w:rsid w:val="3EC040FF"/>
    <w:rsid w:val="3ECA2888"/>
    <w:rsid w:val="3ED90473"/>
    <w:rsid w:val="3EF26282"/>
    <w:rsid w:val="3F4E170B"/>
    <w:rsid w:val="3F9609BC"/>
    <w:rsid w:val="3FBB6674"/>
    <w:rsid w:val="3FE6171A"/>
    <w:rsid w:val="3FF12096"/>
    <w:rsid w:val="40207E13"/>
    <w:rsid w:val="4041301D"/>
    <w:rsid w:val="40572841"/>
    <w:rsid w:val="406E2E94"/>
    <w:rsid w:val="40E53347"/>
    <w:rsid w:val="40E57E4D"/>
    <w:rsid w:val="414F176A"/>
    <w:rsid w:val="41772D04"/>
    <w:rsid w:val="41D659E7"/>
    <w:rsid w:val="41E9396D"/>
    <w:rsid w:val="42637914"/>
    <w:rsid w:val="42640D16"/>
    <w:rsid w:val="42CB1E3D"/>
    <w:rsid w:val="42CE526A"/>
    <w:rsid w:val="43065E58"/>
    <w:rsid w:val="43106CD7"/>
    <w:rsid w:val="432664FB"/>
    <w:rsid w:val="439416B6"/>
    <w:rsid w:val="43B2263F"/>
    <w:rsid w:val="43D441A9"/>
    <w:rsid w:val="43E51F12"/>
    <w:rsid w:val="44254A04"/>
    <w:rsid w:val="443A04B0"/>
    <w:rsid w:val="44CB735A"/>
    <w:rsid w:val="44FE615B"/>
    <w:rsid w:val="45622B78"/>
    <w:rsid w:val="45B8657D"/>
    <w:rsid w:val="45CF69D6"/>
    <w:rsid w:val="45DA518F"/>
    <w:rsid w:val="45F33853"/>
    <w:rsid w:val="45FF375F"/>
    <w:rsid w:val="46BF5619"/>
    <w:rsid w:val="471C20EE"/>
    <w:rsid w:val="477517FF"/>
    <w:rsid w:val="47811F51"/>
    <w:rsid w:val="478F7835"/>
    <w:rsid w:val="47ED3A8B"/>
    <w:rsid w:val="480706A9"/>
    <w:rsid w:val="48691363"/>
    <w:rsid w:val="4874419B"/>
    <w:rsid w:val="487726A7"/>
    <w:rsid w:val="48AE6D76"/>
    <w:rsid w:val="48C765AB"/>
    <w:rsid w:val="48C77E38"/>
    <w:rsid w:val="491F7C74"/>
    <w:rsid w:val="495C4A24"/>
    <w:rsid w:val="49885819"/>
    <w:rsid w:val="49900D47"/>
    <w:rsid w:val="49CD44FC"/>
    <w:rsid w:val="49D02E2F"/>
    <w:rsid w:val="49D0328C"/>
    <w:rsid w:val="49D1357F"/>
    <w:rsid w:val="49F25388"/>
    <w:rsid w:val="4A6E2C61"/>
    <w:rsid w:val="4A755D3D"/>
    <w:rsid w:val="4AD15AD1"/>
    <w:rsid w:val="4B180E1F"/>
    <w:rsid w:val="4B700C5B"/>
    <w:rsid w:val="4B891905"/>
    <w:rsid w:val="4BCF3BD3"/>
    <w:rsid w:val="4BEC465C"/>
    <w:rsid w:val="4C08741E"/>
    <w:rsid w:val="4C0F6FA6"/>
    <w:rsid w:val="4C5C4D3B"/>
    <w:rsid w:val="4C716A38"/>
    <w:rsid w:val="4C735A71"/>
    <w:rsid w:val="4CB330A0"/>
    <w:rsid w:val="4CDE4533"/>
    <w:rsid w:val="4CF5766A"/>
    <w:rsid w:val="4D20220D"/>
    <w:rsid w:val="4D3461FF"/>
    <w:rsid w:val="4D6B16DA"/>
    <w:rsid w:val="4DA40444"/>
    <w:rsid w:val="4DB95DF5"/>
    <w:rsid w:val="4DEE5F80"/>
    <w:rsid w:val="4E2B2C17"/>
    <w:rsid w:val="4E37780E"/>
    <w:rsid w:val="4E5E2364"/>
    <w:rsid w:val="4E766588"/>
    <w:rsid w:val="4E8011B5"/>
    <w:rsid w:val="4EE96D5A"/>
    <w:rsid w:val="4F22160D"/>
    <w:rsid w:val="4F2A1AC0"/>
    <w:rsid w:val="4F54761A"/>
    <w:rsid w:val="4F8B6063"/>
    <w:rsid w:val="4FD5108C"/>
    <w:rsid w:val="4FED4628"/>
    <w:rsid w:val="4FF359B6"/>
    <w:rsid w:val="5038161B"/>
    <w:rsid w:val="50412BC6"/>
    <w:rsid w:val="504D50C7"/>
    <w:rsid w:val="50947B17"/>
    <w:rsid w:val="512C68D8"/>
    <w:rsid w:val="51313B46"/>
    <w:rsid w:val="516E1798"/>
    <w:rsid w:val="51886D51"/>
    <w:rsid w:val="51932FAD"/>
    <w:rsid w:val="51B15582"/>
    <w:rsid w:val="52320D89"/>
    <w:rsid w:val="525C5A95"/>
    <w:rsid w:val="525E180D"/>
    <w:rsid w:val="528943B0"/>
    <w:rsid w:val="52A511EA"/>
    <w:rsid w:val="52B61649"/>
    <w:rsid w:val="52E729D6"/>
    <w:rsid w:val="53130849"/>
    <w:rsid w:val="5334431C"/>
    <w:rsid w:val="533C41C5"/>
    <w:rsid w:val="53866A97"/>
    <w:rsid w:val="53AC3486"/>
    <w:rsid w:val="53B06098"/>
    <w:rsid w:val="53C102A5"/>
    <w:rsid w:val="53CC09F8"/>
    <w:rsid w:val="545571E3"/>
    <w:rsid w:val="546477B5"/>
    <w:rsid w:val="54774E08"/>
    <w:rsid w:val="548412D3"/>
    <w:rsid w:val="548F2152"/>
    <w:rsid w:val="54905ECA"/>
    <w:rsid w:val="54D44008"/>
    <w:rsid w:val="54E620DA"/>
    <w:rsid w:val="550F3292"/>
    <w:rsid w:val="554D5B69"/>
    <w:rsid w:val="55572544"/>
    <w:rsid w:val="5572523E"/>
    <w:rsid w:val="55801A9A"/>
    <w:rsid w:val="56156687"/>
    <w:rsid w:val="56384123"/>
    <w:rsid w:val="56474093"/>
    <w:rsid w:val="56761FDC"/>
    <w:rsid w:val="56794E67"/>
    <w:rsid w:val="569B5C83"/>
    <w:rsid w:val="56CB143B"/>
    <w:rsid w:val="56DC53F6"/>
    <w:rsid w:val="56EB388B"/>
    <w:rsid w:val="57193E63"/>
    <w:rsid w:val="57277599"/>
    <w:rsid w:val="572A43B4"/>
    <w:rsid w:val="57805D82"/>
    <w:rsid w:val="579F099D"/>
    <w:rsid w:val="57EA3B43"/>
    <w:rsid w:val="58105524"/>
    <w:rsid w:val="5855720E"/>
    <w:rsid w:val="58587B8F"/>
    <w:rsid w:val="585F62DF"/>
    <w:rsid w:val="587578B0"/>
    <w:rsid w:val="58975A79"/>
    <w:rsid w:val="58CB127E"/>
    <w:rsid w:val="5903310E"/>
    <w:rsid w:val="5952374E"/>
    <w:rsid w:val="59D51D01"/>
    <w:rsid w:val="5A2450EA"/>
    <w:rsid w:val="5ACC72EC"/>
    <w:rsid w:val="5AD7215D"/>
    <w:rsid w:val="5AE0025B"/>
    <w:rsid w:val="5AE34FA5"/>
    <w:rsid w:val="5AF727FF"/>
    <w:rsid w:val="5B182775"/>
    <w:rsid w:val="5B2D7FCE"/>
    <w:rsid w:val="5B4E356A"/>
    <w:rsid w:val="5B955C1B"/>
    <w:rsid w:val="5BCD355F"/>
    <w:rsid w:val="5BD47CD7"/>
    <w:rsid w:val="5BD82630"/>
    <w:rsid w:val="5BE70AC5"/>
    <w:rsid w:val="5C013209"/>
    <w:rsid w:val="5C180C7F"/>
    <w:rsid w:val="5C480E38"/>
    <w:rsid w:val="5C8307D5"/>
    <w:rsid w:val="5C976FAB"/>
    <w:rsid w:val="5CA442C0"/>
    <w:rsid w:val="5CAD579C"/>
    <w:rsid w:val="5CCC1A69"/>
    <w:rsid w:val="5CD07C61"/>
    <w:rsid w:val="5CE80213"/>
    <w:rsid w:val="5CF73C00"/>
    <w:rsid w:val="5D347D3A"/>
    <w:rsid w:val="5D79574D"/>
    <w:rsid w:val="5DEA21A7"/>
    <w:rsid w:val="5E543AC4"/>
    <w:rsid w:val="5EB32EE1"/>
    <w:rsid w:val="5EDF3CD6"/>
    <w:rsid w:val="5F024610"/>
    <w:rsid w:val="5F1D65AC"/>
    <w:rsid w:val="5F7A57AC"/>
    <w:rsid w:val="600F05EB"/>
    <w:rsid w:val="60175315"/>
    <w:rsid w:val="602816AC"/>
    <w:rsid w:val="6032665A"/>
    <w:rsid w:val="60363647"/>
    <w:rsid w:val="607555C8"/>
    <w:rsid w:val="608C5797"/>
    <w:rsid w:val="609D1752"/>
    <w:rsid w:val="609E371C"/>
    <w:rsid w:val="60BE791B"/>
    <w:rsid w:val="60E025C5"/>
    <w:rsid w:val="611F2AAF"/>
    <w:rsid w:val="61406582"/>
    <w:rsid w:val="617C3C2F"/>
    <w:rsid w:val="619458D9"/>
    <w:rsid w:val="625E3163"/>
    <w:rsid w:val="626B762E"/>
    <w:rsid w:val="627C183B"/>
    <w:rsid w:val="6283706E"/>
    <w:rsid w:val="6287090C"/>
    <w:rsid w:val="62976675"/>
    <w:rsid w:val="62A20EC5"/>
    <w:rsid w:val="62CF7BBD"/>
    <w:rsid w:val="62D160BE"/>
    <w:rsid w:val="62ED5038"/>
    <w:rsid w:val="632F4494"/>
    <w:rsid w:val="635D166D"/>
    <w:rsid w:val="637F7835"/>
    <w:rsid w:val="63EE0517"/>
    <w:rsid w:val="63FF44D2"/>
    <w:rsid w:val="64107E22"/>
    <w:rsid w:val="64520AA6"/>
    <w:rsid w:val="646507D9"/>
    <w:rsid w:val="64660087"/>
    <w:rsid w:val="64813139"/>
    <w:rsid w:val="648B3FB8"/>
    <w:rsid w:val="64AC28AC"/>
    <w:rsid w:val="64C022EF"/>
    <w:rsid w:val="64D140C0"/>
    <w:rsid w:val="65031DA0"/>
    <w:rsid w:val="652341F0"/>
    <w:rsid w:val="65817895"/>
    <w:rsid w:val="65AE61B0"/>
    <w:rsid w:val="65E70377"/>
    <w:rsid w:val="65F016B7"/>
    <w:rsid w:val="662326FA"/>
    <w:rsid w:val="6635242D"/>
    <w:rsid w:val="664F2ADA"/>
    <w:rsid w:val="6678792A"/>
    <w:rsid w:val="669870E7"/>
    <w:rsid w:val="66C57C55"/>
    <w:rsid w:val="66E778EF"/>
    <w:rsid w:val="675E48FC"/>
    <w:rsid w:val="676A13C4"/>
    <w:rsid w:val="67C1041C"/>
    <w:rsid w:val="67C446EC"/>
    <w:rsid w:val="68016A6B"/>
    <w:rsid w:val="68182006"/>
    <w:rsid w:val="68352BB8"/>
    <w:rsid w:val="68550B65"/>
    <w:rsid w:val="686A23AC"/>
    <w:rsid w:val="68923B67"/>
    <w:rsid w:val="68B271EF"/>
    <w:rsid w:val="68F53477"/>
    <w:rsid w:val="691F110C"/>
    <w:rsid w:val="691F26A1"/>
    <w:rsid w:val="69344175"/>
    <w:rsid w:val="69627017"/>
    <w:rsid w:val="69E2467A"/>
    <w:rsid w:val="6A013207"/>
    <w:rsid w:val="6A3550F2"/>
    <w:rsid w:val="6A6A4BA8"/>
    <w:rsid w:val="6A9A31A7"/>
    <w:rsid w:val="6A9F4C18"/>
    <w:rsid w:val="6AA0038E"/>
    <w:rsid w:val="6AAF5B7C"/>
    <w:rsid w:val="6AB73D58"/>
    <w:rsid w:val="6AE4014E"/>
    <w:rsid w:val="6B2F39D3"/>
    <w:rsid w:val="6B403D4E"/>
    <w:rsid w:val="6B7D6346"/>
    <w:rsid w:val="6BD40E09"/>
    <w:rsid w:val="6C0C3C30"/>
    <w:rsid w:val="6C284632"/>
    <w:rsid w:val="6C2D48E4"/>
    <w:rsid w:val="6C7041BF"/>
    <w:rsid w:val="6C727F37"/>
    <w:rsid w:val="6C9B017D"/>
    <w:rsid w:val="6CA544BE"/>
    <w:rsid w:val="6D213550"/>
    <w:rsid w:val="6D50371D"/>
    <w:rsid w:val="6D946D06"/>
    <w:rsid w:val="6DA5433C"/>
    <w:rsid w:val="6E060C3A"/>
    <w:rsid w:val="6E1A0886"/>
    <w:rsid w:val="6E4B0338"/>
    <w:rsid w:val="6E5A5127"/>
    <w:rsid w:val="6E8757F0"/>
    <w:rsid w:val="6EC10D02"/>
    <w:rsid w:val="6EC8515D"/>
    <w:rsid w:val="6ED70525"/>
    <w:rsid w:val="6ED73AD8"/>
    <w:rsid w:val="6EFC7F8C"/>
    <w:rsid w:val="6F173018"/>
    <w:rsid w:val="6F23376B"/>
    <w:rsid w:val="6F4F4560"/>
    <w:rsid w:val="6FAC7C04"/>
    <w:rsid w:val="6FC14D32"/>
    <w:rsid w:val="6FCD3DF1"/>
    <w:rsid w:val="6FDD4ECD"/>
    <w:rsid w:val="6FEE34F5"/>
    <w:rsid w:val="70054FF5"/>
    <w:rsid w:val="702A21AF"/>
    <w:rsid w:val="70651B61"/>
    <w:rsid w:val="708E2E66"/>
    <w:rsid w:val="70F60E79"/>
    <w:rsid w:val="70FE0AB9"/>
    <w:rsid w:val="71155335"/>
    <w:rsid w:val="713E68F1"/>
    <w:rsid w:val="716A38D3"/>
    <w:rsid w:val="71754026"/>
    <w:rsid w:val="71A5490B"/>
    <w:rsid w:val="71A7581C"/>
    <w:rsid w:val="71AF7537"/>
    <w:rsid w:val="71B608C6"/>
    <w:rsid w:val="71CF7BDA"/>
    <w:rsid w:val="71F4639A"/>
    <w:rsid w:val="727B1AB4"/>
    <w:rsid w:val="727F6340"/>
    <w:rsid w:val="72CC5BD6"/>
    <w:rsid w:val="736F3422"/>
    <w:rsid w:val="73700F48"/>
    <w:rsid w:val="73C13552"/>
    <w:rsid w:val="74714F78"/>
    <w:rsid w:val="747E4ADD"/>
    <w:rsid w:val="74A964C0"/>
    <w:rsid w:val="74CE5F27"/>
    <w:rsid w:val="751678CE"/>
    <w:rsid w:val="7533222E"/>
    <w:rsid w:val="7542694E"/>
    <w:rsid w:val="75497CA3"/>
    <w:rsid w:val="759A22AD"/>
    <w:rsid w:val="75C27E53"/>
    <w:rsid w:val="75EF4F07"/>
    <w:rsid w:val="76150B03"/>
    <w:rsid w:val="76320737"/>
    <w:rsid w:val="76397D18"/>
    <w:rsid w:val="766C1E9B"/>
    <w:rsid w:val="76956495"/>
    <w:rsid w:val="769E3797"/>
    <w:rsid w:val="76CF5F86"/>
    <w:rsid w:val="76DB4554"/>
    <w:rsid w:val="76E71411"/>
    <w:rsid w:val="76EA266A"/>
    <w:rsid w:val="77247247"/>
    <w:rsid w:val="7730111A"/>
    <w:rsid w:val="7731279D"/>
    <w:rsid w:val="776112D4"/>
    <w:rsid w:val="777C4360"/>
    <w:rsid w:val="778D031B"/>
    <w:rsid w:val="77A45665"/>
    <w:rsid w:val="77BF5FFA"/>
    <w:rsid w:val="77E43CB3"/>
    <w:rsid w:val="78144598"/>
    <w:rsid w:val="782F3884"/>
    <w:rsid w:val="78397B5B"/>
    <w:rsid w:val="78A551F0"/>
    <w:rsid w:val="78DB50B6"/>
    <w:rsid w:val="78EE46B5"/>
    <w:rsid w:val="78F5007C"/>
    <w:rsid w:val="796B4B28"/>
    <w:rsid w:val="79AB4EB5"/>
    <w:rsid w:val="79DF2984"/>
    <w:rsid w:val="79ED50A1"/>
    <w:rsid w:val="7A2F7467"/>
    <w:rsid w:val="7A3840F3"/>
    <w:rsid w:val="7A590988"/>
    <w:rsid w:val="7A5E4B76"/>
    <w:rsid w:val="7A5F1EB1"/>
    <w:rsid w:val="7AD033D5"/>
    <w:rsid w:val="7B71742F"/>
    <w:rsid w:val="7B937ECA"/>
    <w:rsid w:val="7BA23C69"/>
    <w:rsid w:val="7BEF7644"/>
    <w:rsid w:val="7C217284"/>
    <w:rsid w:val="7C32323F"/>
    <w:rsid w:val="7CBC0D5A"/>
    <w:rsid w:val="7CC3658D"/>
    <w:rsid w:val="7CF21017"/>
    <w:rsid w:val="7CF404F4"/>
    <w:rsid w:val="7D0050EB"/>
    <w:rsid w:val="7D006117"/>
    <w:rsid w:val="7D0C7F34"/>
    <w:rsid w:val="7D172435"/>
    <w:rsid w:val="7D23702C"/>
    <w:rsid w:val="7D3905FD"/>
    <w:rsid w:val="7D764185"/>
    <w:rsid w:val="7D7C7A36"/>
    <w:rsid w:val="7D9836D6"/>
    <w:rsid w:val="7DA912DF"/>
    <w:rsid w:val="7DC4536C"/>
    <w:rsid w:val="7DFC1D56"/>
    <w:rsid w:val="7DFD5ACF"/>
    <w:rsid w:val="7E206D18"/>
    <w:rsid w:val="7E2968C4"/>
    <w:rsid w:val="7E4D25B2"/>
    <w:rsid w:val="7E9E696A"/>
    <w:rsid w:val="7EEB3E21"/>
    <w:rsid w:val="7F190287"/>
    <w:rsid w:val="7F192494"/>
    <w:rsid w:val="7F497A67"/>
    <w:rsid w:val="7F5C2EDD"/>
    <w:rsid w:val="7F5D4A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widowControl/>
      <w:ind w:firstLine="420"/>
      <w:jc w:val="left"/>
    </w:pPr>
    <w:rPr>
      <w:rFonts w:ascii="Times New Roman" w:hAnsi="Times New Roman" w:eastAsia="宋体" w:cs="Times New Roman"/>
      <w:kern w:val="0"/>
      <w:sz w:val="20"/>
      <w:szCs w:val="20"/>
    </w:rPr>
  </w:style>
  <w:style w:type="paragraph" w:styleId="3">
    <w:name w:val="Body Text 2"/>
    <w:basedOn w:val="1"/>
    <w:next w:val="1"/>
    <w:autoRedefine/>
    <w:qFormat/>
    <w:uiPriority w:val="0"/>
    <w:pPr>
      <w:spacing w:after="120" w:line="480" w:lineRule="auto"/>
    </w:pPr>
    <w:rPr>
      <w:rFonts w:ascii="Times New Roman" w:hAnsi="Times New Roman" w:eastAsia="宋体" w:cs="Times New Roman"/>
    </w:rPr>
  </w:style>
  <w:style w:type="paragraph" w:styleId="4">
    <w:name w:val="caption"/>
    <w:basedOn w:val="1"/>
    <w:next w:val="1"/>
    <w:autoRedefine/>
    <w:qFormat/>
    <w:uiPriority w:val="0"/>
    <w:rPr>
      <w:rFonts w:ascii="Cambria" w:hAnsi="Cambria" w:eastAsia="黑体"/>
      <w:sz w:val="20"/>
      <w:szCs w:val="20"/>
    </w:rPr>
  </w:style>
  <w:style w:type="paragraph" w:styleId="5">
    <w:name w:val="Body Text"/>
    <w:basedOn w:val="1"/>
    <w:autoRedefine/>
    <w:qFormat/>
    <w:uiPriority w:val="0"/>
    <w:pPr>
      <w:spacing w:after="120" w:afterLines="0" w:afterAutospacing="0"/>
    </w:pPr>
    <w:rPr>
      <w:sz w:val="21"/>
    </w:rPr>
  </w:style>
  <w:style w:type="paragraph" w:styleId="6">
    <w:name w:val="Body Text Indent"/>
    <w:basedOn w:val="1"/>
    <w:next w:val="7"/>
    <w:autoRedefine/>
    <w:qFormat/>
    <w:uiPriority w:val="0"/>
    <w:pPr>
      <w:spacing w:after="120"/>
      <w:ind w:left="200" w:leftChars="200"/>
    </w:pPr>
  </w:style>
  <w:style w:type="paragraph" w:styleId="7">
    <w:name w:val="envelope return"/>
    <w:basedOn w:val="1"/>
    <w:autoRedefine/>
    <w:qFormat/>
    <w:uiPriority w:val="0"/>
    <w:pPr>
      <w:snapToGrid w:val="0"/>
    </w:pPr>
    <w:rPr>
      <w:rFonts w:ascii="Arial" w:hAnsi="Arial" w:cs="Arial"/>
    </w:rPr>
  </w:style>
  <w:style w:type="paragraph" w:styleId="8">
    <w:name w:val="Block Text"/>
    <w:basedOn w:val="1"/>
    <w:autoRedefine/>
    <w:unhideWhenUsed/>
    <w:qFormat/>
    <w:uiPriority w:val="99"/>
    <w:pPr>
      <w:spacing w:after="120"/>
      <w:ind w:left="1440" w:leftChars="700" w:right="1440" w:rightChars="700"/>
    </w:pPr>
  </w:style>
  <w:style w:type="paragraph" w:styleId="9">
    <w:name w:val="footer"/>
    <w:basedOn w:val="1"/>
    <w:next w:val="10"/>
    <w:autoRedefine/>
    <w:qFormat/>
    <w:uiPriority w:val="0"/>
    <w:pPr>
      <w:tabs>
        <w:tab w:val="center" w:pos="4153"/>
        <w:tab w:val="right" w:pos="8306"/>
      </w:tabs>
      <w:snapToGrid w:val="0"/>
      <w:jc w:val="left"/>
    </w:pPr>
    <w:rPr>
      <w:sz w:val="18"/>
    </w:rPr>
  </w:style>
  <w:style w:type="paragraph" w:styleId="10">
    <w:name w:val="header"/>
    <w:basedOn w:val="1"/>
    <w:next w:val="1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autoRedefine/>
    <w:unhideWhenUsed/>
    <w:qFormat/>
    <w:uiPriority w:val="39"/>
    <w:pPr>
      <w:widowControl/>
      <w:tabs>
        <w:tab w:val="right" w:leader="dot" w:pos="8777"/>
      </w:tabs>
      <w:spacing w:line="360" w:lineRule="auto"/>
      <w:jc w:val="left"/>
    </w:pPr>
    <w:rPr>
      <w:kern w:val="0"/>
      <w:szCs w:val="22"/>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5"/>
    <w:next w:val="1"/>
    <w:autoRedefine/>
    <w:qFormat/>
    <w:uiPriority w:val="0"/>
    <w:pPr>
      <w:ind w:firstLine="420" w:firstLineChars="100"/>
    </w:pPr>
  </w:style>
  <w:style w:type="paragraph" w:styleId="14">
    <w:name w:val="Body Text First Indent 2"/>
    <w:basedOn w:val="6"/>
    <w:next w:val="13"/>
    <w:autoRedefine/>
    <w:qFormat/>
    <w:uiPriority w:val="0"/>
    <w:pPr>
      <w:ind w:firstLine="420" w:firstLineChars="2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autoRedefine/>
    <w:qFormat/>
    <w:uiPriority w:val="0"/>
    <w:rPr>
      <w:color w:val="800080"/>
      <w:u w:val="none"/>
    </w:rPr>
  </w:style>
  <w:style w:type="character" w:styleId="19">
    <w:name w:val="Emphasis"/>
    <w:basedOn w:val="17"/>
    <w:autoRedefine/>
    <w:qFormat/>
    <w:uiPriority w:val="0"/>
  </w:style>
  <w:style w:type="character" w:styleId="20">
    <w:name w:val="HTML Definition"/>
    <w:basedOn w:val="17"/>
    <w:autoRedefine/>
    <w:qFormat/>
    <w:uiPriority w:val="0"/>
  </w:style>
  <w:style w:type="character" w:styleId="21">
    <w:name w:val="HTML Typewriter"/>
    <w:basedOn w:val="17"/>
    <w:autoRedefine/>
    <w:qFormat/>
    <w:uiPriority w:val="0"/>
    <w:rPr>
      <w:rFonts w:hint="default" w:ascii="monospace" w:hAnsi="monospace" w:eastAsia="monospace" w:cs="monospace"/>
      <w:sz w:val="20"/>
    </w:rPr>
  </w:style>
  <w:style w:type="character" w:styleId="22">
    <w:name w:val="HTML Acronym"/>
    <w:basedOn w:val="17"/>
    <w:autoRedefine/>
    <w:qFormat/>
    <w:uiPriority w:val="0"/>
  </w:style>
  <w:style w:type="character" w:styleId="23">
    <w:name w:val="HTML Variable"/>
    <w:basedOn w:val="17"/>
    <w:autoRedefine/>
    <w:qFormat/>
    <w:uiPriority w:val="0"/>
  </w:style>
  <w:style w:type="character" w:styleId="24">
    <w:name w:val="Hyperlink"/>
    <w:basedOn w:val="17"/>
    <w:autoRedefine/>
    <w:qFormat/>
    <w:uiPriority w:val="0"/>
    <w:rPr>
      <w:color w:val="0000FF"/>
      <w:u w:val="none"/>
    </w:rPr>
  </w:style>
  <w:style w:type="character" w:styleId="25">
    <w:name w:val="HTML Code"/>
    <w:basedOn w:val="17"/>
    <w:autoRedefine/>
    <w:qFormat/>
    <w:uiPriority w:val="0"/>
    <w:rPr>
      <w:rFonts w:hint="default" w:ascii="monospace" w:hAnsi="monospace" w:eastAsia="monospace" w:cs="monospace"/>
      <w:sz w:val="20"/>
    </w:rPr>
  </w:style>
  <w:style w:type="character" w:styleId="26">
    <w:name w:val="HTML Cite"/>
    <w:basedOn w:val="17"/>
    <w:autoRedefine/>
    <w:qFormat/>
    <w:uiPriority w:val="0"/>
  </w:style>
  <w:style w:type="character" w:styleId="27">
    <w:name w:val="HTML Keyboard"/>
    <w:basedOn w:val="17"/>
    <w:autoRedefine/>
    <w:qFormat/>
    <w:uiPriority w:val="0"/>
    <w:rPr>
      <w:rFonts w:ascii="monospace" w:hAnsi="monospace" w:eastAsia="monospace" w:cs="monospace"/>
      <w:sz w:val="20"/>
    </w:rPr>
  </w:style>
  <w:style w:type="character" w:styleId="28">
    <w:name w:val="HTML Sample"/>
    <w:basedOn w:val="17"/>
    <w:autoRedefine/>
    <w:qFormat/>
    <w:uiPriority w:val="0"/>
    <w:rPr>
      <w:rFonts w:hint="default" w:ascii="monospace" w:hAnsi="monospace" w:eastAsia="monospace" w:cs="monospace"/>
    </w:rPr>
  </w:style>
  <w:style w:type="paragraph" w:customStyle="1" w:styleId="29">
    <w:name w:val="style4"/>
    <w:basedOn w:val="1"/>
    <w:next w:val="30"/>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2"/>
    <w:basedOn w:val="1"/>
    <w:next w:val="1"/>
    <w:autoRedefine/>
    <w:qFormat/>
    <w:uiPriority w:val="0"/>
    <w:pPr>
      <w:widowControl w:val="0"/>
      <w:spacing w:line="360" w:lineRule="auto"/>
    </w:pPr>
    <w:rPr>
      <w:rFonts w:ascii="Times New Roman" w:hAnsi="Times New Roman" w:eastAsia="仿宋_GB2312"/>
      <w:sz w:val="28"/>
      <w:szCs w:val="28"/>
      <w:lang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WPSOffice手动目录 1"/>
    <w:autoRedefine/>
    <w:qFormat/>
    <w:uiPriority w:val="0"/>
    <w:pPr>
      <w:ind w:leftChars="0"/>
    </w:pPr>
    <w:rPr>
      <w:rFonts w:ascii="Times New Roman" w:hAnsi="Times New Roman" w:eastAsia="宋体" w:cs="Times New Roman"/>
      <w:sz w:val="20"/>
      <w:szCs w:val="20"/>
    </w:rPr>
  </w:style>
  <w:style w:type="paragraph" w:customStyle="1" w:styleId="33">
    <w:name w:val="WPSOffice手动目录 2"/>
    <w:autoRedefine/>
    <w:qFormat/>
    <w:uiPriority w:val="0"/>
    <w:pPr>
      <w:ind w:leftChars="200"/>
    </w:pPr>
    <w:rPr>
      <w:rFonts w:ascii="Times New Roman" w:hAnsi="Times New Roman" w:eastAsia="宋体" w:cs="Times New Roman"/>
      <w:sz w:val="20"/>
      <w:szCs w:val="20"/>
    </w:rPr>
  </w:style>
  <w:style w:type="paragraph" w:customStyle="1" w:styleId="34">
    <w:name w:val="WPSOffice手动目录 3"/>
    <w:autoRedefine/>
    <w:qFormat/>
    <w:uiPriority w:val="0"/>
    <w:pPr>
      <w:ind w:leftChars="400"/>
    </w:pPr>
    <w:rPr>
      <w:rFonts w:ascii="Times New Roman" w:hAnsi="Times New Roman" w:eastAsia="宋体" w:cs="Times New Roman"/>
      <w:sz w:val="20"/>
      <w:szCs w:val="20"/>
    </w:rPr>
  </w:style>
  <w:style w:type="paragraph" w:customStyle="1" w:styleId="35">
    <w:name w:val="Table Paragraph"/>
    <w:basedOn w:val="1"/>
    <w:autoRedefine/>
    <w:qFormat/>
    <w:uiPriority w:val="0"/>
  </w:style>
  <w:style w:type="paragraph" w:customStyle="1" w:styleId="36">
    <w:name w:val="无间隔1"/>
    <w:basedOn w:val="1"/>
    <w:next w:val="4"/>
    <w:autoRedefine/>
    <w:qFormat/>
    <w:uiPriority w:val="99"/>
    <w:pPr>
      <w:spacing w:line="400" w:lineRule="exact"/>
    </w:pPr>
    <w:rPr>
      <w:sz w:val="24"/>
    </w:rPr>
  </w:style>
  <w:style w:type="character" w:customStyle="1" w:styleId="37">
    <w:name w:val="纯文本 Char1"/>
    <w:autoRedefine/>
    <w:qFormat/>
    <w:uiPriority w:val="0"/>
    <w:rPr>
      <w:rFonts w:ascii="宋体" w:hAnsi="Courier New" w:eastAsia="宋体" w:cs="Times New Roman"/>
      <w:kern w:val="2"/>
      <w:sz w:val="21"/>
    </w:rPr>
  </w:style>
  <w:style w:type="paragraph" w:customStyle="1" w:styleId="38">
    <w:name w:val="*正文"/>
    <w:basedOn w:val="1"/>
    <w:next w:val="1"/>
    <w:autoRedefine/>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39">
    <w:name w:val="Table Text"/>
    <w:basedOn w:val="1"/>
    <w:autoRedefine/>
    <w:semiHidden/>
    <w:qFormat/>
    <w:uiPriority w:val="0"/>
    <w:rPr>
      <w:rFonts w:ascii="宋体" w:hAnsi="宋体" w:eastAsia="宋体" w:cs="宋体"/>
      <w:sz w:val="24"/>
      <w:szCs w:val="24"/>
      <w:lang w:val="en-US" w:eastAsia="en-US" w:bidi="ar-SA"/>
    </w:rPr>
  </w:style>
  <w:style w:type="paragraph" w:customStyle="1" w:styleId="40">
    <w:name w:val="BodyText"/>
    <w:basedOn w:val="1"/>
    <w:next w:val="1"/>
    <w:autoRedefine/>
    <w:qFormat/>
    <w:uiPriority w:val="0"/>
    <w:pPr>
      <w:jc w:val="both"/>
      <w:textAlignment w:val="baseline"/>
    </w:pPr>
    <w:rPr>
      <w:rFonts w:ascii="Times New Roman" w:eastAsia="仿宋_GB2312"/>
      <w:kern w:val="2"/>
      <w:sz w:val="28"/>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jpe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22517</Words>
  <Characters>24199</Characters>
  <TotalTime>1</TotalTime>
  <ScaleCrop>false</ScaleCrop>
  <LinksUpToDate>false</LinksUpToDate>
  <CharactersWithSpaces>25793</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2023-02-28T16:16:00Z</dcterms:created>
  <dc:creator>wanglihua</dc:creator>
  <cp:lastModifiedBy>blackcat626</cp:lastModifiedBy>
  <cp:lastPrinted>2024-04-29T08:37:00Z</cp:lastPrinted>
  <dcterms:modified xsi:type="dcterms:W3CDTF">2024-05-08T07:14:33Z</dcterms:modified>
  <dc:title>河南卷烟工业烟草薄片有限公司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2023-04-19T11:32:00Z</vt:filetime>
  </property>
  <property fmtid="{D5CDD505-2E9C-101B-9397-08002B2CF9AE}" pid="4" name="KSOProductBuildVer">
    <vt:lpwstr>2052-12.1.0.16729</vt:lpwstr>
  </property>
  <property fmtid="{D5CDD505-2E9C-101B-9397-08002B2CF9AE}" pid="5" name="ICV">
    <vt:lpwstr>82299B3B0BC8403B9DA0173028680EE9_13</vt:lpwstr>
  </property>
</Properties>
</file>