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E625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116EFF9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南阳农业职业学院物业管理服务项目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南阳政采公开-2026-5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南阳政采公开-2026-5-1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南阳农业职业学院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2"/>
            <w:keepNext w:val="0"/>
            <w:keepLines w:val="0"/>
            <w:pageBreakBefore w:val="0"/>
            <w:kinsoku/>
            <w:wordWrap w:val="0"/>
            <w:overflowPunct/>
            <w:topLinePunct w:val="0"/>
            <w:bidi w:val="0"/>
            <w:jc w:val="both"/>
            <w:rPr>
              <w:rFonts w:hint="eastAsia"/>
              <w:shd w:val="clear" w:color="FFFFFF" w:fill="D9D9D9"/>
            </w:rPr>
          </w:pPr>
        </w:p>
        <w:p w14:paraId="6A788F17">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2"/>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DA8023B">
      <w:pPr>
        <w:pStyle w:val="2"/>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2"/>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1.项目编号：南阳政采公开-2026-5</w:t>
      </w:r>
    </w:p>
    <w:p w14:paraId="6D5B60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2.项目名称：南阳农业职业学院物业管理服务项目</w:t>
      </w:r>
    </w:p>
    <w:p w14:paraId="109A38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u w:val="single"/>
          <w:lang w:val="en-US" w:eastAsia="zh-CN"/>
        </w:rPr>
        <w:t xml:space="preserve"> 620 </w:t>
      </w:r>
      <w:r>
        <w:rPr>
          <w:rFonts w:hint="eastAsia" w:asciiTheme="minorEastAsia" w:hAnsiTheme="minorEastAsia" w:eastAsiaTheme="minorEastAsia" w:cstheme="minorEastAsia"/>
          <w:spacing w:val="-14"/>
          <w:sz w:val="24"/>
          <w:szCs w:val="24"/>
        </w:rPr>
        <w:t>万元</w:t>
      </w:r>
    </w:p>
    <w:p w14:paraId="57BAAB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firstLine="212" w:firstLineChars="1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rPr>
        <w:t>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highlight w:val="none"/>
          <w:u w:val="single"/>
          <w:lang w:val="en-US" w:eastAsia="zh-CN"/>
        </w:rPr>
        <w:t xml:space="preserve"> 620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共两年，</w:t>
      </w:r>
      <w:r>
        <w:rPr>
          <w:rFonts w:hint="eastAsia" w:asciiTheme="minorEastAsia" w:hAnsiTheme="minorEastAsia" w:eastAsiaTheme="minorEastAsia" w:cstheme="minorEastAsia"/>
          <w:spacing w:val="-14"/>
          <w:sz w:val="24"/>
          <w:szCs w:val="24"/>
          <w:highlight w:val="none"/>
          <w:lang w:val="en-US" w:eastAsia="zh-CN"/>
        </w:rPr>
        <w:t>310万元/年</w:t>
      </w:r>
      <w:r>
        <w:rPr>
          <w:rFonts w:hint="eastAsia" w:asciiTheme="minorEastAsia" w:hAnsiTheme="minorEastAsia" w:eastAsiaTheme="minorEastAsia" w:cstheme="minorEastAsia"/>
          <w:spacing w:val="-14"/>
          <w:sz w:val="24"/>
          <w:szCs w:val="24"/>
          <w:lang w:eastAsia="zh-CN"/>
        </w:rPr>
        <w:t>）</w:t>
      </w:r>
    </w:p>
    <w:p w14:paraId="69E2CC7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南阳政采公开-2026-5-</w:t>
            </w:r>
            <w:r>
              <w:rPr>
                <w:rFonts w:hint="eastAsia" w:asciiTheme="minorEastAsia" w:hAnsiTheme="minorEastAsia" w:eastAsiaTheme="minorEastAsia" w:cstheme="minorEastAsia"/>
                <w:spacing w:val="14"/>
                <w:sz w:val="24"/>
                <w:szCs w:val="24"/>
              </w:rPr>
              <w:t>1</w:t>
            </w:r>
          </w:p>
        </w:tc>
        <w:tc>
          <w:tcPr>
            <w:tcW w:w="4215" w:type="dxa"/>
            <w:vAlign w:val="center"/>
          </w:tcPr>
          <w:p w14:paraId="26C84BF0">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南阳农业职业学院物业管理服务项目</w:t>
            </w:r>
          </w:p>
        </w:tc>
        <w:tc>
          <w:tcPr>
            <w:tcW w:w="2321" w:type="dxa"/>
            <w:vAlign w:val="center"/>
          </w:tcPr>
          <w:p w14:paraId="6F32F20B">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6200000</w:t>
            </w:r>
          </w:p>
        </w:tc>
      </w:tr>
    </w:tbl>
    <w:p w14:paraId="658141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5.服务内容</w:t>
      </w:r>
    </w:p>
    <w:p w14:paraId="22C688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卧龙校区、雪枫校区、</w:t>
      </w:r>
      <w:r>
        <w:rPr>
          <w:rFonts w:hint="eastAsia" w:asciiTheme="minorEastAsia" w:hAnsiTheme="minorEastAsia" w:eastAsiaTheme="minorEastAsia" w:cstheme="minorEastAsia"/>
          <w:spacing w:val="-25"/>
          <w:sz w:val="24"/>
          <w:szCs w:val="24"/>
          <w:highlight w:val="none"/>
          <w:lang w:val="en-US" w:eastAsia="zh-CN"/>
        </w:rPr>
        <w:t>应急管理工程学院</w:t>
      </w:r>
      <w:r>
        <w:rPr>
          <w:rFonts w:hint="eastAsia" w:asciiTheme="minorEastAsia" w:hAnsiTheme="minorEastAsia" w:eastAsiaTheme="minorEastAsia" w:cstheme="minorEastAsia"/>
          <w:spacing w:val="-25"/>
          <w:sz w:val="24"/>
          <w:szCs w:val="24"/>
          <w:lang w:val="en-US" w:eastAsia="zh-CN"/>
        </w:rPr>
        <w:t>校园物业服务，水电维修、校园桌椅门锁等零星维修及其他人员管理等服务。</w:t>
      </w:r>
    </w:p>
    <w:p w14:paraId="6E633C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期限：</w:t>
      </w:r>
      <w:r>
        <w:rPr>
          <w:rFonts w:hint="eastAsia" w:asciiTheme="minorEastAsia" w:hAnsiTheme="minorEastAsia" w:eastAsiaTheme="minorEastAsia" w:cstheme="minorEastAsia"/>
          <w:spacing w:val="-5"/>
          <w:sz w:val="24"/>
          <w:szCs w:val="24"/>
          <w:lang w:val="en-US" w:eastAsia="zh-CN"/>
        </w:rPr>
        <w:t>两年</w:t>
      </w:r>
    </w:p>
    <w:p w14:paraId="460DEC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E9582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70A458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60729C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749E4D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523E7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（政府采购活动中既有本国产品又有非本国产品参与竞争的，依法对本国产品给予价格评审优惠，对本国产品的报价给予 20%的价格扣除，用扣除后的价格参与评审。）</w:t>
      </w:r>
    </w:p>
    <w:p w14:paraId="7B3ABC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17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27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rPr>
        <w:t>（北</w:t>
      </w:r>
      <w:bookmarkStart w:id="1" w:name="_GoBack"/>
      <w:bookmarkEnd w:id="1"/>
      <w:r>
        <w:rPr>
          <w:rFonts w:hint="eastAsia" w:asciiTheme="minorEastAsia" w:hAnsiTheme="minorEastAsia" w:eastAsiaTheme="minorEastAsia" w:cstheme="minorEastAsia"/>
          <w:spacing w:val="-14"/>
          <w:sz w:val="24"/>
          <w:szCs w:val="24"/>
        </w:rPr>
        <w:t>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w:t>
      </w:r>
      <w:r>
        <w:rPr>
          <w:rFonts w:hint="eastAsia" w:asciiTheme="minorEastAsia" w:hAnsiTheme="minorEastAsia" w:eastAsiaTheme="minorEastAsia" w:cstheme="minorEastAsia"/>
          <w:spacing w:val="-4"/>
          <w:sz w:val="24"/>
          <w:szCs w:val="24"/>
          <w:lang w:eastAsia="zh-CN"/>
        </w:rPr>
        <w:t>https://ggzyjy.nanyang.gov.cn/ptdl/011009/single.html。</w:t>
      </w:r>
    </w:p>
    <w:p w14:paraId="0FFF5D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4"/>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4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8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Arial" w:hAnsi="Arial" w:eastAsia="宋体" w:cs="Arial"/>
          <w:position w:val="5"/>
          <w:sz w:val="24"/>
          <w:szCs w:val="24"/>
          <w:lang w:val="en-US" w:eastAsia="zh-CN"/>
        </w:rPr>
        <w:t>地点：</w:t>
      </w:r>
      <w:r>
        <w:rPr>
          <w:rFonts w:hint="eastAsia" w:ascii="Arial" w:hAnsi="Arial" w:eastAsia="Arial" w:cs="Arial"/>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文件要求制作投标文件。本次招标公告在河南省政府采购网、南阳市公共资源交易中心网发布。</w:t>
      </w:r>
    </w:p>
    <w:p w14:paraId="3F5BC4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名称：南阳农业职业学院</w:t>
      </w:r>
    </w:p>
    <w:p w14:paraId="308434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地址：南阳市雪枫路与北京大道交叉口（大学园区）</w:t>
      </w:r>
    </w:p>
    <w:p w14:paraId="342C4B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联系人：王老师</w:t>
      </w:r>
    </w:p>
    <w:p w14:paraId="50D1C0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联系方式：0377-63393603</w:t>
      </w:r>
    </w:p>
    <w:p w14:paraId="47BF65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联系方式：0377-61176178</w:t>
      </w:r>
    </w:p>
    <w:p w14:paraId="0E9261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2"/>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5C2564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lang w:val="en-US" w:eastAsia="zh-CN"/>
        </w:rPr>
        <w:t xml:space="preserve">2026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 xml:space="preserve"> 3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 xml:space="preserve"> 20 </w:t>
      </w:r>
      <w:r>
        <w:rPr>
          <w:rFonts w:hint="eastAsia" w:asciiTheme="minorEastAsia" w:hAnsiTheme="minorEastAsia" w:eastAsiaTheme="minorEastAsia" w:cstheme="minorEastAsia"/>
          <w:spacing w:val="-13"/>
          <w:sz w:val="24"/>
          <w:szCs w:val="24"/>
        </w:rPr>
        <w:t>日</w:t>
      </w:r>
    </w:p>
    <w:p w14:paraId="1EC3F2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1"/>
        </w:rPr>
      </w:pPr>
    </w:p>
    <w:p w14:paraId="64BA63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1E9F8E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一</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采购服务内容：</w:t>
      </w:r>
    </w:p>
    <w:p w14:paraId="0E5C31D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卧龙校区(配备人员总数：27人)</w:t>
      </w:r>
    </w:p>
    <w:p w14:paraId="32EEF1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（1）所有教学楼、办公楼公共卫生间保洁服务。</w:t>
      </w:r>
    </w:p>
    <w:p w14:paraId="2FAC2BA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（2）除教学楼外所有学校用房的楼道洗漱间、卫生间、楼梯间、走廊、过厅、雨篷、院子、楼栋四周包括屋顶及二楼平台等全方位卫生保洁工作。</w:t>
      </w:r>
    </w:p>
    <w:p w14:paraId="00C6AB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（3）整个校园公共区域卫生保洁（负责校园灭蚊灭蝇灭鼠；道路、广场垃圾及落叶清扫；绿化带内白色垃圾清理；所有楼栋周围保洁；公共卫生间、垃圾桶、垃圾箱清理，保洁等）。</w:t>
      </w:r>
    </w:p>
    <w:p w14:paraId="3CAFDB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（4）负责维修物料配备，负责垃圾桶、扫帚、药品等低值易耗品配备，负责整个校园垃圾清运（不含餐厅餐余垃圾及建筑垃圾）。</w:t>
      </w:r>
    </w:p>
    <w:p w14:paraId="72EB826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（5）校园所有家具及相关物件的维修服务，公共卫生间下水道疏通及维修服务。</w:t>
      </w:r>
    </w:p>
    <w:p w14:paraId="60259A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（6）校园内物品搬运服务。</w:t>
      </w:r>
    </w:p>
    <w:p w14:paraId="26EE14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雪枫校区(配备人员总数：44人)</w:t>
      </w:r>
    </w:p>
    <w:p w14:paraId="2582FDA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（1）所有教学楼、实训楼卫生间保洁服务。</w:t>
      </w:r>
    </w:p>
    <w:p w14:paraId="18BD63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（2）综合楼卫生间、楼梯、走廊、会议室及部分房间保洁服务。</w:t>
      </w:r>
    </w:p>
    <w:p w14:paraId="6854228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（3）校园内所有报告厅、会议室的内部、卫生间、楼梯间、走廊、过厅、雨篷、院子、楼栋四周包括屋顶及二楼平台等全方位卫生保洁。</w:t>
      </w:r>
    </w:p>
    <w:p w14:paraId="4F9899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（4）校园内所有宿舍楼的公共区域洗漱间、卫生间、楼梯间、走廊、过厅、雨篷、院子、楼栋四周包括屋顶及二楼平台等全方位卫生保洁工作。</w:t>
      </w:r>
    </w:p>
    <w:p w14:paraId="166E60C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（5）整个校园公共区域卫生保洁（负责校园灭蚊灭蝇灭鼠；道路、广场垃圾及落叶清扫；绿化带内白色垃圾清理；所有楼栋周围保洁；公共卫生间、垃圾桶、垃圾箱清理，保洁等）。</w:t>
      </w:r>
    </w:p>
    <w:p w14:paraId="0A1AC0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（6）负责维修物料配备，负责垃圾桶、扫帚、药品等低值易耗品配备，负责整个校园垃圾清运（不含餐厅餐余垃圾及建筑垃圾）。</w:t>
      </w:r>
    </w:p>
    <w:p w14:paraId="759FCC1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（7）校园所有家具及相关物件的维修服务，公共卫生间下水道疏通及维修服务。</w:t>
      </w:r>
    </w:p>
    <w:p w14:paraId="13AA09A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（8）校园内物品搬运服务。</w:t>
      </w:r>
    </w:p>
    <w:p w14:paraId="6DF2F8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highlight w:val="none"/>
        </w:rPr>
        <w:t>应急管理工程学院</w:t>
      </w:r>
      <w:r>
        <w:rPr>
          <w:rFonts w:hint="eastAsia" w:asciiTheme="minorEastAsia" w:hAnsiTheme="minorEastAsia" w:eastAsiaTheme="minorEastAsia" w:cstheme="minorEastAsia"/>
          <w:spacing w:val="-1"/>
          <w:sz w:val="24"/>
          <w:szCs w:val="24"/>
        </w:rPr>
        <w:t>（配备人员总数：7人）</w:t>
      </w:r>
    </w:p>
    <w:p w14:paraId="32F29E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（1）各楼室内楼梯、走廊、卫生间保洁、下水道疏通及维修服务。</w:t>
      </w:r>
    </w:p>
    <w:p w14:paraId="549C37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（2）整个校园公共区域卫生保洁（负责校园灭蚊灭蝇灭鼠；道路、广场垃圾及落叶清扫；绿化带内白色垃圾清理；所有楼栋周围保洁；公共卫生间、垃圾桶、垃圾箱清理，保洁等）。</w:t>
      </w:r>
    </w:p>
    <w:p w14:paraId="74A530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（3）门卫、安保、水电维修、绿化养护、桌椅门锁等零星维修服务。</w:t>
      </w:r>
    </w:p>
    <w:p w14:paraId="34185F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（4）负责维修物料配备，负责垃圾桶、扫帚、药品等低值易耗品配备，负责整个校园垃圾清运（不含餐厅餐余垃圾及建筑垃圾）。</w:t>
      </w:r>
    </w:p>
    <w:p w14:paraId="1357D0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水电维修及其他人员（配备人员总数：26人）</w:t>
      </w:r>
    </w:p>
    <w:p w14:paraId="5A0587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（1）校园水电检修保障服务。</w:t>
      </w:r>
    </w:p>
    <w:p w14:paraId="0BB103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（2）雪枫校区文印室管理服务。</w:t>
      </w:r>
    </w:p>
    <w:p w14:paraId="6CFF275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（3）食堂充卡室管理服务、食品安全管理、水电煤气维修安检。</w:t>
      </w:r>
    </w:p>
    <w:p w14:paraId="7D2E0D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（4）南农社区工作及其他管理服务。</w:t>
      </w:r>
    </w:p>
    <w:p w14:paraId="7A08F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补充内容</w:t>
      </w:r>
    </w:p>
    <w:p w14:paraId="25A38CD7">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根据学校二、三期工程进展情况，适当增减物业服务人员数量及相关物品物料，签订补充协议。</w:t>
      </w:r>
    </w:p>
    <w:p w14:paraId="3E07717E">
      <w:pPr>
        <w:spacing w:line="360" w:lineRule="auto"/>
        <w:ind w:firstLine="476" w:firstLineChars="200"/>
        <w:outlineLvl w:val="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二</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服务要求</w:t>
      </w:r>
    </w:p>
    <w:p w14:paraId="231DE91D">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1、项目总清单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402"/>
        <w:gridCol w:w="1134"/>
      </w:tblGrid>
      <w:tr w14:paraId="4A9C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top"/>
          </w:tcPr>
          <w:p w14:paraId="20EB621F">
            <w:pPr>
              <w:spacing w:line="360" w:lineRule="auto"/>
              <w:jc w:val="center"/>
              <w:rPr>
                <w:rFonts w:hint="eastAsia" w:ascii="仿宋" w:hAnsi="仿宋" w:eastAsia="仿宋" w:cs="宋体"/>
                <w:sz w:val="24"/>
                <w:szCs w:val="18"/>
              </w:rPr>
            </w:pPr>
            <w:r>
              <w:rPr>
                <w:rFonts w:hint="eastAsia" w:ascii="仿宋" w:hAnsi="仿宋" w:eastAsia="仿宋" w:cs="宋体"/>
                <w:sz w:val="24"/>
                <w:szCs w:val="18"/>
              </w:rPr>
              <w:t>序号</w:t>
            </w:r>
          </w:p>
        </w:tc>
        <w:tc>
          <w:tcPr>
            <w:tcW w:w="3402" w:type="dxa"/>
            <w:noWrap w:val="0"/>
            <w:vAlign w:val="top"/>
          </w:tcPr>
          <w:p w14:paraId="35A89DA8">
            <w:pPr>
              <w:spacing w:line="360" w:lineRule="auto"/>
              <w:jc w:val="center"/>
              <w:rPr>
                <w:rFonts w:hint="eastAsia" w:ascii="仿宋" w:hAnsi="仿宋" w:eastAsia="仿宋" w:cs="宋体"/>
                <w:sz w:val="24"/>
                <w:szCs w:val="18"/>
              </w:rPr>
            </w:pPr>
            <w:r>
              <w:rPr>
                <w:rFonts w:hint="eastAsia" w:ascii="仿宋" w:hAnsi="仿宋" w:eastAsia="仿宋" w:cs="宋体"/>
                <w:sz w:val="24"/>
                <w:szCs w:val="18"/>
              </w:rPr>
              <w:t>服务区域</w:t>
            </w:r>
          </w:p>
        </w:tc>
        <w:tc>
          <w:tcPr>
            <w:tcW w:w="1134" w:type="dxa"/>
            <w:noWrap w:val="0"/>
            <w:vAlign w:val="top"/>
          </w:tcPr>
          <w:p w14:paraId="111CAC27">
            <w:pPr>
              <w:spacing w:line="360" w:lineRule="auto"/>
              <w:jc w:val="center"/>
              <w:rPr>
                <w:rFonts w:hint="eastAsia" w:ascii="仿宋" w:hAnsi="仿宋" w:eastAsia="仿宋" w:cs="宋体"/>
                <w:sz w:val="24"/>
                <w:szCs w:val="18"/>
              </w:rPr>
            </w:pPr>
            <w:r>
              <w:rPr>
                <w:rFonts w:hint="eastAsia" w:ascii="仿宋" w:hAnsi="仿宋" w:eastAsia="仿宋" w:cs="宋体"/>
                <w:sz w:val="24"/>
                <w:szCs w:val="18"/>
              </w:rPr>
              <w:t>人数</w:t>
            </w:r>
          </w:p>
        </w:tc>
      </w:tr>
      <w:tr w14:paraId="1046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top"/>
          </w:tcPr>
          <w:p w14:paraId="04018100">
            <w:pPr>
              <w:spacing w:line="360" w:lineRule="auto"/>
              <w:jc w:val="center"/>
              <w:rPr>
                <w:rFonts w:hint="eastAsia" w:ascii="仿宋" w:hAnsi="仿宋" w:eastAsia="仿宋" w:cs="宋体"/>
                <w:sz w:val="24"/>
                <w:szCs w:val="18"/>
              </w:rPr>
            </w:pPr>
            <w:r>
              <w:rPr>
                <w:rFonts w:hint="eastAsia" w:ascii="仿宋" w:hAnsi="仿宋" w:eastAsia="仿宋" w:cs="宋体"/>
                <w:sz w:val="24"/>
                <w:szCs w:val="18"/>
              </w:rPr>
              <w:t>1</w:t>
            </w:r>
          </w:p>
        </w:tc>
        <w:tc>
          <w:tcPr>
            <w:tcW w:w="3402" w:type="dxa"/>
            <w:noWrap w:val="0"/>
            <w:vAlign w:val="top"/>
          </w:tcPr>
          <w:p w14:paraId="0D1C1165">
            <w:pPr>
              <w:spacing w:line="360" w:lineRule="auto"/>
              <w:jc w:val="center"/>
              <w:rPr>
                <w:rFonts w:hint="eastAsia" w:ascii="仿宋" w:hAnsi="仿宋" w:eastAsia="仿宋" w:cs="宋体"/>
                <w:sz w:val="24"/>
                <w:szCs w:val="18"/>
              </w:rPr>
            </w:pPr>
            <w:r>
              <w:rPr>
                <w:rFonts w:hint="eastAsia" w:ascii="仿宋" w:hAnsi="仿宋" w:eastAsia="仿宋" w:cs="宋体"/>
                <w:sz w:val="24"/>
                <w:szCs w:val="18"/>
              </w:rPr>
              <w:t>卧龙校区</w:t>
            </w:r>
          </w:p>
        </w:tc>
        <w:tc>
          <w:tcPr>
            <w:tcW w:w="1134" w:type="dxa"/>
            <w:noWrap w:val="0"/>
            <w:vAlign w:val="top"/>
          </w:tcPr>
          <w:p w14:paraId="50D6BA5B">
            <w:pPr>
              <w:spacing w:line="360" w:lineRule="auto"/>
              <w:jc w:val="center"/>
              <w:rPr>
                <w:rFonts w:hint="default" w:ascii="仿宋" w:hAnsi="仿宋" w:eastAsia="仿宋" w:cs="宋体"/>
                <w:sz w:val="24"/>
                <w:szCs w:val="18"/>
                <w:lang w:val="en-US" w:eastAsia="zh-CN"/>
              </w:rPr>
            </w:pPr>
            <w:r>
              <w:rPr>
                <w:rFonts w:hint="eastAsia" w:ascii="仿宋" w:hAnsi="仿宋" w:eastAsia="仿宋" w:cs="宋体"/>
                <w:sz w:val="24"/>
                <w:szCs w:val="18"/>
                <w:lang w:val="en-US" w:eastAsia="zh-CN"/>
              </w:rPr>
              <w:t>27</w:t>
            </w:r>
          </w:p>
        </w:tc>
      </w:tr>
      <w:tr w14:paraId="3EE1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top"/>
          </w:tcPr>
          <w:p w14:paraId="35854F93">
            <w:pPr>
              <w:spacing w:line="360" w:lineRule="auto"/>
              <w:jc w:val="center"/>
              <w:rPr>
                <w:rFonts w:hint="eastAsia" w:ascii="仿宋" w:hAnsi="仿宋" w:eastAsia="仿宋" w:cs="宋体"/>
                <w:sz w:val="24"/>
                <w:szCs w:val="18"/>
              </w:rPr>
            </w:pPr>
            <w:r>
              <w:rPr>
                <w:rFonts w:hint="eastAsia" w:ascii="仿宋" w:hAnsi="仿宋" w:eastAsia="仿宋" w:cs="宋体"/>
                <w:sz w:val="24"/>
                <w:szCs w:val="18"/>
              </w:rPr>
              <w:t>2</w:t>
            </w:r>
          </w:p>
        </w:tc>
        <w:tc>
          <w:tcPr>
            <w:tcW w:w="3402" w:type="dxa"/>
            <w:noWrap w:val="0"/>
            <w:vAlign w:val="top"/>
          </w:tcPr>
          <w:p w14:paraId="5DDBF296">
            <w:pPr>
              <w:spacing w:line="360" w:lineRule="auto"/>
              <w:jc w:val="center"/>
              <w:rPr>
                <w:rFonts w:hint="eastAsia" w:ascii="仿宋" w:hAnsi="仿宋" w:eastAsia="仿宋" w:cs="宋体"/>
                <w:sz w:val="24"/>
                <w:szCs w:val="18"/>
              </w:rPr>
            </w:pPr>
            <w:r>
              <w:rPr>
                <w:rFonts w:hint="eastAsia" w:ascii="仿宋" w:hAnsi="仿宋" w:eastAsia="仿宋" w:cs="宋体"/>
                <w:sz w:val="24"/>
                <w:szCs w:val="18"/>
              </w:rPr>
              <w:t>雪枫校区</w:t>
            </w:r>
          </w:p>
        </w:tc>
        <w:tc>
          <w:tcPr>
            <w:tcW w:w="1134" w:type="dxa"/>
            <w:noWrap w:val="0"/>
            <w:vAlign w:val="top"/>
          </w:tcPr>
          <w:p w14:paraId="6BF179EA">
            <w:pPr>
              <w:spacing w:line="360" w:lineRule="auto"/>
              <w:jc w:val="center"/>
              <w:rPr>
                <w:rFonts w:hint="default" w:ascii="仿宋" w:hAnsi="仿宋" w:eastAsia="仿宋" w:cs="宋体"/>
                <w:sz w:val="24"/>
                <w:szCs w:val="18"/>
                <w:lang w:val="en-US" w:eastAsia="zh-CN"/>
              </w:rPr>
            </w:pPr>
            <w:r>
              <w:rPr>
                <w:rFonts w:hint="eastAsia" w:ascii="仿宋" w:hAnsi="仿宋" w:eastAsia="仿宋" w:cs="宋体"/>
                <w:sz w:val="24"/>
                <w:szCs w:val="18"/>
                <w:lang w:val="en-US" w:eastAsia="zh-CN"/>
              </w:rPr>
              <w:t>44</w:t>
            </w:r>
          </w:p>
        </w:tc>
      </w:tr>
      <w:tr w14:paraId="3AF4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top"/>
          </w:tcPr>
          <w:p w14:paraId="2B0D9944">
            <w:pPr>
              <w:spacing w:line="360" w:lineRule="auto"/>
              <w:jc w:val="center"/>
              <w:rPr>
                <w:rFonts w:hint="eastAsia" w:ascii="仿宋" w:hAnsi="仿宋" w:eastAsia="仿宋" w:cs="宋体"/>
                <w:sz w:val="24"/>
                <w:szCs w:val="18"/>
              </w:rPr>
            </w:pPr>
            <w:r>
              <w:rPr>
                <w:rFonts w:hint="eastAsia" w:ascii="仿宋" w:hAnsi="仿宋" w:eastAsia="仿宋" w:cs="宋体"/>
                <w:sz w:val="24"/>
                <w:szCs w:val="18"/>
              </w:rPr>
              <w:t>3</w:t>
            </w:r>
          </w:p>
        </w:tc>
        <w:tc>
          <w:tcPr>
            <w:tcW w:w="3402" w:type="dxa"/>
            <w:noWrap w:val="0"/>
            <w:vAlign w:val="top"/>
          </w:tcPr>
          <w:p w14:paraId="0D6EE78B">
            <w:pPr>
              <w:spacing w:line="360" w:lineRule="auto"/>
              <w:jc w:val="center"/>
              <w:rPr>
                <w:rFonts w:hint="eastAsia" w:ascii="仿宋" w:hAnsi="仿宋" w:eastAsia="仿宋" w:cs="宋体"/>
                <w:sz w:val="24"/>
                <w:szCs w:val="18"/>
              </w:rPr>
            </w:pPr>
            <w:r>
              <w:rPr>
                <w:rFonts w:hint="eastAsia" w:ascii="仿宋" w:hAnsi="仿宋" w:eastAsia="仿宋" w:cs="宋体"/>
                <w:sz w:val="24"/>
                <w:szCs w:val="18"/>
                <w:highlight w:val="none"/>
              </w:rPr>
              <w:t>应急管理工程学院</w:t>
            </w:r>
          </w:p>
        </w:tc>
        <w:tc>
          <w:tcPr>
            <w:tcW w:w="1134" w:type="dxa"/>
            <w:noWrap w:val="0"/>
            <w:vAlign w:val="top"/>
          </w:tcPr>
          <w:p w14:paraId="09607A8B">
            <w:pPr>
              <w:spacing w:line="360" w:lineRule="auto"/>
              <w:jc w:val="center"/>
              <w:rPr>
                <w:rFonts w:hint="eastAsia" w:ascii="仿宋" w:hAnsi="仿宋" w:eastAsia="仿宋" w:cs="宋体"/>
                <w:sz w:val="24"/>
                <w:szCs w:val="18"/>
              </w:rPr>
            </w:pPr>
            <w:r>
              <w:rPr>
                <w:rFonts w:hint="eastAsia" w:ascii="仿宋" w:hAnsi="仿宋" w:eastAsia="仿宋" w:cs="宋体"/>
                <w:sz w:val="24"/>
                <w:szCs w:val="18"/>
              </w:rPr>
              <w:t>7</w:t>
            </w:r>
          </w:p>
        </w:tc>
      </w:tr>
      <w:tr w14:paraId="3C52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top"/>
          </w:tcPr>
          <w:p w14:paraId="2EA55FC5">
            <w:pPr>
              <w:spacing w:line="360" w:lineRule="auto"/>
              <w:jc w:val="center"/>
              <w:rPr>
                <w:rFonts w:hint="eastAsia" w:ascii="仿宋" w:hAnsi="仿宋" w:eastAsia="仿宋" w:cs="宋体"/>
                <w:sz w:val="24"/>
                <w:szCs w:val="18"/>
              </w:rPr>
            </w:pPr>
            <w:r>
              <w:rPr>
                <w:rFonts w:hint="eastAsia" w:ascii="仿宋" w:hAnsi="仿宋" w:eastAsia="仿宋" w:cs="宋体"/>
                <w:sz w:val="24"/>
                <w:szCs w:val="18"/>
              </w:rPr>
              <w:t>4</w:t>
            </w:r>
          </w:p>
        </w:tc>
        <w:tc>
          <w:tcPr>
            <w:tcW w:w="3402" w:type="dxa"/>
            <w:noWrap w:val="0"/>
            <w:vAlign w:val="top"/>
          </w:tcPr>
          <w:p w14:paraId="4423D709">
            <w:pPr>
              <w:spacing w:line="360" w:lineRule="auto"/>
              <w:jc w:val="center"/>
              <w:rPr>
                <w:rFonts w:hint="eastAsia" w:ascii="仿宋" w:hAnsi="仿宋" w:eastAsia="仿宋" w:cs="宋体"/>
                <w:sz w:val="24"/>
                <w:szCs w:val="18"/>
              </w:rPr>
            </w:pPr>
            <w:r>
              <w:rPr>
                <w:rFonts w:hint="eastAsia" w:ascii="仿宋" w:hAnsi="仿宋" w:eastAsia="仿宋" w:cs="宋体"/>
                <w:sz w:val="24"/>
                <w:szCs w:val="18"/>
              </w:rPr>
              <w:t>水电维修及其他人员</w:t>
            </w:r>
          </w:p>
        </w:tc>
        <w:tc>
          <w:tcPr>
            <w:tcW w:w="1134" w:type="dxa"/>
            <w:noWrap w:val="0"/>
            <w:vAlign w:val="top"/>
          </w:tcPr>
          <w:p w14:paraId="32EF5E97">
            <w:pPr>
              <w:spacing w:line="360" w:lineRule="auto"/>
              <w:jc w:val="center"/>
              <w:rPr>
                <w:rFonts w:hint="default" w:ascii="仿宋" w:hAnsi="仿宋" w:eastAsia="仿宋" w:cs="宋体"/>
                <w:sz w:val="24"/>
                <w:szCs w:val="18"/>
                <w:lang w:val="en-US" w:eastAsia="zh-CN"/>
              </w:rPr>
            </w:pPr>
            <w:r>
              <w:rPr>
                <w:rFonts w:hint="eastAsia" w:ascii="仿宋" w:hAnsi="仿宋" w:eastAsia="仿宋" w:cs="宋体"/>
                <w:sz w:val="24"/>
                <w:szCs w:val="18"/>
                <w:lang w:val="en-US" w:eastAsia="zh-CN"/>
              </w:rPr>
              <w:t>26</w:t>
            </w:r>
          </w:p>
        </w:tc>
      </w:tr>
      <w:tr w14:paraId="0591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5" w:type="dxa"/>
            <w:gridSpan w:val="2"/>
            <w:noWrap w:val="0"/>
            <w:vAlign w:val="top"/>
          </w:tcPr>
          <w:p w14:paraId="480A831D">
            <w:pPr>
              <w:spacing w:line="360" w:lineRule="auto"/>
              <w:jc w:val="center"/>
              <w:rPr>
                <w:rFonts w:hint="eastAsia" w:ascii="仿宋" w:hAnsi="仿宋" w:eastAsia="仿宋" w:cs="宋体"/>
                <w:sz w:val="24"/>
                <w:szCs w:val="18"/>
              </w:rPr>
            </w:pPr>
            <w:r>
              <w:rPr>
                <w:rFonts w:hint="eastAsia" w:ascii="仿宋" w:hAnsi="仿宋" w:eastAsia="仿宋" w:cs="宋体"/>
                <w:sz w:val="24"/>
                <w:szCs w:val="18"/>
              </w:rPr>
              <w:t>合计</w:t>
            </w:r>
          </w:p>
        </w:tc>
        <w:tc>
          <w:tcPr>
            <w:tcW w:w="1134" w:type="dxa"/>
            <w:noWrap w:val="0"/>
            <w:vAlign w:val="top"/>
          </w:tcPr>
          <w:p w14:paraId="44BD19CC">
            <w:pPr>
              <w:spacing w:line="360" w:lineRule="auto"/>
              <w:jc w:val="center"/>
              <w:rPr>
                <w:rFonts w:hint="default" w:ascii="仿宋" w:hAnsi="仿宋" w:eastAsia="仿宋" w:cs="宋体"/>
                <w:sz w:val="24"/>
                <w:szCs w:val="18"/>
                <w:lang w:val="en-US" w:eastAsia="zh-CN"/>
              </w:rPr>
            </w:pPr>
            <w:r>
              <w:rPr>
                <w:rFonts w:hint="eastAsia" w:ascii="仿宋" w:hAnsi="仿宋" w:eastAsia="仿宋" w:cs="宋体"/>
                <w:sz w:val="24"/>
                <w:szCs w:val="18"/>
                <w:lang w:val="en-US" w:eastAsia="zh-CN"/>
              </w:rPr>
              <w:t>104</w:t>
            </w:r>
          </w:p>
        </w:tc>
      </w:tr>
    </w:tbl>
    <w:p w14:paraId="6DE15EE0">
      <w:pPr>
        <w:spacing w:line="360" w:lineRule="auto"/>
        <w:ind w:firstLine="480" w:firstLineChars="200"/>
        <w:outlineLvl w:val="0"/>
        <w:rPr>
          <w:rFonts w:hint="eastAsia" w:ascii="宋体" w:hAnsi="宋体" w:eastAsia="宋体" w:cs="宋体"/>
          <w:b w:val="0"/>
          <w:bCs/>
          <w:kern w:val="44"/>
          <w:sz w:val="24"/>
          <w:szCs w:val="24"/>
        </w:rPr>
      </w:pPr>
    </w:p>
    <w:p w14:paraId="12F846B4">
      <w:pPr>
        <w:spacing w:line="360" w:lineRule="auto"/>
        <w:ind w:firstLine="480" w:firstLineChars="200"/>
        <w:outlineLvl w:val="0"/>
        <w:rPr>
          <w:rFonts w:hint="eastAsia" w:ascii="宋体" w:hAnsi="宋体" w:eastAsia="宋体" w:cs="宋体"/>
          <w:b w:val="0"/>
          <w:bCs/>
          <w:kern w:val="44"/>
          <w:sz w:val="24"/>
          <w:szCs w:val="24"/>
        </w:rPr>
      </w:pPr>
    </w:p>
    <w:p w14:paraId="33F65789">
      <w:pPr>
        <w:spacing w:line="360" w:lineRule="auto"/>
        <w:ind w:firstLine="480" w:firstLineChars="200"/>
        <w:outlineLvl w:val="0"/>
        <w:rPr>
          <w:rFonts w:hint="eastAsia" w:ascii="宋体" w:hAnsi="宋体" w:eastAsia="宋体" w:cs="宋体"/>
          <w:b w:val="0"/>
          <w:bCs/>
          <w:kern w:val="44"/>
          <w:sz w:val="24"/>
          <w:szCs w:val="24"/>
        </w:rPr>
      </w:pPr>
    </w:p>
    <w:p w14:paraId="641C08F7">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2、物业人员服务标准及要求：</w:t>
      </w:r>
    </w:p>
    <w:p w14:paraId="04D60633">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2.1</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校园所有公共卫生间、洗漱间</w:t>
      </w:r>
    </w:p>
    <w:p w14:paraId="6227B633">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（1）每天第一次清洁卫生间必须在上班前做好，并且做到随脏随清，保持地面清洁、无杂物、无积水、无毛发、无异味，下水道要畅通。</w:t>
      </w:r>
    </w:p>
    <w:p w14:paraId="382680F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（2）每天要拖洗卫生间所有地面至少两次，抹净洁具、门框、墙身，保持无灰尘、无垃圾、无异味，无手脚印、无污渍等。</w:t>
      </w:r>
    </w:p>
    <w:p w14:paraId="2C6842B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（3）卫生间隔板每天擦抹一次，保持无污渍。小便池、厕位、水池每小时进行冲洗一次，每天用洁厕剂清洗一次。洁具每周用消毒剂消毒两次，整体卫生间每周全面消毒一次。</w:t>
      </w:r>
    </w:p>
    <w:p w14:paraId="54770F4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（4）每天对卫生间内镜子及金属部分进行擦拭，应保持干净，无浮尘、污渍、手印、水迹和锈斑。</w:t>
      </w:r>
    </w:p>
    <w:p w14:paraId="729B456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（5）卫生间所有垃圾篓的垃圾不能超过2/3，及时清理垃圾篓内的垃圾，保持无蚊虫、无异味，及时运送至指定地点堆放。垃圾篓每周全面彻底清洁一次。</w:t>
      </w:r>
    </w:p>
    <w:p w14:paraId="58433AB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（6）卫生间洗手台每月保养一次，镜面、台面、洗手盆每天清洁数次。上班时间巡视发现污渍、水迹、积水、头发、手印、便迹、异味、报纸等及时清理。</w:t>
      </w:r>
    </w:p>
    <w:p w14:paraId="421E442C">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（7）每周一次全面清洗墙面瓷砖、地面用清洁剂刷洗。</w:t>
      </w:r>
    </w:p>
    <w:p w14:paraId="69A6CFEA">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（8）冬季下雨、下雪季节，保洁要及时清理卫生间地面的积水、积雪，预防地面结冰，防止行人滑倒。</w:t>
      </w:r>
    </w:p>
    <w:p w14:paraId="0DF7753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（9）保洁作业过程中要注意节约用水。</w:t>
      </w:r>
    </w:p>
    <w:p w14:paraId="743A834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（10）卫生间如有堵塞需及时疏通，恢复正常。</w:t>
      </w:r>
    </w:p>
    <w:p w14:paraId="7CB0BE23">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2.2</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学术报告厅、会议室、综合楼</w:t>
      </w:r>
    </w:p>
    <w:p w14:paraId="0272C9EA">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（1）每天清扫地面垃圾，擦抹桌椅、橱柜、沙发、茶几等，擦净相关设施、设备。沙发、茶几等保持清洁干净，无灰尘，地面保持清洁干净，平时发现污渍、痰渍、水迹等及时处理，每周彻底拖洗一次。</w:t>
      </w:r>
    </w:p>
    <w:p w14:paraId="453E29DA">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（2）室内所有垃圾篓的垃圾不能超过2/3，及时更换垃圾袋，保持无蚊虫、无异味，及时运送至指定地点堆放。垃圾篓每周全面清洁一次，每月彻底清洗一次。</w:t>
      </w:r>
    </w:p>
    <w:p w14:paraId="2181AB0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（3）及时扫去墙面灰尘，彻底清理室内墙壁、墙角、天花板、风口等蜘蛛网，每周一次。平时随见随时清理，局部灰尘，污渍随时处理。</w:t>
      </w:r>
    </w:p>
    <w:p w14:paraId="449C672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（4）及时清理电源开关、插座、消防箱、灭火器等公共设施上方的污渍和灰尘。</w:t>
      </w:r>
    </w:p>
    <w:p w14:paraId="61704A2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（5）公共部分窗户玻璃随时保洁，平时发现手印、污渍及时擦净。</w:t>
      </w:r>
    </w:p>
    <w:p w14:paraId="6AB9D5D6">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（6）盆栽及时浇水，保持盆栽无黄叶、纸屑等杂物，无灰尘。</w:t>
      </w:r>
    </w:p>
    <w:p w14:paraId="29DC22E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（7）平时对地面痰渍、口香糖等及时进行清除，每月机器清洗地面一次，拖洗地面后及时抹净地脚线、墙角上的污渍、水迹、清理卫生死角。</w:t>
      </w:r>
    </w:p>
    <w:p w14:paraId="08346241">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（8）门、门框随时保洁，无灰尘，不锈钢门保持光亮，每半年上不锈钢护理剂一次。</w:t>
      </w:r>
    </w:p>
    <w:p w14:paraId="36201521">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（9）桌椅、窗帘、书橱等其他设施擦抹干净，保持清洁、摆放整齐。</w:t>
      </w:r>
    </w:p>
    <w:p w14:paraId="1DA02E6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（10）保洁作业过程中要注意节约用水。</w:t>
      </w:r>
    </w:p>
    <w:p w14:paraId="60418895">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（11）不得翻阅资料、报刊、书籍，不得透露所看到的、听到的有关工作信息。</w:t>
      </w:r>
    </w:p>
    <w:p w14:paraId="3D83D97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（12）所有楼梯、楼道每天清扫、湿拖1—2次，保证无污迹、无痰迹、无积灰、灯具光亮清洁；楼道天花板保证无灰尘、蜘蛛网。</w:t>
      </w:r>
    </w:p>
    <w:p w14:paraId="6E690FE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（13）楼梯及扶手、栏杆及设施每天擦拭一次。</w:t>
      </w:r>
    </w:p>
    <w:p w14:paraId="736E0FB4">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2.3</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宿舍楼公共区域</w:t>
      </w:r>
    </w:p>
    <w:p w14:paraId="7C10A122">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（1）每天保洁2次，上午下午各一次，并保持场地无纸屑、无痰迹、无污迹。</w:t>
      </w:r>
    </w:p>
    <w:p w14:paraId="4A56BB05">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（2）楼梯及扶手、栏杆及设施每天擦拭一次。</w:t>
      </w:r>
    </w:p>
    <w:p w14:paraId="0637CF2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（3）所有楼道每天清扫、湿拖1—2次，保证无污迹、无痰迹、无积灰、灯具光亮清洁；楼道天花板保证无灰尘、蜘蛛网。</w:t>
      </w:r>
    </w:p>
    <w:p w14:paraId="516A2C2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（4）公共场地墙面、天花、扶手清洁光亮，无灰尘，各种装饰件、玻璃、灯具保持光亮清洁。</w:t>
      </w:r>
    </w:p>
    <w:p w14:paraId="7434E287">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（5）定期擦拭消防箱、灭火器，保持箱内外干净无积灰。</w:t>
      </w:r>
    </w:p>
    <w:p w14:paraId="795AD1C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（6）所有垃圾桶及时清理清洁，无灰尘、无杂物、无污渍，并定期保养。</w:t>
      </w:r>
    </w:p>
    <w:p w14:paraId="12169FEC">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（7）保洁作业过程中要注意节约用水。</w:t>
      </w:r>
    </w:p>
    <w:p w14:paraId="7126285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2.4</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室外公共区域</w:t>
      </w:r>
    </w:p>
    <w:p w14:paraId="529C684C">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（1）院子及四周：每天对地面进行两次清洁，每天上午、下午各一次，保持无落叶、无纸屑、无烟头、无杂物等。</w:t>
      </w:r>
    </w:p>
    <w:p w14:paraId="135B648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（2）每天对外围车道及停车场地面及四周进行清洁，保持无落叶、无纸屑、无杂物等，地面及所有出入道清洁。</w:t>
      </w:r>
    </w:p>
    <w:p w14:paraId="59658236">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（3）楼栋室外部分：每天两次清扫地面的灰尘和垃圾，保证无积水，保持地面无垃圾，无纸屑等杂物。</w:t>
      </w:r>
    </w:p>
    <w:p w14:paraId="205D7FC4">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（4）主干道保洁：每天两次对主干道地面进行全面清扫，每小时巡回保洁。</w:t>
      </w:r>
    </w:p>
    <w:p w14:paraId="3F9AE874">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（5）校园院内保洁必须喷洒水灭尘，保持校园环境净化。洒水车如出现故障需及时维修，恢复正常。</w:t>
      </w:r>
    </w:p>
    <w:p w14:paraId="7A5A5BE0">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（6）垃圾桶每天清洁一次，并保持外表干净。垃圾桶周围地面无垃圾和杂物，无臭味，无蚊蝇，垃圾桶表面保持清洁。</w:t>
      </w:r>
    </w:p>
    <w:p w14:paraId="1624B6A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 xml:space="preserve">（7）保洁作业过程中要注意节约用水。     </w:t>
      </w:r>
    </w:p>
    <w:p w14:paraId="2184ECF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2.5</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校园消杀</w:t>
      </w:r>
    </w:p>
    <w:p w14:paraId="4DFD36F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（1）定期进行消杀、灭蚊、灭蝇、灭鼠活动，并提前通知师生。</w:t>
      </w:r>
    </w:p>
    <w:p w14:paraId="42B71CD4">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（2）完成甲方通知的临时性清洁消杀任务。</w:t>
      </w:r>
    </w:p>
    <w:p w14:paraId="49C9D555">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2.6</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日常巡查、维修及搬运</w:t>
      </w:r>
    </w:p>
    <w:p w14:paraId="0C93D336">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（1）在校园公共区域内日常巡查时，发现门窗、灯具、桌椅、柜子、门栓、门把手、水电等有损坏或不能正常使用等情形，及时上报、及时维修，做好台账记录。</w:t>
      </w:r>
    </w:p>
    <w:p w14:paraId="694CA1DF">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（2）在校园公共区域内日常巡查时，对墙体、路面等损坏现象，对存在安全隐患现象都需及时上报，做好台账记录。</w:t>
      </w:r>
    </w:p>
    <w:p w14:paraId="34C4559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（3）校园内洗手池、便池下水道及地漏如有堵塞需及时疏通，恢复正常。</w:t>
      </w:r>
    </w:p>
    <w:p w14:paraId="2A41EF3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（4）按照甲方要求搬运物品。</w:t>
      </w:r>
    </w:p>
    <w:p w14:paraId="096F994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2.7</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水电气等设备维护管理要求</w:t>
      </w:r>
    </w:p>
    <w:p w14:paraId="70C928E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（1）建立健全水电气设备物业管理制度，明确各种岗位工作标准，并制定具体的落实措施和考核办法。</w:t>
      </w:r>
    </w:p>
    <w:p w14:paraId="667FA77D">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（2）设备图纸、档案资料管理完善、收集齐全，分类清晰；建立设备台帐，登记详细，帐物相符。</w:t>
      </w:r>
    </w:p>
    <w:p w14:paraId="75660C86">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（3）水电气设备机房环境整洁卫生，物品摆放有序。机房内严禁吸烟、饮酒等与工作不相符的事宜，无关人员不得随意入内。</w:t>
      </w:r>
    </w:p>
    <w:p w14:paraId="14ACD58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落实设备安全运行、岗位责任制；分工明确，定期巡检和维护保养设备，严格执行有关维修保养规程和操作使用规程，并按规定记录设备运行状况。配电机房、消控系统等重要部位应提供每天24小时技术与人员保障，确保随时处置各类突发情况。</w:t>
      </w:r>
    </w:p>
    <w:p w14:paraId="087A444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严格落实值班值勤制度，设立服务电话，接受报修、求助、建议、问询、质疑、投拆等各类信息的收集和反馈，并及时处理，有回访制度和记录。有用户投诉和服务要求时，应在10分钟时间内向相关部门发出工作通知单，对于投诉应在一个工作日内电话或书面或上门回复客户处理进展情况。</w:t>
      </w:r>
    </w:p>
    <w:p w14:paraId="01BCD672">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每月公开一次人员考核考勤情况，每年向采购人提供人员编制及档案材料，并上报考核考勤情况。物管人员和专业技术人员持证上岗，着装规范，佩戴标志明显，服务规范，作风严谨。全体员工在管理服务期间，必须仪容整洁、仪表端正、礼仪规范，做到文明礼貌，热情周到。</w:t>
      </w:r>
    </w:p>
    <w:p w14:paraId="6C27E406">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（7）加强日常工作巡查，及时发现并解决问题，并有检查及问题处理情况的记录。根据季节转换特点，主动做好空调等设备调整工作。</w:t>
      </w:r>
    </w:p>
    <w:p w14:paraId="3C8F2402">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（8）按档案管理的要求，将设备管理服务的有关资料分类管理，保存完好。</w:t>
      </w:r>
    </w:p>
    <w:p w14:paraId="2181C5FC">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9）落实水电气设备管理服务合同，兑现设备维修服务承诺。在设备维修过程中，设备维修期限为小修为1小时；中修4小时；大修8小时。要保证维修质量，减少返修，并有回访记录。在接到维修通知后，应10分钟内</w:t>
      </w:r>
      <w:r>
        <w:rPr>
          <w:rFonts w:hint="eastAsia" w:ascii="宋体" w:hAnsi="宋体" w:eastAsia="宋体" w:cs="宋体"/>
          <w:b w:val="0"/>
          <w:bCs/>
          <w:color w:val="auto"/>
          <w:kern w:val="44"/>
          <w:sz w:val="24"/>
          <w:szCs w:val="24"/>
          <w:highlight w:val="none"/>
        </w:rPr>
        <w:t>到</w:t>
      </w:r>
      <w:r>
        <w:rPr>
          <w:rFonts w:hint="eastAsia" w:ascii="宋体" w:hAnsi="宋体" w:eastAsia="宋体" w:cs="宋体"/>
          <w:b w:val="0"/>
          <w:bCs/>
          <w:color w:val="auto"/>
          <w:kern w:val="44"/>
          <w:sz w:val="24"/>
          <w:szCs w:val="24"/>
          <w:highlight w:val="none"/>
          <w:lang w:val="en-US" w:eastAsia="zh-CN"/>
        </w:rPr>
        <w:t>达</w:t>
      </w:r>
      <w:r>
        <w:rPr>
          <w:rFonts w:hint="eastAsia" w:ascii="宋体" w:hAnsi="宋体" w:eastAsia="宋体" w:cs="宋体"/>
          <w:b w:val="0"/>
          <w:bCs/>
          <w:kern w:val="44"/>
          <w:sz w:val="24"/>
          <w:szCs w:val="24"/>
        </w:rPr>
        <w:t>现场，维修及时率应保证达到80％。</w:t>
      </w:r>
    </w:p>
    <w:p w14:paraId="15EC70E1">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10）保持员工队伍相对稳定，调动技术骨干，应提前告知甲方。必须按招投标文件岗位配置配足员工，不得擅自减少。经抽查，发现员工数减少，且无正当理由，甲方有权按实际减少的人数扣除相应的人均管理服务费，同时要求乙方补足规定人数。</w:t>
      </w:r>
    </w:p>
    <w:p w14:paraId="0790FAA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（11）进一步做好各类设备管理台帐，记录各类维修材料损耗及流向情况，并定期分析物耗情况。</w:t>
      </w:r>
    </w:p>
    <w:p w14:paraId="1BD259CD">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（12）积极开展节能降耗工作，每月提供能耗数据分析报告，提出合理化建议。</w:t>
      </w:r>
    </w:p>
    <w:p w14:paraId="63A7FD2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（13）必须保管好甲方所有的工程设备图纸，因乙方原因遗失图纸所造成的损失，由乙方承担。</w:t>
      </w:r>
    </w:p>
    <w:p w14:paraId="599588C3">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（14）在水电气设备管理过程中，不得随意更改原系统设备在使用、控制或性能上的各项技术指标和要求，确需更改或进行技术改造须经甲方同意。</w:t>
      </w:r>
    </w:p>
    <w:p w14:paraId="0E2E1370">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（15）配合有关部门做好相关工作，制订和完善水电气设备系统突发事件应急处置预案，并定期培训和操演。</w:t>
      </w:r>
    </w:p>
    <w:p w14:paraId="53B4AEEA">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16）确保正常供电供水供气，严格限停水电审批权限，遇有计划限停水电，应按规定及时通知业主。制订给排水事故应急处理方案。发生渗水事故，维修人员须在10分钟内抵现场抢修，杜绝大面积跑水、泛水或长时间停水现象。</w:t>
      </w:r>
    </w:p>
    <w:p w14:paraId="1760858A">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（17）负责与专业维保单位等第三方的联系及现场管理工作，记录专业维保单位服务情况，并向甲方提出合理化建议。</w:t>
      </w:r>
    </w:p>
    <w:p w14:paraId="2F2C263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（18）及时落实业主要求的其它合理服务事项。</w:t>
      </w:r>
    </w:p>
    <w:p w14:paraId="05F7E375">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2.8</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水电气设备物业管理服务的任务</w:t>
      </w:r>
    </w:p>
    <w:p w14:paraId="3FC51BA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（1）负责范围内各设备系统的运行操作、日常巡视、定期检查保养、故障排除检修、应急处理工作。</w:t>
      </w:r>
    </w:p>
    <w:p w14:paraId="5AEF956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（2）制定各系统设备应急方案，并定期演练，逐步完善管理程序。</w:t>
      </w:r>
    </w:p>
    <w:p w14:paraId="796E1892">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（3）物业管理区域内物业共用部位、共用设施设备的管理及维修养护。</w:t>
      </w:r>
    </w:p>
    <w:p w14:paraId="4CCC593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（4）供水、供电、供气等专业单位在物业管理区域内对相关管线、设施维修养护时，进行必要的协调和管理。</w:t>
      </w:r>
    </w:p>
    <w:p w14:paraId="0A6B830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（5）协助和监督好专业设备维保单位的工作，接受相关行业单位的指导、监督、安全等工作的联系和管理。</w:t>
      </w:r>
    </w:p>
    <w:p w14:paraId="23DF2EC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（6）物业档案资料的建立和保管及有关物业服务费用的台帐管理，记录各设备系统维修时物料的流向。</w:t>
      </w:r>
    </w:p>
    <w:p w14:paraId="6A0FCF07">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（7）物业管理区域内业主、使用人其他物业方面的服务需求。</w:t>
      </w:r>
    </w:p>
    <w:p w14:paraId="3C79AF0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2.9</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提供物业管理的信息化服务。使用的软件可实现设施设备运行管理、报修登记、维修管理等功能，提供软件合法使用证明。</w:t>
      </w:r>
    </w:p>
    <w:p w14:paraId="442F6A4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p>
    <w:p w14:paraId="594563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B112C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C7CCD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两年</w:t>
      </w:r>
    </w:p>
    <w:p w14:paraId="519CE47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2"/>
          <w:sz w:val="24"/>
          <w:szCs w:val="24"/>
        </w:rPr>
        <w:t>范围</w:t>
      </w:r>
      <w:r>
        <w:rPr>
          <w:rFonts w:hint="eastAsia" w:asciiTheme="minorEastAsia" w:hAnsiTheme="minorEastAsia" w:eastAsiaTheme="minorEastAsia" w:cstheme="minorEastAsia"/>
          <w:spacing w:val="-2"/>
          <w:sz w:val="24"/>
          <w:szCs w:val="24"/>
          <w:lang w:eastAsia="zh-CN"/>
        </w:rPr>
        <w:t>：卧龙校区、雪枫校区、</w:t>
      </w:r>
      <w:r>
        <w:rPr>
          <w:rFonts w:hint="eastAsia" w:asciiTheme="minorEastAsia" w:hAnsiTheme="minorEastAsia" w:eastAsiaTheme="minorEastAsia" w:cstheme="minorEastAsia"/>
          <w:spacing w:val="-2"/>
          <w:sz w:val="24"/>
          <w:szCs w:val="24"/>
          <w:highlight w:val="none"/>
          <w:lang w:eastAsia="zh-CN"/>
        </w:rPr>
        <w:t>应急管理工程学院</w:t>
      </w:r>
      <w:r>
        <w:rPr>
          <w:rFonts w:hint="eastAsia" w:asciiTheme="minorEastAsia" w:hAnsiTheme="minorEastAsia" w:eastAsiaTheme="minorEastAsia" w:cstheme="minorEastAsia"/>
          <w:spacing w:val="-2"/>
          <w:sz w:val="24"/>
          <w:szCs w:val="24"/>
          <w:lang w:eastAsia="zh-CN"/>
        </w:rPr>
        <w:t>校园</w:t>
      </w:r>
    </w:p>
    <w:p w14:paraId="07F13B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lang w:val="en-US" w:eastAsia="zh-CN"/>
        </w:rPr>
        <w:t>3.质量要求：合格</w:t>
      </w:r>
    </w:p>
    <w:p w14:paraId="1071F7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2"/>
          <w:sz w:val="24"/>
          <w:szCs w:val="24"/>
          <w:lang w:val="en-US" w:eastAsia="zh-CN"/>
        </w:rPr>
        <w:t>投标人须明确本项目</w:t>
      </w:r>
      <w:r>
        <w:rPr>
          <w:rFonts w:hint="eastAsia" w:asciiTheme="minorEastAsia" w:hAnsiTheme="minorEastAsia" w:eastAsiaTheme="minorEastAsia" w:cstheme="minorEastAsia"/>
          <w:spacing w:val="-2"/>
          <w:sz w:val="24"/>
          <w:szCs w:val="24"/>
          <w:highlight w:val="none"/>
          <w:lang w:val="en-US" w:eastAsia="zh-CN"/>
        </w:rPr>
        <w:t>（指物业服务）的项目负责人、人员组织和设备安排等</w:t>
      </w:r>
      <w:r>
        <w:rPr>
          <w:rFonts w:hint="eastAsia" w:asciiTheme="minorEastAsia" w:hAnsiTheme="minorEastAsia" w:eastAsiaTheme="minorEastAsia" w:cstheme="minorEastAsia"/>
          <w:spacing w:val="-2"/>
          <w:sz w:val="24"/>
          <w:szCs w:val="24"/>
          <w:lang w:val="en-US" w:eastAsia="zh-CN"/>
        </w:rPr>
        <w:t>。</w:t>
      </w:r>
    </w:p>
    <w:p w14:paraId="2D5424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lang w:val="en-US" w:eastAsia="zh-CN"/>
        </w:rPr>
        <w:t>5.投标人须提供本项目的</w:t>
      </w:r>
      <w:r>
        <w:rPr>
          <w:rFonts w:hint="eastAsia" w:asciiTheme="minorEastAsia" w:hAnsiTheme="minorEastAsia" w:eastAsiaTheme="minorEastAsia" w:cstheme="minorEastAsia"/>
          <w:spacing w:val="-2"/>
          <w:sz w:val="24"/>
          <w:szCs w:val="24"/>
          <w:highlight w:val="none"/>
          <w:lang w:val="en-US" w:eastAsia="zh-CN"/>
        </w:rPr>
        <w:t>物业整体服务方案、保洁服务实施方案、应急预案、服务人员培训方案、传染性疾病防控措施、信息化管理水平服务方案、服务质量保证措施等。</w:t>
      </w:r>
    </w:p>
    <w:p w14:paraId="5FE1662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14:paraId="5C12BE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采购人对服务的质量进行详细全面的检验，自合同签订之日起每个月对物业服务进行考评，每四个月进行考评汇总并出具验收（考评）报告，作为付款的凭据之一。（若出现验收考核不合格或发生重大校园事故，甲方有权单方面终止合同）</w:t>
      </w:r>
    </w:p>
    <w:p w14:paraId="7DE2E6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lang w:val="en-US" w:eastAsia="zh-CN"/>
        </w:rPr>
        <w:t>7.付款方式：合同签订之日起每满四个月后，验收考核通过且具备付款条件之日起15个工作日内支付合同金额的1/6，乙方应开具正规发票，直至付清。</w:t>
      </w:r>
    </w:p>
    <w:p w14:paraId="04E3CE3E">
      <w:pPr>
        <w:pStyle w:val="2"/>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2"/>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19B2101">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D8A57E9">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A230BCA">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CD90E6">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3DD8738B">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210F01BE">
            <w:pPr>
              <w:pStyle w:val="26"/>
              <w:keepNext w:val="0"/>
              <w:keepLines w:val="0"/>
              <w:pageBreakBefore w:val="0"/>
              <w:kinsoku/>
              <w:wordWrap w:val="0"/>
              <w:overflowPunct/>
              <w:topLinePunct w:val="0"/>
              <w:bidi w:val="0"/>
              <w:spacing w:before="25" w:line="207" w:lineRule="auto"/>
              <w:ind w:left="126" w:leftChars="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6"/>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6"/>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6"/>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物业管理 </w:t>
            </w:r>
          </w:p>
          <w:p w14:paraId="0073295C">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12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620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4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4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6"/>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6"/>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highlight w:val="none"/>
          <w:u w:val="single"/>
          <w:lang w:val="en-US" w:eastAsia="zh-CN"/>
        </w:rPr>
        <w:t>620</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5B1410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6A713D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lang w:val="en-US" w:eastAsia="zh-CN"/>
        </w:rPr>
        <w:t xml:space="preserve">3 </w:t>
      </w:r>
      <w:r>
        <w:rPr>
          <w:rFonts w:hint="eastAsia" w:asciiTheme="minorEastAsia" w:hAnsiTheme="minorEastAsia" w:eastAsiaTheme="minorEastAsia" w:cstheme="minorEastAsia"/>
          <w:spacing w:val="-8"/>
          <w:sz w:val="24"/>
          <w:szCs w:val="24"/>
        </w:rPr>
        <w:t>正版软件</w:t>
      </w:r>
    </w:p>
    <w:p w14:paraId="35FC4E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5BF66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4 </w:t>
      </w:r>
      <w:r>
        <w:rPr>
          <w:rFonts w:hint="eastAsia" w:asciiTheme="minorEastAsia" w:hAnsiTheme="minorEastAsia" w:eastAsiaTheme="minorEastAsia" w:cstheme="minorEastAsia"/>
          <w:sz w:val="24"/>
          <w:szCs w:val="24"/>
        </w:rPr>
        <w:t>网络安全专用产品</w:t>
      </w:r>
    </w:p>
    <w:p w14:paraId="2BA20B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5C84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14:paraId="1722BD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4.5.</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物业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2"/>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4"/>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4"/>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 xml:space="preserve">10.3 </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4"/>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w:t>
      </w:r>
      <w:r>
        <w:rPr>
          <w:rFonts w:hint="eastAsia" w:hAnsi="宋体" w:cs="宋体"/>
          <w:b/>
          <w:bCs/>
          <w:sz w:val="24"/>
          <w:szCs w:val="24"/>
          <w:lang w:val="en-US" w:eastAsia="zh-CN"/>
        </w:rPr>
        <w:t xml:space="preserve"> </w:t>
      </w:r>
      <w:r>
        <w:rPr>
          <w:rFonts w:hint="eastAsia" w:ascii="宋体" w:hAnsi="宋体" w:cs="宋体"/>
          <w:b/>
          <w:bCs/>
          <w:sz w:val="24"/>
          <w:szCs w:val="24"/>
          <w:lang w:val="en-US" w:eastAsia="zh-CN"/>
        </w:rPr>
        <w:t>技术标文件制作要求：</w:t>
      </w:r>
    </w:p>
    <w:p w14:paraId="4E6A4218">
      <w:pPr>
        <w:pStyle w:val="34"/>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10.4.1</w:t>
      </w:r>
      <w:r>
        <w:rPr>
          <w:rFonts w:hint="eastAsia" w:hAnsi="宋体" w:cs="宋体"/>
          <w:b/>
          <w:bCs/>
          <w:sz w:val="24"/>
          <w:szCs w:val="24"/>
        </w:rPr>
        <w:t>版面要求：A4纸张大小，纵向排版，不设置封面。</w:t>
      </w:r>
    </w:p>
    <w:p w14:paraId="60AE4BDD">
      <w:pPr>
        <w:pStyle w:val="34"/>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w:t>
      </w:r>
      <w:r>
        <w:rPr>
          <w:rFonts w:hint="eastAsia" w:hAnsi="宋体" w:cs="宋体"/>
          <w:b/>
          <w:bCs/>
          <w:sz w:val="24"/>
          <w:szCs w:val="24"/>
        </w:rPr>
        <w:t>2颜色要求：所有文字、图表均为黑色。</w:t>
      </w:r>
    </w:p>
    <w:p w14:paraId="377B7A3F">
      <w:pPr>
        <w:pStyle w:val="34"/>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w:t>
      </w:r>
      <w:r>
        <w:rPr>
          <w:rFonts w:hint="eastAsia" w:hAnsi="宋体" w:cs="宋体"/>
          <w:b/>
          <w:bCs/>
          <w:sz w:val="24"/>
          <w:szCs w:val="24"/>
        </w:rPr>
        <w:t>3字体要求：标题及正文部分所用文字均采用“宋体”四号“常规”字；图、表内的字体及字号不作要求；所有字体均不得出现加粗、加色、倾斜、下划线等标记。</w:t>
      </w:r>
    </w:p>
    <w:p w14:paraId="0F3C3B4B">
      <w:pPr>
        <w:pStyle w:val="34"/>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10.4.4</w:t>
      </w:r>
      <w:r>
        <w:rPr>
          <w:rFonts w:hint="eastAsia" w:hAnsi="宋体" w:cs="宋体"/>
          <w:b/>
          <w:bCs/>
          <w:sz w:val="24"/>
          <w:szCs w:val="24"/>
        </w:rPr>
        <w:t>排版要求：页边距要求上、下边距3厘米，左、右页边距2厘米；不得设置目录；段落格式对齐方式统一设为左对齐；正文首行缩进2字符；标题缩进量为0、不设置首行缩进；不得有空格；正文、标题行间距为固定值25磅；段前段后间距为0，且段落前后不得设置空行；不得设置页眉、页脚和页码；图、表部分对齐形式设为居中对齐；标题规则：一级“一、”二级“（一）”三级“1.”四级“（1）”五级“1）”六级“a.”七级“a)”。</w:t>
      </w:r>
    </w:p>
    <w:p w14:paraId="351C1EBD">
      <w:pPr>
        <w:pStyle w:val="34"/>
        <w:snapToGrid w:val="0"/>
        <w:spacing w:line="360" w:lineRule="auto"/>
        <w:ind w:firstLine="482"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hAnsi="宋体" w:eastAsia="宋体" w:cs="宋体"/>
          <w:b/>
          <w:bCs/>
          <w:sz w:val="24"/>
          <w:szCs w:val="24"/>
          <w:lang w:val="en-US" w:eastAsia="zh-CN"/>
        </w:rPr>
        <w:t>10.4.</w:t>
      </w:r>
      <w:r>
        <w:rPr>
          <w:rFonts w:hint="eastAsia" w:hAnsi="宋体" w:cs="宋体"/>
          <w:b/>
          <w:bCs/>
          <w:sz w:val="24"/>
          <w:szCs w:val="24"/>
        </w:rPr>
        <w:t>5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4"/>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2"/>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5"/>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528360">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BFA6DD8">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0E5884">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850DA33">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EA0B1DE">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7E57943">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4"/>
        <w:rPr>
          <w:rFonts w:hint="eastAsia"/>
          <w:lang w:val="en-US" w:eastAsia="zh-CN"/>
        </w:rPr>
      </w:pPr>
    </w:p>
    <w:p w14:paraId="27BCC665">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6"/>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6"/>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6"/>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6"/>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6"/>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6"/>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6"/>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6"/>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6"/>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6"/>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6"/>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6"/>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6"/>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6"/>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6"/>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w:t>
      </w:r>
      <w:r>
        <w:rPr>
          <w:rFonts w:hint="eastAsia" w:asciiTheme="minorEastAsia" w:hAnsiTheme="minorEastAsia" w:eastAsiaTheme="minorEastAsia" w:cstheme="minorEastAsia"/>
          <w:spacing w:val="2"/>
          <w:position w:val="17"/>
          <w:sz w:val="24"/>
          <w:szCs w:val="24"/>
          <w:highlight w:val="none"/>
          <w:lang w:val="en-US" w:eastAsia="zh-CN"/>
        </w:rPr>
        <w:t>物业整体服务方案、保洁服务实施方案、应急预案、服务人员培训方案、传染性疾病防控措施、信息化管理水平服务方案、服务质量保证措施、需投入的人员设备</w:t>
      </w:r>
      <w:r>
        <w:rPr>
          <w:rFonts w:hint="eastAsia" w:asciiTheme="minorEastAsia" w:hAnsiTheme="minorEastAsia" w:eastAsiaTheme="minorEastAsia" w:cstheme="minorEastAsia"/>
          <w:spacing w:val="2"/>
          <w:position w:val="17"/>
          <w:sz w:val="24"/>
          <w:szCs w:val="24"/>
          <w:lang w:val="en-US"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435CA16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5"/>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5"/>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455"/>
        <w:gridCol w:w="1005"/>
        <w:gridCol w:w="5331"/>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44"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455"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05"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331"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44" w:type="dxa"/>
            <w:vAlign w:val="center"/>
          </w:tcPr>
          <w:p w14:paraId="1730E6E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w:t>
            </w:r>
          </w:p>
        </w:tc>
        <w:tc>
          <w:tcPr>
            <w:tcW w:w="1455" w:type="dxa"/>
            <w:vAlign w:val="center"/>
          </w:tcPr>
          <w:p w14:paraId="09AA960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12A103D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（满分25分）</w:t>
            </w:r>
          </w:p>
        </w:tc>
        <w:tc>
          <w:tcPr>
            <w:tcW w:w="1005" w:type="dxa"/>
            <w:vAlign w:val="center"/>
          </w:tcPr>
          <w:p w14:paraId="16ACE19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投标报价</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25分</w:t>
            </w:r>
            <w:r>
              <w:rPr>
                <w:rFonts w:hint="eastAsia" w:asciiTheme="minorEastAsia" w:hAnsiTheme="minorEastAsia" w:eastAsiaTheme="minorEastAsia" w:cstheme="minorEastAsia"/>
                <w:spacing w:val="-3"/>
                <w:sz w:val="24"/>
                <w:szCs w:val="24"/>
                <w:lang w:eastAsia="zh-CN"/>
              </w:rPr>
              <w:t>）</w:t>
            </w:r>
          </w:p>
          <w:p w14:paraId="1F0D5E7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rPr>
            </w:pPr>
          </w:p>
        </w:tc>
        <w:tc>
          <w:tcPr>
            <w:tcW w:w="5331" w:type="dxa"/>
            <w:vAlign w:val="top"/>
          </w:tcPr>
          <w:p w14:paraId="285F4B1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25</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价格分计算保留小数点后两位</w:t>
            </w:r>
            <w:r>
              <w:rPr>
                <w:rFonts w:hint="eastAsia" w:asciiTheme="minorEastAsia" w:hAnsiTheme="minorEastAsia" w:eastAsiaTheme="minorEastAsia" w:cstheme="minorEastAsia"/>
                <w:spacing w:val="-12"/>
                <w:sz w:val="24"/>
                <w:szCs w:val="24"/>
                <w:lang w:eastAsia="zh-CN"/>
              </w:rPr>
              <w:t>）</w:t>
            </w:r>
          </w:p>
          <w:p w14:paraId="24AF2742">
            <w:pPr>
              <w:keepNext w:val="0"/>
              <w:keepLines w:val="0"/>
              <w:pageBreakBefore w:val="0"/>
              <w:kinsoku/>
              <w:wordWrap w:val="0"/>
              <w:overflowPunct/>
              <w:topLinePunct w:val="0"/>
              <w:bidi w:val="0"/>
              <w:spacing w:before="191" w:line="235" w:lineRule="auto"/>
              <w:ind w:left="113" w:right="103" w:firstLine="42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审，参与优惠企业的报价=投标报价*（1-1</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restart"/>
            <w:vAlign w:val="center"/>
          </w:tcPr>
          <w:p w14:paraId="24762CF9">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455" w:type="dxa"/>
            <w:vMerge w:val="restart"/>
            <w:vAlign w:val="center"/>
          </w:tcPr>
          <w:p w14:paraId="5A0D79E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b/>
                <w:bCs/>
                <w:snapToGrid w:val="0"/>
                <w:color w:val="000000"/>
                <w:spacing w:val="-13"/>
                <w:kern w:val="0"/>
                <w:sz w:val="24"/>
                <w:szCs w:val="24"/>
                <w:lang w:val="en-US" w:eastAsia="zh-CN" w:bidi="ar-SA"/>
              </w:rPr>
              <w:t>暗标</w:t>
            </w:r>
            <w:r>
              <w:rPr>
                <w:rFonts w:hint="eastAsia" w:asciiTheme="minorEastAsia" w:hAnsiTheme="minorEastAsia" w:eastAsiaTheme="minorEastAsia" w:cstheme="minorEastAsia"/>
                <w:snapToGrid w:val="0"/>
                <w:color w:val="000000"/>
                <w:spacing w:val="-13"/>
                <w:kern w:val="0"/>
                <w:sz w:val="24"/>
                <w:szCs w:val="24"/>
                <w:lang w:val="en-US" w:eastAsia="zh-CN" w:bidi="ar-SA"/>
              </w:rPr>
              <w:t>，满分60分）</w:t>
            </w:r>
          </w:p>
        </w:tc>
        <w:tc>
          <w:tcPr>
            <w:tcW w:w="1005" w:type="dxa"/>
            <w:vAlign w:val="center"/>
          </w:tcPr>
          <w:p w14:paraId="47CD74A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整体服务方案</w:t>
            </w:r>
          </w:p>
          <w:p w14:paraId="49A84E9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331" w:type="dxa"/>
            <w:vAlign w:val="top"/>
          </w:tcPr>
          <w:p w14:paraId="3583123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根据供应商提供的整体服务方案进行评审：</w:t>
            </w:r>
          </w:p>
          <w:p w14:paraId="707F051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1.整体服务方案计划</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合理、设计完整清晰、</w:t>
            </w:r>
            <w:r>
              <w:rPr>
                <w:rFonts w:hint="eastAsia" w:asciiTheme="minorEastAsia" w:hAnsiTheme="minorEastAsia" w:eastAsiaTheme="minorEastAsia" w:cstheme="minorEastAsia"/>
                <w:snapToGrid w:val="0"/>
                <w:color w:val="000000"/>
                <w:spacing w:val="-13"/>
                <w:kern w:val="0"/>
                <w:sz w:val="24"/>
                <w:szCs w:val="24"/>
                <w:lang w:val="en-US" w:eastAsia="zh-CN" w:bidi="ar-SA"/>
              </w:rPr>
              <w:t>能精准</w:t>
            </w:r>
            <w:r>
              <w:rPr>
                <w:rFonts w:hint="eastAsia" w:asciiTheme="minorEastAsia" w:hAnsiTheme="minorEastAsia" w:eastAsiaTheme="minorEastAsia" w:cstheme="minorEastAsia"/>
                <w:snapToGrid w:val="0"/>
                <w:color w:val="000000"/>
                <w:spacing w:val="-13"/>
                <w:kern w:val="0"/>
                <w:sz w:val="24"/>
                <w:szCs w:val="24"/>
                <w:lang w:val="en-US" w:eastAsia="en-US" w:bidi="ar-SA"/>
              </w:rPr>
              <w:t>理解用户需求、完全满足项目需求为第一档，</w:t>
            </w:r>
            <w:r>
              <w:rPr>
                <w:rFonts w:hint="eastAsia" w:asciiTheme="minorEastAsia" w:hAnsiTheme="minorEastAsia" w:eastAsiaTheme="minorEastAsia" w:cstheme="minorEastAsia"/>
                <w:snapToGrid w:val="0"/>
                <w:color w:val="000000"/>
                <w:spacing w:val="-13"/>
                <w:kern w:val="0"/>
                <w:sz w:val="24"/>
                <w:szCs w:val="24"/>
                <w:lang w:val="en-US" w:eastAsia="zh-CN" w:bidi="ar-SA"/>
              </w:rPr>
              <w:t>得9</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8AA5E9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2.计划合理、设计完整，</w:t>
            </w:r>
            <w:r>
              <w:rPr>
                <w:rFonts w:hint="eastAsia" w:asciiTheme="minorEastAsia" w:hAnsiTheme="minorEastAsia" w:eastAsiaTheme="minorEastAsia" w:cstheme="minorEastAsia"/>
                <w:snapToGrid w:val="0"/>
                <w:color w:val="000000"/>
                <w:spacing w:val="-13"/>
                <w:kern w:val="0"/>
                <w:sz w:val="24"/>
                <w:szCs w:val="24"/>
                <w:lang w:val="en-US" w:eastAsia="zh-CN" w:bidi="ar-SA"/>
              </w:rPr>
              <w:t>较为贴合</w:t>
            </w:r>
            <w:r>
              <w:rPr>
                <w:rFonts w:hint="eastAsia" w:asciiTheme="minorEastAsia" w:hAnsiTheme="minorEastAsia" w:eastAsiaTheme="minorEastAsia" w:cstheme="minorEastAsia"/>
                <w:snapToGrid w:val="0"/>
                <w:color w:val="000000"/>
                <w:spacing w:val="-13"/>
                <w:kern w:val="0"/>
                <w:sz w:val="24"/>
                <w:szCs w:val="24"/>
                <w:lang w:val="en-US" w:eastAsia="en-US" w:bidi="ar-SA"/>
              </w:rPr>
              <w:t>用户需求，能</w:t>
            </w:r>
            <w:r>
              <w:rPr>
                <w:rFonts w:hint="eastAsia" w:asciiTheme="minorEastAsia" w:hAnsiTheme="minorEastAsia" w:eastAsiaTheme="minorEastAsia" w:cstheme="minorEastAsia"/>
                <w:snapToGrid w:val="0"/>
                <w:color w:val="000000"/>
                <w:spacing w:val="-13"/>
                <w:kern w:val="0"/>
                <w:sz w:val="24"/>
                <w:szCs w:val="24"/>
                <w:lang w:val="en-US" w:eastAsia="zh-CN" w:bidi="ar-SA"/>
              </w:rPr>
              <w:t>较好</w:t>
            </w:r>
            <w:r>
              <w:rPr>
                <w:rFonts w:hint="eastAsia" w:asciiTheme="minorEastAsia" w:hAnsiTheme="minorEastAsia" w:eastAsiaTheme="minorEastAsia" w:cstheme="minorEastAsia"/>
                <w:snapToGrid w:val="0"/>
                <w:color w:val="000000"/>
                <w:spacing w:val="-13"/>
                <w:kern w:val="0"/>
                <w:sz w:val="24"/>
                <w:szCs w:val="24"/>
                <w:lang w:val="en-US" w:eastAsia="en-US" w:bidi="ar-SA"/>
              </w:rPr>
              <w:t>满足项目需求为第二档，</w:t>
            </w:r>
            <w:r>
              <w:rPr>
                <w:rFonts w:hint="eastAsia" w:asciiTheme="minorEastAsia" w:hAnsiTheme="minorEastAsia" w:eastAsiaTheme="minorEastAsia" w:cstheme="minorEastAsia"/>
                <w:snapToGrid w:val="0"/>
                <w:color w:val="000000"/>
                <w:spacing w:val="-13"/>
                <w:kern w:val="0"/>
                <w:sz w:val="24"/>
                <w:szCs w:val="24"/>
                <w:lang w:val="en-US" w:eastAsia="zh-CN" w:bidi="ar-SA"/>
              </w:rPr>
              <w:t>得6</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C61D430">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3.设计完整</w:t>
            </w:r>
            <w:r>
              <w:rPr>
                <w:rFonts w:hint="eastAsia" w:asciiTheme="minorEastAsia" w:hAnsiTheme="minorEastAsia" w:eastAsiaTheme="minorEastAsia" w:cstheme="minorEastAsia"/>
                <w:snapToGrid w:val="0"/>
                <w:color w:val="000000"/>
                <w:spacing w:val="-13"/>
                <w:kern w:val="0"/>
                <w:sz w:val="24"/>
                <w:szCs w:val="24"/>
                <w:lang w:val="en-US" w:eastAsia="zh-CN" w:bidi="ar-SA"/>
              </w:rPr>
              <w:t>但不深入</w:t>
            </w:r>
            <w:r>
              <w:rPr>
                <w:rFonts w:hint="eastAsia" w:asciiTheme="minorEastAsia" w:hAnsiTheme="minorEastAsia" w:eastAsiaTheme="minorEastAsia" w:cstheme="minorEastAsia"/>
                <w:snapToGrid w:val="0"/>
                <w:color w:val="000000"/>
                <w:spacing w:val="-13"/>
                <w:kern w:val="0"/>
                <w:sz w:val="24"/>
                <w:szCs w:val="24"/>
                <w:lang w:val="en-US" w:eastAsia="en-US" w:bidi="ar-SA"/>
              </w:rPr>
              <w:t>，对用户需求理解</w:t>
            </w:r>
            <w:r>
              <w:rPr>
                <w:rFonts w:hint="eastAsia" w:asciiTheme="minorEastAsia" w:hAnsiTheme="minorEastAsia" w:eastAsiaTheme="minorEastAsia" w:cstheme="minorEastAsia"/>
                <w:snapToGrid w:val="0"/>
                <w:color w:val="000000"/>
                <w:spacing w:val="-13"/>
                <w:kern w:val="0"/>
                <w:sz w:val="24"/>
                <w:szCs w:val="24"/>
                <w:lang w:val="en-US" w:eastAsia="zh-CN" w:bidi="ar-SA"/>
              </w:rPr>
              <w:t>较浅</w:t>
            </w:r>
            <w:r>
              <w:rPr>
                <w:rFonts w:hint="eastAsia" w:asciiTheme="minorEastAsia" w:hAnsiTheme="minorEastAsia" w:eastAsiaTheme="minorEastAsia" w:cstheme="minorEastAsia"/>
                <w:snapToGrid w:val="0"/>
                <w:color w:val="000000"/>
                <w:spacing w:val="-13"/>
                <w:kern w:val="0"/>
                <w:sz w:val="24"/>
                <w:szCs w:val="24"/>
                <w:lang w:val="en-US" w:eastAsia="en-US" w:bidi="ar-SA"/>
              </w:rPr>
              <w:t>，基本符合</w:t>
            </w:r>
            <w:r>
              <w:rPr>
                <w:rFonts w:hint="eastAsia" w:asciiTheme="minorEastAsia" w:hAnsiTheme="minorEastAsia" w:eastAsiaTheme="minorEastAsia" w:cstheme="minorEastAsia"/>
                <w:snapToGrid w:val="0"/>
                <w:color w:val="000000"/>
                <w:spacing w:val="-13"/>
                <w:kern w:val="0"/>
                <w:sz w:val="24"/>
                <w:szCs w:val="24"/>
                <w:lang w:val="en-US" w:eastAsia="zh-CN" w:bidi="ar-SA"/>
              </w:rPr>
              <w:t>采购</w:t>
            </w:r>
            <w:r>
              <w:rPr>
                <w:rFonts w:hint="eastAsia" w:asciiTheme="minorEastAsia" w:hAnsiTheme="minorEastAsia" w:eastAsiaTheme="minorEastAsia" w:cstheme="minorEastAsia"/>
                <w:snapToGrid w:val="0"/>
                <w:color w:val="000000"/>
                <w:spacing w:val="-13"/>
                <w:kern w:val="0"/>
                <w:sz w:val="24"/>
                <w:szCs w:val="24"/>
                <w:lang w:val="en-US" w:eastAsia="en-US" w:bidi="ar-SA"/>
              </w:rPr>
              <w:t>要求为第三档，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4分；</w:t>
            </w:r>
          </w:p>
          <w:p w14:paraId="50C067E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4.计划空洞</w:t>
            </w:r>
            <w:r>
              <w:rPr>
                <w:rFonts w:hint="eastAsia" w:asciiTheme="minorEastAsia" w:hAnsiTheme="minorEastAsia" w:eastAsiaTheme="minorEastAsia" w:cstheme="minorEastAsia"/>
                <w:snapToGrid w:val="0"/>
                <w:color w:val="000000"/>
                <w:spacing w:val="-13"/>
                <w:kern w:val="0"/>
                <w:sz w:val="24"/>
                <w:szCs w:val="24"/>
                <w:lang w:val="en-US" w:eastAsia="zh-CN" w:bidi="ar-SA"/>
              </w:rPr>
              <w:t>、简单</w:t>
            </w:r>
            <w:r>
              <w:rPr>
                <w:rFonts w:hint="eastAsia" w:asciiTheme="minorEastAsia" w:hAnsiTheme="minorEastAsia" w:eastAsiaTheme="minorEastAsia" w:cstheme="minorEastAsia"/>
                <w:snapToGrid w:val="0"/>
                <w:color w:val="000000"/>
                <w:spacing w:val="-13"/>
                <w:kern w:val="0"/>
                <w:sz w:val="24"/>
                <w:szCs w:val="24"/>
                <w:lang w:val="en-US" w:eastAsia="en-US" w:bidi="ar-SA"/>
              </w:rPr>
              <w:t>，无实质性内容</w:t>
            </w:r>
            <w:r>
              <w:rPr>
                <w:rFonts w:hint="eastAsia" w:asciiTheme="minorEastAsia" w:hAnsiTheme="minorEastAsia" w:eastAsiaTheme="minorEastAsia" w:cstheme="minorEastAsia"/>
                <w:snapToGrid w:val="0"/>
                <w:color w:val="000000"/>
                <w:spacing w:val="-13"/>
                <w:kern w:val="0"/>
                <w:sz w:val="24"/>
                <w:szCs w:val="24"/>
                <w:lang w:val="en-US" w:eastAsia="zh-CN" w:bidi="ar-SA"/>
              </w:rPr>
              <w:t>，难以满足项目需求的</w:t>
            </w:r>
            <w:r>
              <w:rPr>
                <w:rFonts w:hint="eastAsia" w:asciiTheme="minorEastAsia" w:hAnsiTheme="minorEastAsia" w:eastAsiaTheme="minorEastAsia" w:cstheme="minorEastAsia"/>
                <w:snapToGrid w:val="0"/>
                <w:color w:val="000000"/>
                <w:spacing w:val="-13"/>
                <w:kern w:val="0"/>
                <w:sz w:val="24"/>
                <w:szCs w:val="24"/>
                <w:lang w:val="en-US" w:eastAsia="en-US" w:bidi="ar-SA"/>
              </w:rPr>
              <w:t>为第四档，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1分；</w:t>
            </w:r>
          </w:p>
          <w:p w14:paraId="6B0D6304">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5.此项缺项不得分</w:t>
            </w:r>
          </w:p>
        </w:tc>
      </w:tr>
      <w:tr w14:paraId="00473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5337037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1E20B75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42F834A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保洁服务实施方案</w:t>
            </w:r>
          </w:p>
          <w:p w14:paraId="6A19BF9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331" w:type="dxa"/>
            <w:vAlign w:val="top"/>
          </w:tcPr>
          <w:p w14:paraId="1A88BDF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根据供应商提供的保洁服务实施方案（包含服务工作流程、管理工作控制方式）进行评审：</w:t>
            </w:r>
          </w:p>
          <w:p w14:paraId="2F64937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w:t>
            </w:r>
            <w:r>
              <w:rPr>
                <w:rFonts w:hint="eastAsia" w:asciiTheme="minorEastAsia" w:hAnsiTheme="minorEastAsia" w:eastAsiaTheme="minorEastAsia" w:cstheme="minorEastAsia"/>
                <w:snapToGrid w:val="0"/>
                <w:color w:val="000000"/>
                <w:spacing w:val="-13"/>
                <w:kern w:val="0"/>
                <w:sz w:val="24"/>
                <w:szCs w:val="24"/>
                <w:lang w:val="en-US" w:eastAsia="zh-CN" w:bidi="ar-SA"/>
              </w:rPr>
              <w:t>保洁服务实施</w:t>
            </w:r>
            <w:r>
              <w:rPr>
                <w:rFonts w:hint="eastAsia" w:asciiTheme="minorEastAsia" w:hAnsiTheme="minorEastAsia" w:eastAsiaTheme="minorEastAsia" w:cstheme="minorEastAsia"/>
                <w:snapToGrid w:val="0"/>
                <w:color w:val="000000"/>
                <w:spacing w:val="-13"/>
                <w:kern w:val="0"/>
                <w:sz w:val="24"/>
                <w:szCs w:val="24"/>
                <w:lang w:val="en-US" w:eastAsia="en-US" w:bidi="ar-SA"/>
              </w:rPr>
              <w:t>方案内容</w:t>
            </w:r>
            <w:r>
              <w:rPr>
                <w:rFonts w:hint="eastAsia" w:asciiTheme="minorEastAsia" w:hAnsiTheme="minorEastAsia" w:eastAsiaTheme="minorEastAsia" w:cstheme="minorEastAsia"/>
                <w:snapToGrid w:val="0"/>
                <w:color w:val="000000"/>
                <w:spacing w:val="-13"/>
                <w:kern w:val="0"/>
                <w:sz w:val="24"/>
                <w:szCs w:val="24"/>
                <w:lang w:val="en-US" w:eastAsia="zh-CN" w:bidi="ar-SA"/>
              </w:rPr>
              <w:t>丰富</w:t>
            </w:r>
            <w:r>
              <w:rPr>
                <w:rFonts w:hint="eastAsia" w:asciiTheme="minorEastAsia" w:hAnsiTheme="minorEastAsia" w:eastAsiaTheme="minorEastAsia" w:cstheme="minorEastAsia"/>
                <w:snapToGrid w:val="0"/>
                <w:color w:val="000000"/>
                <w:spacing w:val="-13"/>
                <w:kern w:val="0"/>
                <w:sz w:val="24"/>
                <w:szCs w:val="24"/>
                <w:lang w:val="en-US" w:eastAsia="en-US" w:bidi="ar-SA"/>
              </w:rPr>
              <w:t>完整，</w:t>
            </w:r>
            <w:r>
              <w:rPr>
                <w:rFonts w:hint="eastAsia" w:asciiTheme="minorEastAsia" w:hAnsiTheme="minorEastAsia" w:eastAsiaTheme="minorEastAsia" w:cstheme="minorEastAsia"/>
                <w:snapToGrid w:val="0"/>
                <w:color w:val="000000"/>
                <w:spacing w:val="-13"/>
                <w:kern w:val="0"/>
                <w:sz w:val="24"/>
                <w:szCs w:val="24"/>
                <w:lang w:val="en-US" w:eastAsia="zh-CN" w:bidi="ar-SA"/>
              </w:rPr>
              <w:t>流程</w:t>
            </w:r>
            <w:r>
              <w:rPr>
                <w:rFonts w:hint="eastAsia" w:asciiTheme="minorEastAsia" w:hAnsiTheme="minorEastAsia" w:eastAsiaTheme="minorEastAsia" w:cstheme="minorEastAsia"/>
                <w:snapToGrid w:val="0"/>
                <w:color w:val="000000"/>
                <w:spacing w:val="-13"/>
                <w:kern w:val="0"/>
                <w:sz w:val="24"/>
                <w:szCs w:val="24"/>
                <w:lang w:val="en-US" w:eastAsia="en-US" w:bidi="ar-SA"/>
              </w:rPr>
              <w:t>合理、规范，可操作性强，完全满足采购文件要求的，得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10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729565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2.供应商提供的方案内容较完整，</w:t>
            </w:r>
            <w:r>
              <w:rPr>
                <w:rFonts w:hint="eastAsia" w:asciiTheme="minorEastAsia" w:hAnsiTheme="minorEastAsia" w:eastAsiaTheme="minorEastAsia" w:cstheme="minorEastAsia"/>
                <w:snapToGrid w:val="0"/>
                <w:color w:val="000000"/>
                <w:spacing w:val="-13"/>
                <w:kern w:val="0"/>
                <w:sz w:val="24"/>
                <w:szCs w:val="24"/>
                <w:lang w:val="en-US" w:eastAsia="zh-CN" w:bidi="ar-SA"/>
              </w:rPr>
              <w:t>工作流程和控制方式较为</w:t>
            </w:r>
            <w:r>
              <w:rPr>
                <w:rFonts w:hint="eastAsia" w:asciiTheme="minorEastAsia" w:hAnsiTheme="minorEastAsia" w:eastAsiaTheme="minorEastAsia" w:cstheme="minorEastAsia"/>
                <w:snapToGrid w:val="0"/>
                <w:color w:val="000000"/>
                <w:spacing w:val="-13"/>
                <w:kern w:val="0"/>
                <w:sz w:val="24"/>
                <w:szCs w:val="24"/>
                <w:lang w:val="en-US" w:eastAsia="en-US" w:bidi="ar-SA"/>
              </w:rPr>
              <w:t>合理规范，可操作性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较强</w:t>
            </w:r>
            <w:r>
              <w:rPr>
                <w:rFonts w:hint="eastAsia" w:asciiTheme="minorEastAsia" w:hAnsiTheme="minorEastAsia" w:eastAsiaTheme="minorEastAsia" w:cstheme="minorEastAsia"/>
                <w:snapToGrid w:val="0"/>
                <w:color w:val="000000"/>
                <w:spacing w:val="-13"/>
                <w:kern w:val="0"/>
                <w:sz w:val="24"/>
                <w:szCs w:val="24"/>
                <w:lang w:val="en-US" w:eastAsia="en-US" w:bidi="ar-SA"/>
              </w:rPr>
              <w:t>，能满足采购文件要求的，得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7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49E924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3.供应商提供的方案</w:t>
            </w:r>
            <w:r>
              <w:rPr>
                <w:rFonts w:hint="eastAsia" w:asciiTheme="minorEastAsia" w:hAnsiTheme="minorEastAsia" w:eastAsiaTheme="minorEastAsia" w:cstheme="minorEastAsia"/>
                <w:snapToGrid w:val="0"/>
                <w:color w:val="000000"/>
                <w:spacing w:val="-13"/>
                <w:kern w:val="0"/>
                <w:sz w:val="24"/>
                <w:szCs w:val="24"/>
                <w:lang w:val="en-US" w:eastAsia="zh-CN" w:bidi="ar-SA"/>
              </w:rPr>
              <w:t>完整但内容粗略</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工作流程和控制方式</w:t>
            </w:r>
            <w:r>
              <w:rPr>
                <w:rFonts w:hint="eastAsia" w:asciiTheme="minorEastAsia" w:hAnsiTheme="minorEastAsia" w:eastAsiaTheme="minorEastAsia" w:cstheme="minorEastAsia"/>
                <w:snapToGrid w:val="0"/>
                <w:color w:val="000000"/>
                <w:spacing w:val="-13"/>
                <w:kern w:val="0"/>
                <w:sz w:val="24"/>
                <w:szCs w:val="24"/>
                <w:lang w:val="en-US" w:eastAsia="en-US" w:bidi="ar-SA"/>
              </w:rPr>
              <w:t>规范</w:t>
            </w:r>
            <w:r>
              <w:rPr>
                <w:rFonts w:hint="eastAsia" w:asciiTheme="minorEastAsia" w:hAnsiTheme="minorEastAsia" w:eastAsiaTheme="minorEastAsia" w:cstheme="minorEastAsia"/>
                <w:snapToGrid w:val="0"/>
                <w:color w:val="000000"/>
                <w:spacing w:val="-13"/>
                <w:kern w:val="0"/>
                <w:sz w:val="24"/>
                <w:szCs w:val="24"/>
                <w:lang w:val="en-US" w:eastAsia="zh-CN" w:bidi="ar-SA"/>
              </w:rPr>
              <w:t>性一般</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未能紧扣采购需求的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4</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174E934">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供应商提供的方案</w:t>
            </w:r>
            <w:r>
              <w:rPr>
                <w:rFonts w:hint="eastAsia" w:asciiTheme="minorEastAsia" w:hAnsiTheme="minorEastAsia" w:eastAsiaTheme="minorEastAsia" w:cstheme="minorEastAsia"/>
                <w:snapToGrid w:val="0"/>
                <w:color w:val="000000"/>
                <w:spacing w:val="-13"/>
                <w:kern w:val="0"/>
                <w:sz w:val="24"/>
                <w:szCs w:val="24"/>
                <w:lang w:val="en-US" w:eastAsia="zh-CN" w:bidi="ar-SA"/>
              </w:rPr>
              <w:t>笼统、刻板，内容残缺，难以满足项目需求的，得 2 分</w:t>
            </w:r>
          </w:p>
          <w:p w14:paraId="7E87E0C6">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273C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3FED12C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53498E7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4297CBE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需投入的人员、设备</w:t>
            </w:r>
          </w:p>
          <w:p w14:paraId="523CB6B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331" w:type="dxa"/>
            <w:vAlign w:val="top"/>
          </w:tcPr>
          <w:p w14:paraId="1E51CFC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根据供应商拟投入本项目的人员人员岗位分配、时间安排</w:t>
            </w:r>
            <w:r>
              <w:rPr>
                <w:rFonts w:hint="eastAsia" w:asciiTheme="minorEastAsia" w:hAnsiTheme="minorEastAsia" w:eastAsiaTheme="minorEastAsia" w:cstheme="minorEastAsia"/>
                <w:snapToGrid w:val="0"/>
                <w:color w:val="000000"/>
                <w:spacing w:val="-13"/>
                <w:kern w:val="0"/>
                <w:sz w:val="24"/>
                <w:szCs w:val="24"/>
                <w:lang w:val="en-US" w:eastAsia="zh-CN" w:bidi="ar-SA"/>
              </w:rPr>
              <w:t>、物资设备</w:t>
            </w:r>
            <w:r>
              <w:rPr>
                <w:rFonts w:hint="eastAsia" w:asciiTheme="minorEastAsia" w:hAnsiTheme="minorEastAsia" w:eastAsiaTheme="minorEastAsia" w:cstheme="minorEastAsia"/>
                <w:snapToGrid w:val="0"/>
                <w:color w:val="000000"/>
                <w:spacing w:val="-13"/>
                <w:kern w:val="0"/>
                <w:sz w:val="24"/>
                <w:szCs w:val="24"/>
                <w:lang w:val="en-US" w:eastAsia="en-US" w:bidi="ar-SA"/>
              </w:rPr>
              <w:t>等方面进行评审</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A17AA03">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1.人员安排合理，组织架构完整、人员分工明确、投入设备先进、种类数量齐全、配置合理，完全满足采购需求的，得 10 分；</w:t>
            </w:r>
          </w:p>
          <w:p w14:paraId="3BE08AA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2.人员安排较合理，分工较明确、可行，投入设备种类数量较齐全、配置基本合理，基本满足采购需求的，得 7 分；</w:t>
            </w:r>
          </w:p>
          <w:p w14:paraId="1FE786B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3.人员分配混乱、缺乏针对性，设备老旧、种类少，不能完全满足采购需求的，得 4 分；</w:t>
            </w:r>
          </w:p>
          <w:p w14:paraId="64A0FE6D">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4.缺项不得分。</w:t>
            </w:r>
          </w:p>
        </w:tc>
      </w:tr>
      <w:tr w14:paraId="68753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1A32AC1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794CBB5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0AAA351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应急预案（</w:t>
            </w:r>
            <w:r>
              <w:rPr>
                <w:rFonts w:hint="eastAsia" w:asciiTheme="minorEastAsia" w:hAnsiTheme="minorEastAsia" w:eastAsiaTheme="minorEastAsia" w:cstheme="minorEastAsia"/>
                <w:snapToGrid w:val="0"/>
                <w:color w:val="000000"/>
                <w:spacing w:val="-13"/>
                <w:kern w:val="0"/>
                <w:sz w:val="24"/>
                <w:szCs w:val="24"/>
                <w:lang w:val="en-US" w:eastAsia="zh-CN" w:bidi="ar-SA"/>
              </w:rPr>
              <w:t>9</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5331" w:type="dxa"/>
            <w:vAlign w:val="top"/>
          </w:tcPr>
          <w:p w14:paraId="3588EA7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根据供应商针对本项目提供的关于重大活动、突发事件</w:t>
            </w:r>
            <w:r>
              <w:rPr>
                <w:rFonts w:hint="eastAsia" w:asciiTheme="minorEastAsia" w:hAnsiTheme="minorEastAsia" w:eastAsiaTheme="minorEastAsia" w:cstheme="minorEastAsia"/>
                <w:snapToGrid w:val="0"/>
                <w:color w:val="000000"/>
                <w:spacing w:val="-13"/>
                <w:kern w:val="0"/>
                <w:sz w:val="24"/>
                <w:szCs w:val="24"/>
                <w:lang w:val="en-US" w:eastAsia="zh-CN" w:bidi="ar-SA"/>
              </w:rPr>
              <w:t>等的</w:t>
            </w:r>
            <w:r>
              <w:rPr>
                <w:rFonts w:hint="eastAsia" w:asciiTheme="minorEastAsia" w:hAnsiTheme="minorEastAsia" w:eastAsiaTheme="minorEastAsia" w:cstheme="minorEastAsia"/>
                <w:snapToGrid w:val="0"/>
                <w:color w:val="000000"/>
                <w:spacing w:val="-13"/>
                <w:kern w:val="0"/>
                <w:sz w:val="24"/>
                <w:szCs w:val="24"/>
                <w:lang w:val="en-US" w:eastAsia="en-US" w:bidi="ar-SA"/>
              </w:rPr>
              <w:t>应急预案和保障措施的科学性、合理性、可行性进行评审：</w:t>
            </w:r>
          </w:p>
          <w:p w14:paraId="58226AD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1.供应商提供的应急方案内容全面完整，方案合理、规范，可操作性强，完全满足采购文件要求的，得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9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B186ED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2.供应商提供的应急方案内容较全面，方案较为合理，有可操作性，基本能满足采购文件要求的，得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6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05F9C5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3.供应商提供的应急方案不够全面，内容不够完整、合理，可行性差，无法满足采购文件要求的，得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3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6E21CBE">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4.缺项不得分。</w:t>
            </w:r>
          </w:p>
        </w:tc>
      </w:tr>
      <w:tr w14:paraId="480CB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5CA94FB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5016959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shd w:val="clear" w:color="auto" w:fill="auto"/>
            <w:vAlign w:val="center"/>
          </w:tcPr>
          <w:p w14:paraId="1C91A8C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服务人员 培训方案</w:t>
            </w:r>
          </w:p>
          <w:p w14:paraId="08E3555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yellow"/>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（5分）</w:t>
            </w:r>
          </w:p>
        </w:tc>
        <w:tc>
          <w:tcPr>
            <w:tcW w:w="5331" w:type="dxa"/>
            <w:shd w:val="clear" w:color="auto" w:fill="auto"/>
            <w:vAlign w:val="top"/>
          </w:tcPr>
          <w:p w14:paraId="6E617507">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供应商提供物业人员培训方案，包括人员培训制度</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业务岗位、安全知识、设备操作、垃圾分类等</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765269C">
            <w:pPr>
              <w:pStyle w:val="4"/>
              <w:keepNext w:val="0"/>
              <w:keepLines w:val="0"/>
              <w:widowControl/>
              <w:suppressLineNumbers w:val="0"/>
              <w:spacing w:before="0" w:beforeAutospacing="0" w:after="0" w:afterAutospacing="0"/>
              <w:ind w:right="0" w:rightChars="0" w:firstLine="428" w:firstLineChars="200"/>
              <w:outlineLvl w:val="0"/>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1.</w:t>
            </w: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方案全面、</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科学</w:t>
            </w: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合理、可行性强的</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w:t>
            </w: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 xml:space="preserve">得 </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5</w:t>
            </w: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 xml:space="preserve"> 分；</w:t>
            </w:r>
          </w:p>
          <w:p w14:paraId="5BEBBB7B">
            <w:pPr>
              <w:pStyle w:val="4"/>
              <w:keepNext w:val="0"/>
              <w:keepLines w:val="0"/>
              <w:widowControl/>
              <w:suppressLineNumbers w:val="0"/>
              <w:spacing w:before="0" w:beforeAutospacing="0" w:after="0" w:afterAutospacing="0"/>
              <w:ind w:right="0" w:rightChars="0" w:firstLine="428" w:firstLineChars="200"/>
              <w:outlineLvl w:val="0"/>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w:t>
            </w: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 xml:space="preserve">基本全面、合理、可行性较强的得 </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3</w:t>
            </w: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 xml:space="preserve"> 分；</w:t>
            </w:r>
          </w:p>
          <w:p w14:paraId="55C8199E">
            <w:pPr>
              <w:pStyle w:val="4"/>
              <w:keepNext w:val="0"/>
              <w:keepLines w:val="0"/>
              <w:widowControl/>
              <w:suppressLineNumbers w:val="0"/>
              <w:spacing w:before="0" w:beforeAutospacing="0" w:after="0" w:afterAutospacing="0"/>
              <w:ind w:right="0" w:rightChars="0" w:firstLine="428" w:firstLineChars="200"/>
              <w:outlineLvl w:val="0"/>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3.</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方案不完整</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en-US" w:bidi="ar-SA"/>
              </w:rPr>
              <w:t>、可行性</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较差</w:t>
            </w: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的得 1 分；</w:t>
            </w:r>
          </w:p>
          <w:p w14:paraId="115E0B20">
            <w:pPr>
              <w:pStyle w:val="4"/>
              <w:keepNext w:val="0"/>
              <w:keepLines w:val="0"/>
              <w:widowControl/>
              <w:suppressLineNumbers w:val="0"/>
              <w:spacing w:before="0" w:beforeAutospacing="0" w:after="0" w:afterAutospacing="0"/>
              <w:ind w:right="0" w:rightChars="0" w:firstLine="428" w:firstLineChars="200"/>
              <w:outlineLvl w:val="0"/>
              <w:rPr>
                <w:rFonts w:hint="eastAsia" w:asciiTheme="minorEastAsia" w:hAnsiTheme="minorEastAsia" w:eastAsiaTheme="minorEastAsia" w:cstheme="minorEastAsia"/>
                <w:b w:val="0"/>
                <w:bCs w:val="0"/>
                <w:snapToGrid w:val="0"/>
                <w:color w:val="000000"/>
                <w:spacing w:val="-13"/>
                <w:kern w:val="0"/>
                <w:sz w:val="24"/>
                <w:szCs w:val="24"/>
                <w:highlight w:val="yellow"/>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4.缺项不得分</w:t>
            </w:r>
            <w:r>
              <w:rPr>
                <w:rFonts w:hint="eastAsia" w:asciiTheme="minorEastAsia" w:hAnsiTheme="minorEastAsia" w:eastAsiaTheme="minorEastAsia" w:cstheme="minorEastAsia"/>
                <w:b w:val="0"/>
                <w:bCs w:val="0"/>
                <w:snapToGrid w:val="0"/>
                <w:color w:val="000000"/>
                <w:spacing w:val="-13"/>
                <w:kern w:val="0"/>
                <w:sz w:val="24"/>
                <w:szCs w:val="24"/>
                <w:lang w:val="en-US" w:eastAsia="en-US" w:bidi="ar-SA"/>
              </w:rPr>
              <w:t>。</w:t>
            </w:r>
          </w:p>
        </w:tc>
      </w:tr>
      <w:tr w14:paraId="792B4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491C00D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313AE47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459D3F7C">
            <w:pPr>
              <w:pStyle w:val="26"/>
              <w:keepNext w:val="0"/>
              <w:keepLines w:val="0"/>
              <w:pageBreakBefore w:val="0"/>
              <w:kinsoku/>
              <w:wordWrap w:val="0"/>
              <w:overflowPunct/>
              <w:topLinePunct w:val="0"/>
              <w:bidi w:val="0"/>
              <w:spacing w:before="33" w:line="235" w:lineRule="auto"/>
              <w:ind w:right="23"/>
              <w:jc w:val="cente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传染性疾病防控措施</w:t>
            </w:r>
          </w:p>
          <w:p w14:paraId="1E741246">
            <w:pPr>
              <w:pStyle w:val="26"/>
              <w:keepNext w:val="0"/>
              <w:keepLines w:val="0"/>
              <w:pageBreakBefore w:val="0"/>
              <w:kinsoku/>
              <w:wordWrap w:val="0"/>
              <w:overflowPunct/>
              <w:topLinePunct w:val="0"/>
              <w:bidi w:val="0"/>
              <w:spacing w:before="33" w:line="235" w:lineRule="auto"/>
              <w:ind w:right="23"/>
              <w:jc w:val="center"/>
              <w:rPr>
                <w:rFonts w:hint="eastAsia" w:asciiTheme="minorEastAsia" w:hAnsiTheme="minorEastAsia" w:eastAsiaTheme="minorEastAsia" w:cstheme="minorEastAsia"/>
                <w:snapToGrid w:val="0"/>
                <w:color w:val="000000"/>
                <w:spacing w:val="-13"/>
                <w:kern w:val="0"/>
                <w:sz w:val="24"/>
                <w:szCs w:val="24"/>
                <w:highlight w:val="yellow"/>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(4分)</w:t>
            </w:r>
          </w:p>
        </w:tc>
        <w:tc>
          <w:tcPr>
            <w:tcW w:w="5331" w:type="dxa"/>
            <w:vAlign w:val="top"/>
          </w:tcPr>
          <w:p w14:paraId="15936DD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1</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措施非常完善、合理，预案非常全面、内容非常明确的</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得4分；</w:t>
            </w:r>
          </w:p>
          <w:p w14:paraId="2CFABAE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2</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措施较完善、合理，预案较全面、内容较明确的</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得3分；</w:t>
            </w:r>
          </w:p>
          <w:p w14:paraId="62949049">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3</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措施、预案、内容一般</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，可行性较差</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的</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，得2</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分；</w:t>
            </w:r>
          </w:p>
          <w:p w14:paraId="7CEBAEC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4</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有处理措施但可行性较差的</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得1分；</w:t>
            </w:r>
          </w:p>
          <w:p w14:paraId="756089F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yellow"/>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注：缺项不得分</w:t>
            </w:r>
          </w:p>
        </w:tc>
      </w:tr>
      <w:tr w14:paraId="12279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3FC0B3A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28B8152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7E750E0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信息化管理水平服务方案</w:t>
            </w:r>
          </w:p>
          <w:p w14:paraId="64ECE23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yellow"/>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（4分）</w:t>
            </w:r>
          </w:p>
        </w:tc>
        <w:tc>
          <w:tcPr>
            <w:tcW w:w="5331" w:type="dxa"/>
            <w:vAlign w:val="top"/>
          </w:tcPr>
          <w:p w14:paraId="05FE1C0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1</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内容完整、论述充分、可行性强的得4分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p>
          <w:p w14:paraId="382108A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2</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内容基本完整、论述较充分、基本可行的得2分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p>
          <w:p w14:paraId="74002AA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3</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内容不够完整、论述不够充分、可操作性不够强的得1分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p>
          <w:p w14:paraId="16AA304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物业信息化管理核心在于“流程线上化、数据可视化、管理智能化、服务便捷化”，包括但不限于报修、投诉、巡检、维保等方面的信息化方案。</w:t>
            </w:r>
          </w:p>
          <w:p w14:paraId="2E313DD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注：缺项不得分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p>
        </w:tc>
      </w:tr>
      <w:tr w14:paraId="3AF4C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20CEAE2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23CA696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shd w:val="clear" w:color="auto" w:fill="auto"/>
            <w:vAlign w:val="center"/>
          </w:tcPr>
          <w:p w14:paraId="606C562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服务及质量保证</w:t>
            </w:r>
            <w:r>
              <w:rPr>
                <w:rFonts w:hint="eastAsia" w:asciiTheme="minorEastAsia" w:hAnsiTheme="minorEastAsia" w:eastAsiaTheme="minorEastAsia" w:cstheme="minorEastAsia"/>
                <w:snapToGrid w:val="0"/>
                <w:color w:val="000000"/>
                <w:spacing w:val="-13"/>
                <w:kern w:val="0"/>
                <w:sz w:val="24"/>
                <w:szCs w:val="24"/>
                <w:lang w:val="en-US" w:eastAsia="zh-CN" w:bidi="ar-SA"/>
              </w:rPr>
              <w:t>措施</w:t>
            </w:r>
          </w:p>
          <w:p w14:paraId="322A2CF8">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9</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5331" w:type="dxa"/>
            <w:shd w:val="clear" w:color="auto" w:fill="auto"/>
            <w:vAlign w:val="top"/>
          </w:tcPr>
          <w:p w14:paraId="5D536C5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依据各</w:t>
            </w:r>
            <w:r>
              <w:rPr>
                <w:rFonts w:hint="eastAsia" w:asciiTheme="minorEastAsia" w:hAnsiTheme="minorEastAsia" w:eastAsiaTheme="minorEastAsia" w:cstheme="minorEastAsia"/>
                <w:snapToGrid w:val="0"/>
                <w:color w:val="000000"/>
                <w:spacing w:val="-13"/>
                <w:kern w:val="0"/>
                <w:sz w:val="24"/>
                <w:szCs w:val="24"/>
                <w:lang w:val="en-US" w:eastAsia="zh-CN" w:bidi="ar-SA"/>
              </w:rPr>
              <w:t>供应商</w:t>
            </w:r>
            <w:r>
              <w:rPr>
                <w:rFonts w:hint="eastAsia" w:asciiTheme="minorEastAsia" w:hAnsiTheme="minorEastAsia" w:eastAsiaTheme="minorEastAsia" w:cstheme="minorEastAsia"/>
                <w:snapToGrid w:val="0"/>
                <w:color w:val="000000"/>
                <w:spacing w:val="-13"/>
                <w:kern w:val="0"/>
                <w:sz w:val="24"/>
                <w:szCs w:val="24"/>
                <w:lang w:val="en-US" w:eastAsia="en-US" w:bidi="ar-SA"/>
              </w:rPr>
              <w:t>对采购人要求的响应方案、提高服务质量及保证安全、文明的优质服务措施进行评审：</w:t>
            </w:r>
          </w:p>
          <w:p w14:paraId="7FA7772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1.方案</w:t>
            </w:r>
            <w:r>
              <w:rPr>
                <w:rFonts w:hint="eastAsia" w:asciiTheme="minorEastAsia" w:hAnsiTheme="minorEastAsia" w:eastAsiaTheme="minorEastAsia" w:cstheme="minorEastAsia"/>
                <w:snapToGrid w:val="0"/>
                <w:color w:val="000000"/>
                <w:spacing w:val="-13"/>
                <w:kern w:val="0"/>
                <w:sz w:val="24"/>
                <w:szCs w:val="24"/>
                <w:lang w:val="en-US" w:eastAsia="zh-CN" w:bidi="ar-SA"/>
              </w:rPr>
              <w:t>详细</w:t>
            </w:r>
            <w:r>
              <w:rPr>
                <w:rFonts w:hint="eastAsia" w:asciiTheme="minorEastAsia" w:hAnsiTheme="minorEastAsia" w:eastAsiaTheme="minorEastAsia" w:cstheme="minorEastAsia"/>
                <w:snapToGrid w:val="0"/>
                <w:color w:val="000000"/>
                <w:spacing w:val="-13"/>
                <w:kern w:val="0"/>
                <w:sz w:val="24"/>
                <w:szCs w:val="24"/>
                <w:lang w:val="en-US" w:eastAsia="en-US" w:bidi="ar-SA"/>
              </w:rPr>
              <w:t>、措施合理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科学可行</w:t>
            </w:r>
            <w:r>
              <w:rPr>
                <w:rFonts w:hint="eastAsia" w:asciiTheme="minorEastAsia" w:hAnsiTheme="minorEastAsia" w:eastAsiaTheme="minorEastAsia" w:cstheme="minorEastAsia"/>
                <w:snapToGrid w:val="0"/>
                <w:color w:val="000000"/>
                <w:spacing w:val="-13"/>
                <w:kern w:val="0"/>
                <w:sz w:val="24"/>
                <w:szCs w:val="24"/>
                <w:lang w:val="en-US" w:eastAsia="zh-CN" w:bidi="ar-SA"/>
              </w:rPr>
              <w:t>，能有效提升服务质量，保证优质服务的</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为一档打 </w:t>
            </w:r>
            <w:r>
              <w:rPr>
                <w:rFonts w:hint="eastAsia" w:asciiTheme="minorEastAsia" w:hAnsiTheme="minorEastAsia" w:eastAsiaTheme="minorEastAsia" w:cstheme="minorEastAsia"/>
                <w:snapToGrid w:val="0"/>
                <w:color w:val="000000"/>
                <w:spacing w:val="-13"/>
                <w:kern w:val="0"/>
                <w:sz w:val="24"/>
                <w:szCs w:val="24"/>
                <w:lang w:val="en-US" w:eastAsia="zh-CN" w:bidi="ar-SA"/>
              </w:rPr>
              <w:t>9</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1BDF0C3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相对合理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有</w:t>
            </w:r>
            <w:r>
              <w:rPr>
                <w:rFonts w:hint="eastAsia" w:asciiTheme="minorEastAsia" w:hAnsiTheme="minorEastAsia" w:eastAsiaTheme="minorEastAsia" w:cstheme="minorEastAsia"/>
                <w:snapToGrid w:val="0"/>
                <w:color w:val="000000"/>
                <w:spacing w:val="-13"/>
                <w:kern w:val="0"/>
                <w:sz w:val="24"/>
                <w:szCs w:val="24"/>
                <w:lang w:val="en-US" w:eastAsia="zh-CN" w:bidi="ar-SA"/>
              </w:rPr>
              <w:t>一定</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、能够提高服务质量的</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为二档，打 </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41A55A46">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3.方案和措施内容单一或合理</w:t>
            </w:r>
            <w:r>
              <w:rPr>
                <w:rFonts w:hint="eastAsia" w:asciiTheme="minorEastAsia" w:hAnsiTheme="minorEastAsia" w:eastAsiaTheme="minorEastAsia" w:cstheme="minorEastAsia"/>
                <w:snapToGrid w:val="0"/>
                <w:color w:val="000000"/>
                <w:spacing w:val="-13"/>
                <w:kern w:val="0"/>
                <w:sz w:val="24"/>
                <w:szCs w:val="24"/>
                <w:lang w:val="en-US" w:eastAsia="zh-CN" w:bidi="ar-SA"/>
              </w:rPr>
              <w:t>性差、可操作性差的</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为三档，打 </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0721A5B3">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w:t>
            </w: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p>
        </w:tc>
      </w:tr>
      <w:tr w14:paraId="281BB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544" w:type="dxa"/>
            <w:vMerge w:val="restart"/>
            <w:vAlign w:val="center"/>
          </w:tcPr>
          <w:p w14:paraId="4BAA1E4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4"/>
                <w:szCs w:val="24"/>
                <w:lang w:val="en-US" w:eastAsia="zh-CN"/>
              </w:rPr>
              <w:t>3</w:t>
            </w:r>
          </w:p>
        </w:tc>
        <w:tc>
          <w:tcPr>
            <w:tcW w:w="1455" w:type="dxa"/>
            <w:vMerge w:val="restart"/>
            <w:vAlign w:val="center"/>
          </w:tcPr>
          <w:p w14:paraId="5584FF3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综合部分</w:t>
            </w:r>
          </w:p>
          <w:p w14:paraId="23FDA51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（满分15分）</w:t>
            </w:r>
          </w:p>
        </w:tc>
        <w:tc>
          <w:tcPr>
            <w:tcW w:w="1005" w:type="dxa"/>
            <w:shd w:val="clear" w:color="auto" w:fill="auto"/>
            <w:vAlign w:val="center"/>
          </w:tcPr>
          <w:p w14:paraId="014850BC">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投标</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en-US" w:bidi="ar-SA"/>
              </w:rPr>
              <w:t>文件符合性响应程度</w:t>
            </w:r>
          </w:p>
          <w:p w14:paraId="5590FA5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en-US" w:bidi="ar-SA"/>
              </w:rPr>
              <w:t>（</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4</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en-US" w:bidi="ar-SA"/>
              </w:rPr>
              <w:t>分）</w:t>
            </w:r>
          </w:p>
        </w:tc>
        <w:tc>
          <w:tcPr>
            <w:tcW w:w="5331" w:type="dxa"/>
            <w:shd w:val="clear" w:color="auto" w:fill="auto"/>
            <w:vAlign w:val="top"/>
          </w:tcPr>
          <w:p w14:paraId="28694562">
            <w:pPr>
              <w:pStyle w:val="4"/>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投标</w:t>
            </w: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文件符合</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招标</w:t>
            </w: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文件所有条款条件，制作规范得</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 xml:space="preserve"> 4 </w:t>
            </w: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分；若</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投标</w:t>
            </w: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文件与</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招标</w:t>
            </w: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文件要求有偏差，但不影响到实质性响应，评委根据情况酌情扣1-</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2</w:t>
            </w: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544" w:type="dxa"/>
            <w:vMerge w:val="continue"/>
            <w:vAlign w:val="center"/>
          </w:tcPr>
          <w:p w14:paraId="2B6AAF4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455" w:type="dxa"/>
            <w:vMerge w:val="continue"/>
            <w:vAlign w:val="center"/>
          </w:tcPr>
          <w:p w14:paraId="26C22DBF">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436BEAF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项目负责人</w:t>
            </w:r>
          </w:p>
          <w:p w14:paraId="5312CE85">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（3分）</w:t>
            </w:r>
          </w:p>
        </w:tc>
        <w:tc>
          <w:tcPr>
            <w:tcW w:w="5331" w:type="dxa"/>
            <w:vAlign w:val="top"/>
          </w:tcPr>
          <w:p w14:paraId="3708337A">
            <w:pPr>
              <w:pStyle w:val="4"/>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highlight w:val="yellow"/>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项目经理</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w:t>
            </w: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45周岁以下、大专及以上学历毕业证（投标文件中须附毕业证和学信网学历认证查询截图）、具有物业管理岗从业经验3年以上。以上三项每满足一项得1分，最高得3分（提供近半年内任意一个月所在单位的缴纳社保清单,提供物业行业项目经理职业资格证书）。</w:t>
            </w:r>
          </w:p>
        </w:tc>
      </w:tr>
      <w:tr w14:paraId="05E5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6394DBF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55" w:type="dxa"/>
            <w:vMerge w:val="continue"/>
            <w:vAlign w:val="center"/>
          </w:tcPr>
          <w:p w14:paraId="63C1CCE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1AEE7AC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41192C7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331" w:type="dxa"/>
            <w:vAlign w:val="top"/>
          </w:tcPr>
          <w:p w14:paraId="60B387E8">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每提供一份2023 年 1 月 1 日以来类似（物业项目）业绩合同得 2 分，最高得 6 分。同一业主单位合同不累计，视为一份有效合同。（提供合同原件扫描件），虚假业绩将自行承担相关责任。</w:t>
            </w:r>
          </w:p>
        </w:tc>
      </w:tr>
      <w:tr w14:paraId="15BB7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434A25D5">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55" w:type="dxa"/>
            <w:vMerge w:val="continue"/>
            <w:vAlign w:val="center"/>
          </w:tcPr>
          <w:p w14:paraId="4B4CCA4B">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shd w:val="clear" w:color="auto" w:fill="auto"/>
            <w:vAlign w:val="center"/>
          </w:tcPr>
          <w:p w14:paraId="0CD3B67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信用评价（2分）</w:t>
            </w:r>
          </w:p>
        </w:tc>
        <w:tc>
          <w:tcPr>
            <w:tcW w:w="5331" w:type="dxa"/>
            <w:shd w:val="clear" w:color="auto" w:fill="auto"/>
            <w:vAlign w:val="top"/>
          </w:tcPr>
          <w:p w14:paraId="57D36EB1">
            <w:pPr>
              <w:pStyle w:val="4"/>
              <w:keepNext w:val="0"/>
              <w:keepLines w:val="0"/>
              <w:widowControl/>
              <w:suppressLineNumbers w:val="0"/>
              <w:spacing w:before="0" w:beforeAutospacing="0" w:after="0" w:afterAutospacing="0"/>
              <w:ind w:left="0" w:leftChars="0" w:right="0" w:rightChars="0" w:firstLine="428" w:firstLineChars="200"/>
              <w:outlineLvl w:val="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投标人在参加南阳市本级的政府采购活动时，享受政策支持，在采用综合评分法的项目中，诚信评价为满分的得2分，90-99分(不含90分)之间得1分，90分以下的不得分</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投标人可在公告发布之日到投标截止期间，登录“南阳市政府采购信用管理系统”在线打印《南阳市政府采购供应商信用记录表》，作为投标(响应)文件的组成部分提交，评审时作为享受政策支持的依据。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99"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05" w:type="dxa"/>
            <w:vAlign w:val="top"/>
          </w:tcPr>
          <w:p w14:paraId="4D6570AC">
            <w:pPr>
              <w:pStyle w:val="26"/>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331" w:type="dxa"/>
            <w:vAlign w:val="top"/>
          </w:tcPr>
          <w:p w14:paraId="2C3D3CC9">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B39701C">
      <w:pPr>
        <w:pStyle w:val="15"/>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10FD762">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C9AF6F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CF54AA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0403ED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4"/>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4"/>
        <w:jc w:val="both"/>
        <w:rPr>
          <w:rFonts w:hint="eastAsia"/>
        </w:rPr>
      </w:pPr>
    </w:p>
    <w:p w14:paraId="2D31749D">
      <w:pPr>
        <w:spacing w:line="360" w:lineRule="auto"/>
        <w:rPr>
          <w:rFonts w:ascii="仿宋" w:hAnsi="仿宋" w:eastAsia="仿宋"/>
          <w:sz w:val="24"/>
          <w:szCs w:val="24"/>
        </w:rPr>
      </w:pPr>
      <w:r>
        <w:rPr>
          <w:rFonts w:ascii="仿宋" w:hAnsi="仿宋" w:eastAsia="仿宋"/>
          <w:sz w:val="24"/>
          <w:szCs w:val="24"/>
        </w:rPr>
        <w:t>甲方：南阳农业职业学院</w:t>
      </w:r>
    </w:p>
    <w:p w14:paraId="6509C9FA">
      <w:pPr>
        <w:spacing w:line="360" w:lineRule="auto"/>
        <w:rPr>
          <w:rFonts w:ascii="仿宋" w:hAnsi="仿宋" w:eastAsia="仿宋"/>
          <w:sz w:val="24"/>
          <w:szCs w:val="24"/>
        </w:rPr>
      </w:pPr>
      <w:r>
        <w:rPr>
          <w:rFonts w:ascii="仿宋" w:hAnsi="仿宋" w:eastAsia="仿宋"/>
          <w:sz w:val="24"/>
          <w:szCs w:val="24"/>
        </w:rPr>
        <w:t xml:space="preserve">乙方：                </w:t>
      </w:r>
    </w:p>
    <w:p w14:paraId="0B72D653">
      <w:pPr>
        <w:spacing w:line="360" w:lineRule="auto"/>
        <w:ind w:firstLine="480" w:firstLineChars="200"/>
        <w:rPr>
          <w:rFonts w:ascii="仿宋" w:hAnsi="仿宋" w:eastAsia="仿宋"/>
          <w:sz w:val="24"/>
          <w:szCs w:val="24"/>
        </w:rPr>
      </w:pPr>
      <w:r>
        <w:rPr>
          <w:rFonts w:ascii="仿宋" w:hAnsi="仿宋" w:eastAsia="仿宋"/>
          <w:sz w:val="24"/>
          <w:szCs w:val="24"/>
        </w:rPr>
        <w:t>为了明确甲乙双方的权利和义务，依照《中华人民共和国民法典》和其他法律、法规的规定，遵循平等、自愿、公平和诚实信用的原则，双方就甲方校区内物业管理服务委托协商一致。为进一步明确甲乙双方的责任，确保合同顺利履行，根据《中华人民共和国政府采购法》及其实施条例、《中华人民共和国合同法》以及本项目中标（成交）结果，甲乙双方充分协商，订立合同，共同遵守。</w:t>
      </w:r>
    </w:p>
    <w:p w14:paraId="77781469">
      <w:pPr>
        <w:widowControl/>
        <w:numPr>
          <w:ilvl w:val="1"/>
          <w:numId w:val="2"/>
        </w:numPr>
        <w:snapToGrid w:val="0"/>
        <w:spacing w:line="360" w:lineRule="auto"/>
        <w:ind w:firstLine="482" w:firstLineChars="200"/>
        <w:outlineLvl w:val="1"/>
        <w:rPr>
          <w:rFonts w:ascii="仿宋" w:hAnsi="仿宋" w:eastAsia="仿宋"/>
          <w:b/>
          <w:sz w:val="24"/>
          <w:szCs w:val="24"/>
        </w:rPr>
      </w:pPr>
      <w:r>
        <w:rPr>
          <w:rFonts w:ascii="仿宋" w:hAnsi="仿宋" w:eastAsia="仿宋"/>
          <w:b/>
          <w:sz w:val="24"/>
          <w:szCs w:val="24"/>
        </w:rPr>
        <w:t>项目基本情况</w:t>
      </w:r>
    </w:p>
    <w:p w14:paraId="502ACE59">
      <w:pPr>
        <w:widowControl/>
        <w:snapToGrid w:val="0"/>
        <w:spacing w:line="360" w:lineRule="auto"/>
        <w:ind w:firstLine="480" w:firstLineChars="200"/>
        <w:rPr>
          <w:rFonts w:ascii="仿宋" w:hAnsi="仿宋" w:eastAsia="仿宋"/>
          <w:bCs/>
          <w:sz w:val="24"/>
          <w:szCs w:val="24"/>
        </w:rPr>
      </w:pPr>
      <w:r>
        <w:rPr>
          <w:rFonts w:ascii="仿宋" w:hAnsi="仿宋" w:eastAsia="仿宋"/>
          <w:bCs/>
          <w:sz w:val="24"/>
          <w:szCs w:val="24"/>
        </w:rPr>
        <w:t>项目位置：</w:t>
      </w:r>
    </w:p>
    <w:p w14:paraId="0199ED73">
      <w:pPr>
        <w:widowControl/>
        <w:snapToGrid w:val="0"/>
        <w:spacing w:line="360" w:lineRule="auto"/>
        <w:ind w:firstLine="480" w:firstLineChars="200"/>
        <w:rPr>
          <w:rFonts w:ascii="仿宋" w:hAnsi="仿宋" w:eastAsia="仿宋"/>
          <w:sz w:val="24"/>
          <w:szCs w:val="24"/>
        </w:rPr>
      </w:pPr>
      <w:r>
        <w:rPr>
          <w:rFonts w:ascii="仿宋" w:hAnsi="仿宋" w:eastAsia="仿宋"/>
          <w:sz w:val="24"/>
          <w:szCs w:val="24"/>
        </w:rPr>
        <w:t>1、卧龙校区位于</w:t>
      </w:r>
      <w:r>
        <w:rPr>
          <w:rFonts w:hint="eastAsia" w:ascii="仿宋" w:hAnsi="仿宋" w:eastAsia="仿宋"/>
          <w:sz w:val="24"/>
          <w:szCs w:val="24"/>
        </w:rPr>
        <w:t>南阳市卧龙路338号</w:t>
      </w:r>
      <w:r>
        <w:rPr>
          <w:rFonts w:ascii="仿宋" w:hAnsi="仿宋" w:eastAsia="仿宋"/>
          <w:sz w:val="24"/>
          <w:szCs w:val="24"/>
        </w:rPr>
        <w:t>；</w:t>
      </w:r>
    </w:p>
    <w:p w14:paraId="1E177A63">
      <w:pPr>
        <w:widowControl/>
        <w:snapToGrid w:val="0"/>
        <w:spacing w:line="360" w:lineRule="auto"/>
        <w:ind w:firstLine="480" w:firstLineChars="200"/>
        <w:rPr>
          <w:rFonts w:ascii="仿宋" w:hAnsi="仿宋" w:eastAsia="仿宋"/>
          <w:sz w:val="24"/>
          <w:szCs w:val="24"/>
        </w:rPr>
      </w:pPr>
      <w:r>
        <w:rPr>
          <w:rFonts w:ascii="仿宋" w:hAnsi="仿宋" w:eastAsia="仿宋"/>
          <w:sz w:val="24"/>
          <w:szCs w:val="24"/>
        </w:rPr>
        <w:t>2、雪枫校区位于</w:t>
      </w:r>
      <w:r>
        <w:rPr>
          <w:rFonts w:hint="eastAsia" w:ascii="仿宋" w:hAnsi="仿宋" w:eastAsia="仿宋"/>
          <w:sz w:val="24"/>
          <w:szCs w:val="24"/>
        </w:rPr>
        <w:t>南阳市雪枫路与北京大道交叉口</w:t>
      </w:r>
      <w:r>
        <w:rPr>
          <w:rFonts w:ascii="仿宋" w:hAnsi="仿宋" w:eastAsia="仿宋"/>
          <w:sz w:val="24"/>
          <w:szCs w:val="24"/>
        </w:rPr>
        <w:t>；</w:t>
      </w:r>
    </w:p>
    <w:p w14:paraId="3840535F">
      <w:pPr>
        <w:widowControl/>
        <w:snapToGrid w:val="0"/>
        <w:spacing w:line="360" w:lineRule="auto"/>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highlight w:val="none"/>
          <w:lang w:val="en-US" w:eastAsia="zh-CN"/>
        </w:rPr>
        <w:t>应急管理工程学院</w:t>
      </w:r>
      <w:r>
        <w:rPr>
          <w:rFonts w:ascii="仿宋" w:hAnsi="仿宋" w:eastAsia="仿宋"/>
          <w:sz w:val="24"/>
          <w:szCs w:val="24"/>
        </w:rPr>
        <w:t>位于南阳市卧龙区S103与S237交叉路口往西北。</w:t>
      </w:r>
    </w:p>
    <w:p w14:paraId="77D07E8D">
      <w:pPr>
        <w:widowControl/>
        <w:numPr>
          <w:ilvl w:val="1"/>
          <w:numId w:val="2"/>
        </w:numPr>
        <w:snapToGrid w:val="0"/>
        <w:spacing w:line="360" w:lineRule="auto"/>
        <w:ind w:firstLine="482" w:firstLineChars="200"/>
        <w:outlineLvl w:val="1"/>
        <w:rPr>
          <w:rFonts w:ascii="仿宋" w:hAnsi="仿宋" w:eastAsia="仿宋"/>
          <w:b/>
          <w:sz w:val="24"/>
          <w:szCs w:val="24"/>
        </w:rPr>
      </w:pPr>
      <w:r>
        <w:rPr>
          <w:rFonts w:ascii="仿宋" w:hAnsi="仿宋" w:eastAsia="仿宋"/>
          <w:b/>
          <w:sz w:val="24"/>
          <w:szCs w:val="24"/>
        </w:rPr>
        <w:t>物业管理服务范围、工作内容、人数要求：</w:t>
      </w:r>
    </w:p>
    <w:p w14:paraId="6C9AFBE0">
      <w:pPr>
        <w:widowControl/>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lang w:val="en-US" w:eastAsia="zh-CN"/>
        </w:rPr>
        <w:t>一、</w:t>
      </w:r>
      <w:r>
        <w:rPr>
          <w:rFonts w:hint="eastAsia" w:ascii="仿宋" w:hAnsi="仿宋" w:eastAsia="仿宋"/>
          <w:b/>
          <w:sz w:val="24"/>
          <w:szCs w:val="24"/>
        </w:rPr>
        <w:t>卧龙校区(配备人员总数：27人)</w:t>
      </w:r>
    </w:p>
    <w:p w14:paraId="67D837B9">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lang w:eastAsia="zh-CN"/>
        </w:rPr>
        <w:t>、</w:t>
      </w:r>
      <w:r>
        <w:rPr>
          <w:rFonts w:hint="eastAsia" w:ascii="仿宋" w:hAnsi="仿宋" w:eastAsia="仿宋" w:cs="Times New Roman"/>
          <w:sz w:val="24"/>
          <w:szCs w:val="24"/>
        </w:rPr>
        <w:t>所有教学楼、办公楼公共卫生间保洁服务。</w:t>
      </w:r>
    </w:p>
    <w:p w14:paraId="427BA4A7">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除教学楼外所有学校用房的楼道洗漱间、卫生间、楼梯间、走廊、过厅、雨篷、院子、楼栋四周包括屋顶及二楼平台等全方位卫生保洁工作。</w:t>
      </w:r>
    </w:p>
    <w:p w14:paraId="6ACC1687">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整个校园公共区域卫生保洁（负责校园灭蚊灭蝇灭鼠；道路、广场垃圾及落叶清扫；绿化带内白色垃圾清理；所有楼栋周围保洁；公共卫生间、垃圾桶、垃圾箱清理，保洁等）。</w:t>
      </w:r>
    </w:p>
    <w:p w14:paraId="0E2A5C54">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负责维修物料配备，负责垃圾桶、扫帚、药品等低值易耗品配备，负责整个校园垃圾清运（不含餐厅餐余垃圾及建筑垃圾）。</w:t>
      </w:r>
    </w:p>
    <w:p w14:paraId="4E2CCF9B">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校园所有家具及相关物件的维修服务，公共卫生间下水道疏通及维修服务。</w:t>
      </w:r>
    </w:p>
    <w:p w14:paraId="2CC4C8F8">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校园内物品搬运服务。</w:t>
      </w:r>
    </w:p>
    <w:p w14:paraId="1DAC5B92">
      <w:pPr>
        <w:widowControl/>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lang w:val="en-US" w:eastAsia="zh-CN"/>
        </w:rPr>
        <w:t>二、</w:t>
      </w:r>
      <w:r>
        <w:rPr>
          <w:rFonts w:hint="eastAsia" w:ascii="仿宋" w:hAnsi="仿宋" w:eastAsia="仿宋"/>
          <w:b/>
          <w:sz w:val="24"/>
          <w:szCs w:val="24"/>
        </w:rPr>
        <w:t>雪枫校区(配备人员总数：44人)</w:t>
      </w:r>
    </w:p>
    <w:p w14:paraId="18649B90">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所有教学楼、实训楼卫生间保洁服务。</w:t>
      </w:r>
    </w:p>
    <w:p w14:paraId="3766BDA0">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综合楼卫生间、楼梯、走廊、会议室及部分房间保洁服务。</w:t>
      </w:r>
    </w:p>
    <w:p w14:paraId="3E100463">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校园内所有报告厅、会议室的内部、卫生间、楼梯间、走廊、过厅、雨篷、院子、楼栋四周包括屋顶及二楼平台等全方位卫生保洁。</w:t>
      </w:r>
    </w:p>
    <w:p w14:paraId="0E3CCFF2">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校园内所有宿舍楼的洗漱间、卫生间、楼梯间、走廊、过厅、雨篷、院子、楼栋四周包括屋顶及二楼平台等全方位卫生保洁工作。</w:t>
      </w:r>
    </w:p>
    <w:p w14:paraId="4E4E8B25">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整个校园公共区域卫生保洁（负责校园灭蚊灭蝇灭鼠；道路</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广场</w:t>
      </w:r>
      <w:r>
        <w:rPr>
          <w:rFonts w:hint="eastAsia" w:ascii="仿宋" w:hAnsi="仿宋" w:eastAsia="仿宋" w:cs="Times New Roman"/>
          <w:sz w:val="24"/>
          <w:szCs w:val="24"/>
        </w:rPr>
        <w:t>垃圾及落叶清扫；绿化带内白色垃圾清理；所有楼栋周围保洁；公共卫生间、垃圾桶、垃圾箱清理，保洁等）。</w:t>
      </w:r>
    </w:p>
    <w:p w14:paraId="6655D89D">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负责维修物料配备，负责垃圾桶、扫帚、药品等低值易耗品配备，负责整个校园垃圾清运（不含餐厅餐余垃圾及建筑垃圾）。</w:t>
      </w:r>
    </w:p>
    <w:p w14:paraId="6AB0A552">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校园所有家具及相关物件的维修服务，公共卫生间下水道疏通及维修服务。</w:t>
      </w:r>
    </w:p>
    <w:p w14:paraId="29960AD7">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校园内物品搬运服务。</w:t>
      </w:r>
    </w:p>
    <w:p w14:paraId="2C6E6930">
      <w:pPr>
        <w:widowControl/>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lang w:val="en-US" w:eastAsia="zh-CN"/>
        </w:rPr>
        <w:t>三、</w:t>
      </w:r>
      <w:r>
        <w:rPr>
          <w:rFonts w:hint="eastAsia" w:ascii="仿宋" w:hAnsi="仿宋" w:eastAsia="仿宋"/>
          <w:b/>
          <w:sz w:val="24"/>
          <w:szCs w:val="24"/>
          <w:highlight w:val="none"/>
        </w:rPr>
        <w:t>应急管理工程学院</w:t>
      </w:r>
      <w:r>
        <w:rPr>
          <w:rFonts w:hint="eastAsia" w:ascii="仿宋" w:hAnsi="仿宋" w:eastAsia="仿宋"/>
          <w:b/>
          <w:sz w:val="24"/>
          <w:szCs w:val="24"/>
        </w:rPr>
        <w:t>（配备人员总数：7人）</w:t>
      </w:r>
    </w:p>
    <w:p w14:paraId="741DB41F">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各楼室内楼梯、走廊、卫生间保洁、下水道疏通及维修服务。</w:t>
      </w:r>
    </w:p>
    <w:p w14:paraId="5045EA68">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整个校园公共区域卫生保洁（负责校园灭蚊灭蝇灭鼠；道路、广场垃圾及落叶清扫；绿化带内白色垃圾清理；所有楼栋周围保洁；公共卫生间、垃圾桶、垃圾箱清理，保洁等）。</w:t>
      </w:r>
    </w:p>
    <w:p w14:paraId="43801F91">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门卫</w:t>
      </w:r>
      <w:r>
        <w:rPr>
          <w:rFonts w:hint="eastAsia" w:ascii="仿宋" w:hAnsi="仿宋" w:eastAsia="仿宋" w:cs="Times New Roman"/>
          <w:sz w:val="24"/>
          <w:szCs w:val="24"/>
          <w:lang w:eastAsia="zh-CN"/>
        </w:rPr>
        <w:t>、</w:t>
      </w:r>
      <w:r>
        <w:rPr>
          <w:rFonts w:hint="eastAsia" w:ascii="仿宋" w:hAnsi="仿宋" w:eastAsia="仿宋" w:cs="Times New Roman"/>
          <w:sz w:val="24"/>
          <w:szCs w:val="24"/>
        </w:rPr>
        <w:t>安保、水电维修、绿化养护、桌椅门锁等零星维修服务。</w:t>
      </w:r>
    </w:p>
    <w:p w14:paraId="5E2C6855">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负责维修物料配备，负责垃圾桶、扫帚、药品等低值易耗品配备，负责整个校园垃圾清运（不含餐厅餐余垃圾及建筑垃圾）。</w:t>
      </w:r>
    </w:p>
    <w:p w14:paraId="502BECA9">
      <w:pPr>
        <w:widowControl/>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lang w:val="en-US" w:eastAsia="zh-CN"/>
        </w:rPr>
        <w:t>四、</w:t>
      </w:r>
      <w:r>
        <w:rPr>
          <w:rFonts w:hint="eastAsia" w:ascii="仿宋" w:hAnsi="仿宋" w:eastAsia="仿宋"/>
          <w:b/>
          <w:sz w:val="24"/>
          <w:szCs w:val="24"/>
        </w:rPr>
        <w:t>水电维修及其他人员（配备人员总数：26人）</w:t>
      </w:r>
    </w:p>
    <w:p w14:paraId="7C71C68C">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校园水电检修保障服务。</w:t>
      </w:r>
    </w:p>
    <w:p w14:paraId="4145434C">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雪枫校区文印室管理服务。</w:t>
      </w:r>
    </w:p>
    <w:p w14:paraId="6E863258">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食堂充卡室管理服务、食品安全管理、水电煤气维修安检。</w:t>
      </w:r>
    </w:p>
    <w:p w14:paraId="6D6F5476">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南农社区工作及其他管理服务。</w:t>
      </w:r>
    </w:p>
    <w:p w14:paraId="0F4376D9">
      <w:pPr>
        <w:widowControl/>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lang w:val="en-US" w:eastAsia="zh-CN"/>
        </w:rPr>
        <w:t>五、</w:t>
      </w:r>
      <w:r>
        <w:rPr>
          <w:rFonts w:hint="eastAsia" w:ascii="仿宋" w:hAnsi="仿宋" w:eastAsia="仿宋"/>
          <w:b/>
          <w:sz w:val="24"/>
          <w:szCs w:val="24"/>
        </w:rPr>
        <w:t xml:space="preserve"> 补充内容</w:t>
      </w:r>
    </w:p>
    <w:p w14:paraId="654A0534">
      <w:pPr>
        <w:widowControl/>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根据学校二、三期工程进展情况，适当增减物业服务人员数量及相关物品物料，签订补充协议。</w:t>
      </w:r>
    </w:p>
    <w:p w14:paraId="1B6F6CF6">
      <w:pPr>
        <w:widowControl/>
        <w:numPr>
          <w:ilvl w:val="1"/>
          <w:numId w:val="2"/>
        </w:numPr>
        <w:snapToGrid w:val="0"/>
        <w:spacing w:line="360" w:lineRule="auto"/>
        <w:ind w:firstLine="482" w:firstLineChars="200"/>
        <w:outlineLvl w:val="1"/>
        <w:rPr>
          <w:rFonts w:ascii="仿宋" w:hAnsi="仿宋" w:eastAsia="仿宋"/>
          <w:b/>
          <w:bCs/>
          <w:sz w:val="24"/>
          <w:szCs w:val="24"/>
        </w:rPr>
      </w:pPr>
      <w:r>
        <w:rPr>
          <w:rFonts w:ascii="仿宋" w:hAnsi="仿宋" w:eastAsia="仿宋"/>
          <w:b/>
          <w:bCs/>
          <w:sz w:val="24"/>
          <w:szCs w:val="24"/>
        </w:rPr>
        <w:t>服务标准及要求</w:t>
      </w:r>
    </w:p>
    <w:p w14:paraId="0BF180AC">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一、</w:t>
      </w:r>
      <w:r>
        <w:rPr>
          <w:rFonts w:hint="eastAsia" w:ascii="仿宋" w:hAnsi="仿宋" w:eastAsia="仿宋" w:cs="Times New Roman"/>
          <w:b/>
          <w:sz w:val="24"/>
          <w:szCs w:val="24"/>
        </w:rPr>
        <w:t>校园所有公共卫生间、洗漱间</w:t>
      </w:r>
    </w:p>
    <w:p w14:paraId="5B51F4D7">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每天第一次清洁卫生间必须在上班前做好，并且做到随脏随清，保持地面清洁、无杂物、无积水、无毛发、无异味，下水道要畅通。</w:t>
      </w:r>
    </w:p>
    <w:p w14:paraId="5A9A3EF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每天要拖洗卫生间所有地面至少两次，抹净洁具、门框、墙身，保持无灰尘、无垃圾、无异味，无手脚印、无污渍等。</w:t>
      </w:r>
    </w:p>
    <w:p w14:paraId="589C226C">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卫生间隔板每天擦抹一次，保持无污渍。小便池、厕位、水池每小时进行冲洗一次，每天用洁厕剂清洗一次。洁具每周用消毒剂消毒两次，整体卫生间每周全面消毒一次。</w:t>
      </w:r>
    </w:p>
    <w:p w14:paraId="42A07062">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每天对卫生间内镜子及金属部分进行擦拭，应保持干净，无浮尘、污渍、手印、水迹和锈斑。</w:t>
      </w:r>
    </w:p>
    <w:p w14:paraId="1D5EE19C">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卫生间所有垃圾篓的垃圾不能超过2/3，及时清理垃圾篓内的垃圾，保持无蚊虫、无异味，及时运送至指定地点堆放。垃圾篓每周全面彻底清洁一次。</w:t>
      </w:r>
    </w:p>
    <w:p w14:paraId="510B432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卫生间洗手台每月保养一次，镜面、台面、洗手盆每天清洁数次。上班时间巡视发现污渍、水迹、积水、头发、手印、便迹、异味、报纸等及时清理。</w:t>
      </w:r>
    </w:p>
    <w:p w14:paraId="66B2492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每周一次全面清洗墙面瓷砖、地面用清洁剂刷洗。</w:t>
      </w:r>
    </w:p>
    <w:p w14:paraId="0D07E730">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冬季下雨、下雪季节，保洁要及时清理卫生间地面的积水、积雪，预防地面结冰，防止行人滑倒。</w:t>
      </w:r>
    </w:p>
    <w:p w14:paraId="2EA0669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9、</w:t>
      </w:r>
      <w:r>
        <w:rPr>
          <w:rFonts w:hint="eastAsia" w:ascii="仿宋" w:hAnsi="仿宋" w:eastAsia="仿宋" w:cs="Times New Roman"/>
          <w:sz w:val="24"/>
          <w:szCs w:val="24"/>
        </w:rPr>
        <w:t>保洁作业过程中要注意节约用水。</w:t>
      </w:r>
    </w:p>
    <w:p w14:paraId="22DFD41E">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10、</w:t>
      </w:r>
      <w:r>
        <w:rPr>
          <w:rFonts w:hint="eastAsia" w:ascii="仿宋" w:hAnsi="仿宋" w:eastAsia="仿宋" w:cs="Times New Roman"/>
          <w:sz w:val="24"/>
          <w:szCs w:val="24"/>
        </w:rPr>
        <w:t>卫生间如有堵塞需及时疏通，恢复正常。</w:t>
      </w:r>
    </w:p>
    <w:p w14:paraId="5EE4308E">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二、</w:t>
      </w:r>
      <w:r>
        <w:rPr>
          <w:rFonts w:hint="eastAsia" w:ascii="仿宋" w:hAnsi="仿宋" w:eastAsia="仿宋" w:cs="Times New Roman"/>
          <w:b/>
          <w:sz w:val="24"/>
          <w:szCs w:val="24"/>
        </w:rPr>
        <w:t>学术报告厅、会议室、综合楼</w:t>
      </w:r>
    </w:p>
    <w:p w14:paraId="045DE007">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每天清扫地面垃圾，擦抹桌椅、橱柜、沙发、茶几等，擦净相关设施、设备。沙发、茶几等保持清洁干净，无灰尘，地面保持清洁干净，平时发现污渍、痰渍、水迹等及时处理，每周彻底拖洗一次。</w:t>
      </w:r>
    </w:p>
    <w:p w14:paraId="1337E2C7">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室内所有垃圾篓的垃圾不能超过2/3，及时更换垃圾袋，保持无蚊虫、无异味，及时运送至指定地点堆放。垃圾篓每周全面清洁一次，每月彻底清洗一次。</w:t>
      </w:r>
    </w:p>
    <w:p w14:paraId="1DE1D9F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及时扫去墙面灰尘，彻底清理室内墙壁、墙角、天花板、风口等蜘蛛网，每周一次。平时随见随时清理，局部灰尘，污渍随时处理。</w:t>
      </w:r>
    </w:p>
    <w:p w14:paraId="6CEF9F4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及时清理电源开关、插座、消防箱、灭火器等公共设施上方的污渍和灰尘。</w:t>
      </w:r>
    </w:p>
    <w:p w14:paraId="290E6C4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公共部分窗户玻璃随时保洁，平时发现手印、污渍及时擦净。</w:t>
      </w:r>
    </w:p>
    <w:p w14:paraId="736B4160">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盆栽及时浇水，保持盆栽无黄叶、纸屑等杂物，无灰尘。</w:t>
      </w:r>
    </w:p>
    <w:p w14:paraId="6FB67F94">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平时对地面痰渍、口香糖等及时进行清除，每月机器清洗地面一次，拖洗地面后及时抹净地脚线、墙角上的污渍、水迹、清理卫生死角。</w:t>
      </w:r>
    </w:p>
    <w:p w14:paraId="5FF89239">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门、门框随时保洁，无灰尘，不锈钢门保持光亮，每半年上不锈钢护理剂一次。</w:t>
      </w:r>
    </w:p>
    <w:p w14:paraId="2789CEE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rPr>
        <w:t>9、保洁作业过程中要注意节约用水。</w:t>
      </w:r>
    </w:p>
    <w:p w14:paraId="17C0B0EF">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10、</w:t>
      </w:r>
      <w:r>
        <w:rPr>
          <w:rFonts w:hint="eastAsia" w:ascii="仿宋" w:hAnsi="仿宋" w:eastAsia="仿宋" w:cs="Times New Roman"/>
          <w:sz w:val="24"/>
          <w:szCs w:val="24"/>
        </w:rPr>
        <w:t>桌椅、窗帘、书橱等其他设施擦抹干净，保持清洁、摆放整齐。</w:t>
      </w:r>
    </w:p>
    <w:p w14:paraId="3050BD9C">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11、</w:t>
      </w:r>
      <w:r>
        <w:rPr>
          <w:rFonts w:hint="eastAsia" w:ascii="仿宋" w:hAnsi="仿宋" w:eastAsia="仿宋" w:cs="Times New Roman"/>
          <w:sz w:val="24"/>
          <w:szCs w:val="24"/>
        </w:rPr>
        <w:t>不得翻阅资料、报刊、书籍，不得透露所看到的、听到的有关工作信息。</w:t>
      </w:r>
    </w:p>
    <w:p w14:paraId="2123006F">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12、</w:t>
      </w:r>
      <w:r>
        <w:rPr>
          <w:rFonts w:hint="eastAsia" w:ascii="仿宋" w:hAnsi="仿宋" w:eastAsia="仿宋" w:cs="Times New Roman"/>
          <w:sz w:val="24"/>
          <w:szCs w:val="24"/>
        </w:rPr>
        <w:t>所有楼梯、楼道每天清扫、湿拖1—2次，保证无污迹、无痰迹、无积灰、灯具光亮清洁；楼道天花板保证无灰尘、蜘蛛网。</w:t>
      </w:r>
    </w:p>
    <w:p w14:paraId="3BEFAC1E">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13、</w:t>
      </w:r>
      <w:r>
        <w:rPr>
          <w:rFonts w:hint="eastAsia" w:ascii="仿宋" w:hAnsi="仿宋" w:eastAsia="仿宋" w:cs="Times New Roman"/>
          <w:sz w:val="24"/>
          <w:szCs w:val="24"/>
        </w:rPr>
        <w:t>楼梯及扶手、栏杆及设施每天擦拭一次。</w:t>
      </w:r>
    </w:p>
    <w:p w14:paraId="6A2CE04A">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三、</w:t>
      </w:r>
      <w:r>
        <w:rPr>
          <w:rFonts w:hint="eastAsia" w:ascii="仿宋" w:hAnsi="仿宋" w:eastAsia="仿宋" w:cs="Times New Roman"/>
          <w:b/>
          <w:sz w:val="24"/>
          <w:szCs w:val="24"/>
        </w:rPr>
        <w:t>宿舍楼公共区域</w:t>
      </w:r>
    </w:p>
    <w:p w14:paraId="306C686E">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每天保洁2次，上午下午各一次，并保持场地无纸屑、无痰迹、无污迹。</w:t>
      </w:r>
    </w:p>
    <w:p w14:paraId="26E692A6">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楼梯及扶手、栏杆及设施每天擦拭一次。</w:t>
      </w:r>
    </w:p>
    <w:p w14:paraId="1346535C">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所有楼道每天清扫、湿拖1—2次，保证无污迹、无痰迹、无积灰、灯具光亮清洁；楼道天花板保证无灰尘、蜘蛛网。</w:t>
      </w:r>
    </w:p>
    <w:p w14:paraId="5DE9CF05">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公共场地墙面、天花、扶手清洁光亮，无灰尘，各种装饰件、玻璃、灯具保持光亮清洁。</w:t>
      </w:r>
    </w:p>
    <w:p w14:paraId="04C13EE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定期擦拭消防箱、灭火器，保持箱内外干净无积灰。</w:t>
      </w:r>
    </w:p>
    <w:p w14:paraId="0C6B4EA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所有垃圾桶及时清理清洁，无灰尘、无杂物、无污渍，并定期保养。</w:t>
      </w:r>
    </w:p>
    <w:p w14:paraId="6F41701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、保洁作业过程中要注意节约用水。</w:t>
      </w:r>
    </w:p>
    <w:p w14:paraId="2761F966">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四、</w:t>
      </w:r>
      <w:r>
        <w:rPr>
          <w:rFonts w:hint="eastAsia" w:ascii="仿宋" w:hAnsi="仿宋" w:eastAsia="仿宋" w:cs="Times New Roman"/>
          <w:b/>
          <w:sz w:val="24"/>
          <w:szCs w:val="24"/>
        </w:rPr>
        <w:t>室外公共区域</w:t>
      </w:r>
    </w:p>
    <w:p w14:paraId="422D717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院子及四周：每天对地面进行两次清洁，每天上午、下午各一次，保持无落叶、无纸屑、无烟头、无杂物等。</w:t>
      </w:r>
    </w:p>
    <w:p w14:paraId="44E6B164">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每天对外围车道及停车场地面及四周进行清洁，保持无落叶、无纸屑、无杂物等，地面及所有出入道清洁。</w:t>
      </w:r>
    </w:p>
    <w:p w14:paraId="1BA3F49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楼栋室外部分：每天两次清扫地面的灰尘和垃圾，保证无积水，保持地面无垃圾，无纸屑等杂物。</w:t>
      </w:r>
    </w:p>
    <w:p w14:paraId="389D9CFF">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主干道保洁：每天两次对主干道地面进行全面清扫，每小时巡回保洁。</w:t>
      </w:r>
    </w:p>
    <w:p w14:paraId="0E5F002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校园院内保洁必须喷洒水灭尘，保持校园环境净化。洒水车如出现故障需及时维修，恢复正常。</w:t>
      </w:r>
    </w:p>
    <w:p w14:paraId="6437FB03">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垃圾桶每天清洁一次，并保持外表干净。垃圾桶周围地面无垃圾和杂物，无臭味，无蚊蝇，垃圾桶表面保持清洁。</w:t>
      </w:r>
    </w:p>
    <w:p w14:paraId="67F82F3B">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 xml:space="preserve">、保洁作业过程中要注意节约用水。     </w:t>
      </w:r>
    </w:p>
    <w:p w14:paraId="63341FC2">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五、</w:t>
      </w:r>
      <w:r>
        <w:rPr>
          <w:rFonts w:hint="eastAsia" w:ascii="仿宋" w:hAnsi="仿宋" w:eastAsia="仿宋" w:cs="Times New Roman"/>
          <w:b/>
          <w:sz w:val="24"/>
          <w:szCs w:val="24"/>
        </w:rPr>
        <w:t>校园消杀</w:t>
      </w:r>
    </w:p>
    <w:p w14:paraId="70895893">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定期进行消杀、灭蚊、灭蝇、灭鼠活动，并提前通知师生。</w:t>
      </w:r>
    </w:p>
    <w:p w14:paraId="5B85FC94">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完成甲方通知的临时性清洁消杀任务。</w:t>
      </w:r>
    </w:p>
    <w:p w14:paraId="75B5FBB8">
      <w:pPr>
        <w:pStyle w:val="11"/>
        <w:spacing w:line="360" w:lineRule="auto"/>
        <w:rPr>
          <w:rFonts w:hint="eastAsia" w:ascii="仿宋" w:hAnsi="仿宋" w:eastAsia="仿宋" w:cs="Times New Roman"/>
          <w:b/>
          <w:sz w:val="24"/>
          <w:szCs w:val="24"/>
          <w:highlight w:val="none"/>
        </w:rPr>
      </w:pPr>
      <w:r>
        <w:rPr>
          <w:rFonts w:hint="eastAsia" w:ascii="仿宋" w:hAnsi="仿宋" w:eastAsia="仿宋" w:cs="Times New Roman"/>
          <w:b/>
          <w:sz w:val="24"/>
          <w:szCs w:val="24"/>
          <w:highlight w:val="none"/>
          <w:lang w:val="en-US" w:eastAsia="zh-CN"/>
        </w:rPr>
        <w:t>六、</w:t>
      </w:r>
      <w:r>
        <w:rPr>
          <w:rFonts w:hint="eastAsia" w:ascii="仿宋" w:hAnsi="仿宋" w:eastAsia="仿宋" w:cs="Times New Roman"/>
          <w:b/>
          <w:sz w:val="24"/>
          <w:szCs w:val="24"/>
          <w:highlight w:val="none"/>
        </w:rPr>
        <w:t>日常巡查、维修及搬运</w:t>
      </w:r>
    </w:p>
    <w:p w14:paraId="24DF5D57">
      <w:pPr>
        <w:pStyle w:val="11"/>
        <w:spacing w:line="360" w:lineRule="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lang w:val="en-US" w:eastAsia="zh-CN"/>
        </w:rPr>
        <w:t>1、</w:t>
      </w:r>
      <w:r>
        <w:rPr>
          <w:rFonts w:hint="eastAsia" w:ascii="仿宋" w:hAnsi="仿宋" w:eastAsia="仿宋" w:cs="Times New Roman"/>
          <w:sz w:val="24"/>
          <w:szCs w:val="24"/>
          <w:highlight w:val="none"/>
        </w:rPr>
        <w:t>在校园公共区域内日常巡查</w:t>
      </w:r>
      <w:r>
        <w:rPr>
          <w:rFonts w:hint="eastAsia" w:ascii="仿宋" w:hAnsi="仿宋" w:eastAsia="仿宋" w:cs="Times New Roman"/>
          <w:sz w:val="24"/>
          <w:szCs w:val="24"/>
          <w:highlight w:val="none"/>
          <w:lang w:val="en-US" w:eastAsia="zh-CN"/>
        </w:rPr>
        <w:t>时</w:t>
      </w:r>
      <w:r>
        <w:rPr>
          <w:rFonts w:hint="eastAsia" w:ascii="仿宋" w:hAnsi="仿宋" w:eastAsia="仿宋" w:cs="Times New Roman"/>
          <w:sz w:val="24"/>
          <w:szCs w:val="24"/>
          <w:highlight w:val="none"/>
        </w:rPr>
        <w:t>，发现门窗、灯具、桌椅、柜子、门栓、门把手等有损坏或不能正常使用等情形，及时上报、及时维修</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rPr>
        <w:t>做好台账记录。</w:t>
      </w:r>
    </w:p>
    <w:p w14:paraId="4207E6EF">
      <w:pPr>
        <w:pStyle w:val="11"/>
        <w:spacing w:line="360" w:lineRule="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2、在校园公共区域内日常巡查时，对各类设备、器具、水电、墙体等损坏现象，对存在安全隐患现象都需及时上报，做好台账记录。</w:t>
      </w:r>
    </w:p>
    <w:p w14:paraId="001B55A4">
      <w:pPr>
        <w:pStyle w:val="11"/>
        <w:spacing w:line="360" w:lineRule="auto"/>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3</w:t>
      </w:r>
      <w:r>
        <w:rPr>
          <w:rFonts w:hint="default" w:ascii="仿宋" w:hAnsi="仿宋" w:eastAsia="仿宋" w:cs="Times New Roman"/>
          <w:sz w:val="24"/>
          <w:szCs w:val="24"/>
          <w:lang w:val="en-US" w:eastAsia="zh-CN"/>
        </w:rPr>
        <w:t>、校园内洗手池、便池下水道及地漏如有堵塞需及时疏通，恢复正常。</w:t>
      </w:r>
    </w:p>
    <w:p w14:paraId="1DA5B731">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按照甲方要求搬运物品。</w:t>
      </w:r>
    </w:p>
    <w:p w14:paraId="7D486546">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七、</w:t>
      </w:r>
      <w:r>
        <w:rPr>
          <w:rFonts w:hint="eastAsia" w:ascii="仿宋" w:hAnsi="仿宋" w:eastAsia="仿宋" w:cs="Times New Roman"/>
          <w:b/>
          <w:sz w:val="24"/>
          <w:szCs w:val="24"/>
        </w:rPr>
        <w:t>水电气等设备维护管理要求</w:t>
      </w:r>
    </w:p>
    <w:p w14:paraId="223A69C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建立健全水电气设备物业管理制度，明确各种岗位工作标准，并制定具体的落实措施和考核办法。</w:t>
      </w:r>
    </w:p>
    <w:p w14:paraId="2466EEF3">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设备图纸、档案资料管理完善、收集齐全，分类清晰；建立设备台帐，登记详细，帐物相符。</w:t>
      </w:r>
    </w:p>
    <w:p w14:paraId="5FFDAB55">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水电气设备机房环境整洁卫生，物品摆放有序。机房内严禁吸烟、饮酒等与工作不相符的事宜，无关人员不得随意入内。</w:t>
      </w:r>
    </w:p>
    <w:p w14:paraId="08363F97">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落实设备安全运行、岗位责任制；分工明确，定期巡检和维护保养设备，严格执行有关维修保养规程和操作使用规程，并按规定记录设备运行状况。配电机房、消控系统等重要部位应提供每天24小时技术与人员保障，确保随时处置各类突发情况。</w:t>
      </w:r>
    </w:p>
    <w:p w14:paraId="3CB3B5E0">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严格落实值班值勤制度，设立服务电话，接受报修、求助、建议、问询、质疑、投拆等各类信息的收集和反馈，并及时处理，有回访制度和记录。有用户投诉和服务要求时，应在10分钟时间内向相关部门发出工作通知单，对于投诉应在一个工作日内电话或书面或上门回复客户处理进展情况。</w:t>
      </w:r>
    </w:p>
    <w:p w14:paraId="2EA58FFE">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每月公开一次人员考核考勤情况，每年向采购人提供人员编制及档案材料，并上报考核考勤情况。物管人员和专业技术人员持证上岗，着装规范，佩戴标志明显，服务规范，作风严谨。全体员工在管理服务期间，必须仪容整洁、仪表端正、礼仪规范，做到文明礼貌，热情周到。</w:t>
      </w:r>
    </w:p>
    <w:p w14:paraId="7EECCC1F">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加强日常工作巡查，及时发现并解决问题，并有检查及问题处理情况的记录。根据季节转换特点，主动做好空调等设备调整工作。</w:t>
      </w:r>
    </w:p>
    <w:p w14:paraId="393B6FD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按档案管理的要求，将设备管理服务的有关资料分类管理，保存完好。</w:t>
      </w:r>
    </w:p>
    <w:p w14:paraId="43A55F61">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9、</w:t>
      </w:r>
      <w:r>
        <w:rPr>
          <w:rFonts w:hint="eastAsia" w:ascii="仿宋" w:hAnsi="仿宋" w:eastAsia="仿宋" w:cs="Times New Roman"/>
          <w:sz w:val="24"/>
          <w:szCs w:val="24"/>
        </w:rPr>
        <w:t>落实水电气设备管理服务合同，兑现设备维修服务承诺。在设备维修过程中，设备维修期限为小修为1小时；中修4小时；大修8小时。要保证维修质量，减少返修，并有回访记录。在接到维修通知后，应10分钟内</w:t>
      </w:r>
      <w:r>
        <w:rPr>
          <w:rFonts w:hint="eastAsia" w:ascii="仿宋" w:hAnsi="仿宋" w:eastAsia="仿宋" w:cs="Times New Roman"/>
          <w:sz w:val="24"/>
          <w:szCs w:val="24"/>
          <w:highlight w:val="none"/>
          <w:lang w:val="en-US" w:eastAsia="zh-CN"/>
        </w:rPr>
        <w:t>到达</w:t>
      </w:r>
      <w:r>
        <w:rPr>
          <w:rFonts w:hint="eastAsia" w:ascii="仿宋" w:hAnsi="仿宋" w:eastAsia="仿宋" w:cs="Times New Roman"/>
          <w:sz w:val="24"/>
          <w:szCs w:val="24"/>
        </w:rPr>
        <w:t>现场，维修及时率应保证达到80％。</w:t>
      </w:r>
    </w:p>
    <w:p w14:paraId="791C3861">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10、</w:t>
      </w:r>
      <w:r>
        <w:rPr>
          <w:rFonts w:hint="eastAsia" w:ascii="仿宋" w:hAnsi="仿宋" w:eastAsia="仿宋" w:cs="Times New Roman"/>
          <w:sz w:val="24"/>
          <w:szCs w:val="24"/>
        </w:rPr>
        <w:t>保持员工队伍相对稳定，调动技术骨干，应提前告知甲方。必须按招投标文件岗位配置配足员工，不得擅自减少。经抽查，发现员工数减少，且无正当理由，甲方有权按实际减少的人数扣除相应的人均管理服务费，同时要求乙方补足规定人数。</w:t>
      </w:r>
    </w:p>
    <w:p w14:paraId="180CA5B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11、</w:t>
      </w:r>
      <w:r>
        <w:rPr>
          <w:rFonts w:hint="eastAsia" w:ascii="仿宋" w:hAnsi="仿宋" w:eastAsia="仿宋" w:cs="Times New Roman"/>
          <w:sz w:val="24"/>
          <w:szCs w:val="24"/>
        </w:rPr>
        <w:t>进一步做好各类设备管理台帐，记录各类维修材料损耗及流向情况，并定期分析物耗情况。</w:t>
      </w:r>
    </w:p>
    <w:p w14:paraId="2589FBAC">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12、</w:t>
      </w:r>
      <w:r>
        <w:rPr>
          <w:rFonts w:hint="eastAsia" w:ascii="仿宋" w:hAnsi="仿宋" w:eastAsia="仿宋" w:cs="Times New Roman"/>
          <w:sz w:val="24"/>
          <w:szCs w:val="24"/>
        </w:rPr>
        <w:t>积极开展节能降耗工作，每月提供能耗数据分析报告，提出合理化建议。</w:t>
      </w:r>
    </w:p>
    <w:p w14:paraId="2A25C7C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13、</w:t>
      </w:r>
      <w:r>
        <w:rPr>
          <w:rFonts w:hint="eastAsia" w:ascii="仿宋" w:hAnsi="仿宋" w:eastAsia="仿宋" w:cs="Times New Roman"/>
          <w:sz w:val="24"/>
          <w:szCs w:val="24"/>
        </w:rPr>
        <w:t>必须保管好甲方所有的工程设备图纸，因乙方原因遗失图纸所造成的损失，由乙方承担。</w:t>
      </w:r>
    </w:p>
    <w:p w14:paraId="7D34C38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14、</w:t>
      </w:r>
      <w:r>
        <w:rPr>
          <w:rFonts w:hint="eastAsia" w:ascii="仿宋" w:hAnsi="仿宋" w:eastAsia="仿宋" w:cs="Times New Roman"/>
          <w:sz w:val="24"/>
          <w:szCs w:val="24"/>
        </w:rPr>
        <w:t>在水电气设备管理过程中，不得随意更改原系统设备在使用、控制或性能上的各项技术指标和要求，确需更改或进行技术改造须经甲方同意。</w:t>
      </w:r>
    </w:p>
    <w:p w14:paraId="596D2B84">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15、</w:t>
      </w:r>
      <w:r>
        <w:rPr>
          <w:rFonts w:hint="eastAsia" w:ascii="仿宋" w:hAnsi="仿宋" w:eastAsia="仿宋" w:cs="Times New Roman"/>
          <w:sz w:val="24"/>
          <w:szCs w:val="24"/>
        </w:rPr>
        <w:t>配合有关部门做好相关工作，制订和完善水电气设备系统突发事件应急处置预案，并定期培训和操演。</w:t>
      </w:r>
    </w:p>
    <w:p w14:paraId="01AC3B9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16、</w:t>
      </w:r>
      <w:r>
        <w:rPr>
          <w:rFonts w:hint="eastAsia" w:ascii="仿宋" w:hAnsi="仿宋" w:eastAsia="仿宋" w:cs="Times New Roman"/>
          <w:sz w:val="24"/>
          <w:szCs w:val="24"/>
        </w:rPr>
        <w:t>确保正常供电供水供气，严格限停水电审批权限，遇有计划限停水电，应按规定及时通知业主。制订给排水事故应急处理方案。发生渗水事故，维修人员须在10分钟内抵现场抢修，杜绝大面积跑水、泛水或长时间停水现象。</w:t>
      </w:r>
    </w:p>
    <w:p w14:paraId="14109A16">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17、</w:t>
      </w:r>
      <w:r>
        <w:rPr>
          <w:rFonts w:hint="eastAsia" w:ascii="仿宋" w:hAnsi="仿宋" w:eastAsia="仿宋" w:cs="Times New Roman"/>
          <w:sz w:val="24"/>
          <w:szCs w:val="24"/>
        </w:rPr>
        <w:t>负责与专业维保单位等第三方的联系及现场管理工作，记录专业维保单位服务情况，并向甲方提出合理化建议。</w:t>
      </w:r>
    </w:p>
    <w:p w14:paraId="5FBB3C73">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18、</w:t>
      </w:r>
      <w:r>
        <w:rPr>
          <w:rFonts w:hint="eastAsia" w:ascii="仿宋" w:hAnsi="仿宋" w:eastAsia="仿宋" w:cs="Times New Roman"/>
          <w:sz w:val="24"/>
          <w:szCs w:val="24"/>
        </w:rPr>
        <w:t>及时落实业主要求的其它合理服务事项。</w:t>
      </w:r>
    </w:p>
    <w:p w14:paraId="78834618">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八、</w:t>
      </w:r>
      <w:r>
        <w:rPr>
          <w:rFonts w:hint="eastAsia" w:ascii="仿宋" w:hAnsi="仿宋" w:eastAsia="仿宋" w:cs="Times New Roman"/>
          <w:b/>
          <w:sz w:val="24"/>
          <w:szCs w:val="24"/>
        </w:rPr>
        <w:t>水电气设备物业管理服务的任务</w:t>
      </w:r>
    </w:p>
    <w:p w14:paraId="52275062">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负责范围内各设备系统的运行操作、日常巡视、定期检查保养、故障排除检修、应急处理工作。</w:t>
      </w:r>
    </w:p>
    <w:p w14:paraId="1BF08956">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制定各系统设备应急方案，并定期演练，逐步完善管理程序。</w:t>
      </w:r>
    </w:p>
    <w:p w14:paraId="4569BDA5">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物业管理区域内物业共用部位、共用设施设备的管理及维修养护。</w:t>
      </w:r>
    </w:p>
    <w:p w14:paraId="07382EF0">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供水、供电、供气等专业单位在物业管理区域内对相关管线、设施维修养护时，进行必要的协调和管理。</w:t>
      </w:r>
    </w:p>
    <w:p w14:paraId="17BF15E5">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协助和监督好专业设备维保单位的工作，接受相关行业单位的指导、监督、安全等工作的联系和管理。</w:t>
      </w:r>
    </w:p>
    <w:p w14:paraId="0DEAE479">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物业档案资料的建立和保管及有关物业服务费用的台帐管理，记录各设备系统维修时物料的流向。</w:t>
      </w:r>
    </w:p>
    <w:p w14:paraId="7C460DD2">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物业管理区域内业主、使用人其他物业方面的服务需求。</w:t>
      </w:r>
    </w:p>
    <w:p w14:paraId="5CA21596">
      <w:pPr>
        <w:pStyle w:val="11"/>
        <w:spacing w:line="360" w:lineRule="auto"/>
        <w:rPr>
          <w:rFonts w:hint="eastAsia" w:ascii="仿宋" w:hAnsi="仿宋" w:eastAsia="仿宋" w:cs="Times New Roman"/>
          <w:sz w:val="24"/>
          <w:szCs w:val="24"/>
        </w:rPr>
      </w:pPr>
      <w:r>
        <w:rPr>
          <w:rFonts w:hint="eastAsia" w:ascii="仿宋" w:hAnsi="仿宋" w:eastAsia="仿宋" w:cs="Times New Roman"/>
          <w:b/>
          <w:sz w:val="24"/>
          <w:szCs w:val="24"/>
          <w:lang w:val="en-US" w:eastAsia="zh-CN"/>
        </w:rPr>
        <w:t>九、</w:t>
      </w:r>
      <w:r>
        <w:rPr>
          <w:rFonts w:hint="eastAsia" w:ascii="仿宋" w:hAnsi="仿宋" w:eastAsia="仿宋" w:cs="Times New Roman"/>
          <w:b/>
          <w:sz w:val="24"/>
          <w:szCs w:val="24"/>
        </w:rPr>
        <w:t>提供物业管理的信息化服务。</w:t>
      </w:r>
      <w:r>
        <w:rPr>
          <w:rFonts w:hint="eastAsia" w:ascii="仿宋" w:hAnsi="仿宋" w:eastAsia="仿宋" w:cs="Times New Roman"/>
          <w:sz w:val="24"/>
          <w:szCs w:val="24"/>
        </w:rPr>
        <w:t>使用的软件可实现设施设备运行管理、报修登记、维修管理等功能，提供软件合法使用证明。</w:t>
      </w:r>
    </w:p>
    <w:p w14:paraId="72D2A169">
      <w:pPr>
        <w:pStyle w:val="11"/>
        <w:spacing w:line="360" w:lineRule="auto"/>
        <w:rPr>
          <w:rFonts w:hint="eastAsia" w:ascii="仿宋" w:hAnsi="仿宋" w:eastAsia="仿宋" w:cs="Times New Roman"/>
          <w:sz w:val="24"/>
          <w:szCs w:val="24"/>
        </w:rPr>
      </w:pPr>
    </w:p>
    <w:p w14:paraId="125B760A">
      <w:pPr>
        <w:widowControl/>
        <w:numPr>
          <w:ilvl w:val="1"/>
          <w:numId w:val="2"/>
        </w:numPr>
        <w:snapToGrid w:val="0"/>
        <w:spacing w:line="360" w:lineRule="auto"/>
        <w:outlineLvl w:val="1"/>
        <w:rPr>
          <w:rFonts w:ascii="仿宋" w:hAnsi="仿宋" w:eastAsia="仿宋"/>
          <w:b/>
          <w:bCs/>
          <w:sz w:val="24"/>
          <w:szCs w:val="24"/>
        </w:rPr>
      </w:pPr>
      <w:r>
        <w:rPr>
          <w:rFonts w:ascii="仿宋" w:hAnsi="仿宋" w:eastAsia="仿宋"/>
          <w:b/>
          <w:bCs/>
          <w:sz w:val="24"/>
          <w:szCs w:val="24"/>
        </w:rPr>
        <w:t>合同有效期、价款及</w:t>
      </w:r>
      <w:r>
        <w:rPr>
          <w:rFonts w:hint="eastAsia" w:ascii="仿宋" w:hAnsi="仿宋" w:eastAsia="仿宋"/>
          <w:b/>
          <w:bCs/>
          <w:sz w:val="24"/>
          <w:szCs w:val="24"/>
        </w:rPr>
        <w:t>验收与</w:t>
      </w:r>
      <w:r>
        <w:rPr>
          <w:rFonts w:ascii="仿宋" w:hAnsi="仿宋" w:eastAsia="仿宋"/>
          <w:b/>
          <w:bCs/>
          <w:sz w:val="24"/>
          <w:szCs w:val="24"/>
        </w:rPr>
        <w:t>支付方式</w:t>
      </w:r>
    </w:p>
    <w:p w14:paraId="3B2DD643">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南阳农业职业学院物业管理服务委托合同</w:t>
      </w:r>
      <w:r>
        <w:rPr>
          <w:rFonts w:ascii="仿宋" w:hAnsi="仿宋" w:eastAsia="仿宋"/>
          <w:sz w:val="24"/>
          <w:szCs w:val="24"/>
        </w:rPr>
        <w:t>有效期自</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日至</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r>
        <w:rPr>
          <w:rFonts w:ascii="仿宋" w:hAnsi="仿宋" w:eastAsia="仿宋"/>
          <w:w w:val="90"/>
          <w:sz w:val="24"/>
          <w:szCs w:val="24"/>
        </w:rPr>
        <w:t>止</w:t>
      </w:r>
      <w:r>
        <w:rPr>
          <w:rFonts w:ascii="仿宋" w:hAnsi="仿宋" w:eastAsia="仿宋"/>
          <w:sz w:val="24"/>
          <w:szCs w:val="24"/>
        </w:rPr>
        <w:t>；共</w:t>
      </w:r>
      <w:r>
        <w:rPr>
          <w:rFonts w:ascii="仿宋" w:hAnsi="仿宋" w:eastAsia="仿宋"/>
          <w:sz w:val="24"/>
          <w:szCs w:val="24"/>
          <w:u w:val="single"/>
        </w:rPr>
        <w:t xml:space="preserve">    </w:t>
      </w:r>
      <w:r>
        <w:rPr>
          <w:rFonts w:ascii="仿宋" w:hAnsi="仿宋" w:eastAsia="仿宋"/>
          <w:sz w:val="24"/>
          <w:szCs w:val="24"/>
        </w:rPr>
        <w:t>个月，合同</w:t>
      </w:r>
      <w:r>
        <w:rPr>
          <w:rFonts w:ascii="仿宋" w:hAnsi="仿宋" w:eastAsia="仿宋"/>
          <w:color w:val="000000"/>
          <w:sz w:val="24"/>
          <w:szCs w:val="24"/>
        </w:rPr>
        <w:t>总费用为</w:t>
      </w:r>
      <w:r>
        <w:rPr>
          <w:rFonts w:ascii="仿宋" w:hAnsi="仿宋" w:eastAsia="仿宋"/>
          <w:color w:val="000000"/>
          <w:sz w:val="24"/>
          <w:szCs w:val="24"/>
          <w:u w:val="single"/>
        </w:rPr>
        <w:t xml:space="preserve">       </w:t>
      </w:r>
      <w:r>
        <w:rPr>
          <w:rFonts w:ascii="仿宋" w:hAnsi="仿宋" w:eastAsia="仿宋"/>
          <w:color w:val="000000"/>
          <w:sz w:val="24"/>
          <w:szCs w:val="24"/>
        </w:rPr>
        <w:t>元（大写：</w:t>
      </w:r>
      <w:r>
        <w:rPr>
          <w:rFonts w:ascii="仿宋" w:hAnsi="仿宋" w:eastAsia="仿宋"/>
          <w:color w:val="000000"/>
          <w:sz w:val="24"/>
          <w:szCs w:val="24"/>
          <w:u w:val="single"/>
        </w:rPr>
        <w:t xml:space="preserve">             </w:t>
      </w:r>
      <w:r>
        <w:rPr>
          <w:rFonts w:ascii="仿宋" w:hAnsi="仿宋" w:eastAsia="仿宋"/>
          <w:color w:val="000000"/>
          <w:sz w:val="24"/>
          <w:szCs w:val="24"/>
        </w:rPr>
        <w:t>），该价款包含了乙方为完成本合同约定服务内容所需的一切费用。</w:t>
      </w:r>
    </w:p>
    <w:p w14:paraId="3FFA8BA0">
      <w:pPr>
        <w:spacing w:line="360" w:lineRule="auto"/>
        <w:ind w:firstLine="480" w:firstLineChars="200"/>
        <w:jc w:val="left"/>
        <w:rPr>
          <w:rFonts w:ascii="仿宋" w:hAnsi="仿宋" w:eastAsia="仿宋" w:cs="宋体"/>
          <w:sz w:val="24"/>
          <w:szCs w:val="18"/>
        </w:rPr>
      </w:pPr>
      <w:r>
        <w:rPr>
          <w:rFonts w:hint="eastAsia" w:ascii="仿宋" w:hAnsi="仿宋" w:eastAsia="仿宋" w:cs="宋体"/>
          <w:sz w:val="24"/>
          <w:szCs w:val="18"/>
        </w:rPr>
        <w:t>验收方式：由采购人对服务的质量进行详细全面的检验，自合同签订之日起每个月对物业服务进行考评，每四个月进行考评汇总并出具验收（考评）报告，作为付款的凭据之一。</w:t>
      </w:r>
    </w:p>
    <w:p w14:paraId="5F61C0E7">
      <w:pPr>
        <w:spacing w:line="360" w:lineRule="auto"/>
        <w:ind w:firstLine="480" w:firstLineChars="200"/>
        <w:jc w:val="left"/>
        <w:rPr>
          <w:rFonts w:ascii="仿宋" w:hAnsi="仿宋" w:eastAsia="仿宋"/>
          <w:color w:val="FF0000"/>
          <w:sz w:val="24"/>
          <w:szCs w:val="22"/>
        </w:rPr>
      </w:pPr>
      <w:r>
        <w:rPr>
          <w:rFonts w:hint="eastAsia" w:ascii="仿宋" w:hAnsi="仿宋" w:eastAsia="仿宋" w:cs="宋体"/>
          <w:sz w:val="24"/>
          <w:szCs w:val="18"/>
        </w:rPr>
        <w:t>付款方式：</w:t>
      </w:r>
      <w:r>
        <w:rPr>
          <w:rFonts w:hint="eastAsia" w:ascii="仿宋" w:hAnsi="仿宋" w:eastAsia="仿宋"/>
          <w:color w:val="000000"/>
          <w:sz w:val="24"/>
          <w:szCs w:val="24"/>
        </w:rPr>
        <w:t>合同签订之日起每满四个月后，验收考核通过且具备付款条件之日起15个工作日内支付合同金额的1/</w:t>
      </w: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，乙方应开具正规发票，直至付清。</w:t>
      </w:r>
    </w:p>
    <w:p w14:paraId="45D44A03">
      <w:pPr>
        <w:pStyle w:val="11"/>
        <w:spacing w:line="360" w:lineRule="auto"/>
        <w:ind w:left="0" w:leftChars="0" w:firstLine="480" w:firstLineChars="200"/>
        <w:rPr>
          <w:rFonts w:ascii="仿宋" w:hAnsi="仿宋" w:eastAsia="仿宋"/>
          <w:sz w:val="24"/>
          <w:szCs w:val="24"/>
        </w:rPr>
      </w:pPr>
      <w:r>
        <w:rPr>
          <w:rFonts w:ascii="仿宋" w:hAnsi="仿宋" w:eastAsia="仿宋"/>
          <w:color w:val="000000"/>
          <w:sz w:val="24"/>
          <w:szCs w:val="24"/>
        </w:rPr>
        <w:t>甲方依据各项岗位工作规范及考评办法对乙方完成的工作进行综合考评，每次支付前按考评结果办理费用支付结算报批手续</w:t>
      </w:r>
      <w:r>
        <w:rPr>
          <w:rFonts w:hint="eastAsia" w:ascii="仿宋" w:hAnsi="仿宋" w:eastAsia="仿宋"/>
          <w:color w:val="000000"/>
          <w:sz w:val="24"/>
          <w:szCs w:val="24"/>
        </w:rPr>
        <w:t>。</w:t>
      </w:r>
    </w:p>
    <w:p w14:paraId="4F7AB2B4">
      <w:pPr>
        <w:widowControl/>
        <w:numPr>
          <w:ilvl w:val="1"/>
          <w:numId w:val="2"/>
        </w:numPr>
        <w:snapToGrid w:val="0"/>
        <w:spacing w:line="360" w:lineRule="auto"/>
        <w:outlineLvl w:val="1"/>
        <w:rPr>
          <w:rFonts w:ascii="仿宋" w:hAnsi="仿宋" w:eastAsia="仿宋"/>
          <w:b/>
          <w:bCs/>
          <w:sz w:val="24"/>
          <w:szCs w:val="24"/>
        </w:rPr>
      </w:pPr>
      <w:r>
        <w:rPr>
          <w:rFonts w:hint="eastAsia" w:ascii="仿宋" w:hAnsi="仿宋" w:eastAsia="仿宋"/>
          <w:b/>
          <w:bCs/>
          <w:sz w:val="24"/>
          <w:szCs w:val="24"/>
        </w:rPr>
        <w:t xml:space="preserve"> </w:t>
      </w:r>
      <w:r>
        <w:rPr>
          <w:rFonts w:ascii="仿宋" w:hAnsi="仿宋" w:eastAsia="仿宋"/>
          <w:b/>
          <w:bCs/>
          <w:sz w:val="24"/>
          <w:szCs w:val="24"/>
        </w:rPr>
        <w:t>违约责任及退出机制</w:t>
      </w:r>
    </w:p>
    <w:p w14:paraId="566B1F45">
      <w:pPr>
        <w:pStyle w:val="11"/>
        <w:spacing w:line="360" w:lineRule="auto"/>
        <w:rPr>
          <w:rFonts w:ascii="仿宋" w:hAnsi="仿宋" w:eastAsia="仿宋"/>
          <w:sz w:val="24"/>
          <w:szCs w:val="24"/>
        </w:rPr>
      </w:pPr>
      <w:r>
        <w:rPr>
          <w:rFonts w:ascii="仿宋" w:hAnsi="仿宋" w:eastAsia="仿宋"/>
          <w:sz w:val="24"/>
          <w:szCs w:val="24"/>
        </w:rPr>
        <w:t>一、乙方所聘工作人员因身体原因、不能履职尽责原因、出现较大失误并造成不良影响或损失原因、发生安全责任事故原因等，甲方有权要求乙方解聘相关人员，乙方必须接受甲方意见。</w:t>
      </w:r>
    </w:p>
    <w:p w14:paraId="4DD02A99">
      <w:pPr>
        <w:pStyle w:val="11"/>
        <w:spacing w:line="360" w:lineRule="auto"/>
        <w:rPr>
          <w:rFonts w:ascii="仿宋" w:hAnsi="仿宋" w:eastAsia="仿宋"/>
          <w:sz w:val="24"/>
          <w:szCs w:val="24"/>
        </w:rPr>
      </w:pPr>
      <w:r>
        <w:rPr>
          <w:rFonts w:ascii="仿宋" w:hAnsi="仿宋" w:eastAsia="仿宋"/>
          <w:sz w:val="24"/>
          <w:szCs w:val="24"/>
        </w:rPr>
        <w:t>二、在合同期内，因工作监督、管理、服务有失控、不能有效监督、不能规范管理、不能保证服务，发生较大责任事故，或者严重违反国家法律、法规和政策，造成恶劣影响，甲方有权单方即时终止合同，乙方无条件接受，且由乙方承担全部责任。</w:t>
      </w:r>
    </w:p>
    <w:p w14:paraId="2BDCF462">
      <w:pPr>
        <w:pStyle w:val="11"/>
        <w:spacing w:line="360" w:lineRule="auto"/>
        <w:rPr>
          <w:rFonts w:ascii="仿宋" w:hAnsi="仿宋" w:eastAsia="仿宋"/>
          <w:sz w:val="24"/>
          <w:szCs w:val="24"/>
        </w:rPr>
      </w:pPr>
      <w:r>
        <w:rPr>
          <w:rFonts w:ascii="仿宋" w:hAnsi="仿宋" w:eastAsia="仿宋"/>
          <w:sz w:val="24"/>
          <w:szCs w:val="24"/>
        </w:rPr>
        <w:t>三、乙方在合同有效期内，服务质量达不到甲方要求。甲方出具书面整改通知书后，乙方必须无条件整改。整改中所产生的一切费用由乙方负责。服务质量达不到甲方要求的，甲方将扣除乙方相应服务费，同时甲方有权单方面解除合同，并追究乙方由此给甲方带来的一切经济损失。</w:t>
      </w:r>
    </w:p>
    <w:p w14:paraId="52F34FF8">
      <w:pPr>
        <w:pStyle w:val="11"/>
        <w:spacing w:line="360" w:lineRule="auto"/>
        <w:rPr>
          <w:rFonts w:ascii="仿宋" w:hAnsi="仿宋" w:eastAsia="仿宋"/>
          <w:sz w:val="24"/>
          <w:szCs w:val="24"/>
        </w:rPr>
      </w:pPr>
      <w:r>
        <w:rPr>
          <w:rFonts w:ascii="仿宋" w:hAnsi="仿宋" w:eastAsia="仿宋"/>
          <w:sz w:val="24"/>
          <w:szCs w:val="24"/>
        </w:rPr>
        <w:t>四、乙方未认真履行管理职责，造成以下责任，将根据情节严重情况，实行批评教育、责令整改、扣除服务费用等措施。</w:t>
      </w:r>
    </w:p>
    <w:p w14:paraId="25F331C4">
      <w:pPr>
        <w:pStyle w:val="11"/>
        <w:spacing w:line="360" w:lineRule="auto"/>
        <w:rPr>
          <w:rFonts w:ascii="仿宋" w:hAnsi="仿宋" w:eastAsia="仿宋"/>
          <w:sz w:val="24"/>
          <w:szCs w:val="24"/>
        </w:rPr>
      </w:pPr>
      <w:r>
        <w:rPr>
          <w:rFonts w:ascii="仿宋" w:hAnsi="仿宋" w:eastAsia="仿宋"/>
          <w:sz w:val="24"/>
          <w:szCs w:val="24"/>
        </w:rPr>
        <w:t>（一）违规操作，弄虚作假，隐瞒事实；</w:t>
      </w:r>
    </w:p>
    <w:p w14:paraId="7D53714A">
      <w:pPr>
        <w:pStyle w:val="11"/>
        <w:spacing w:line="360" w:lineRule="auto"/>
        <w:rPr>
          <w:rFonts w:ascii="仿宋" w:hAnsi="仿宋" w:eastAsia="仿宋"/>
          <w:sz w:val="24"/>
          <w:szCs w:val="24"/>
        </w:rPr>
      </w:pPr>
      <w:r>
        <w:rPr>
          <w:rFonts w:ascii="仿宋" w:hAnsi="仿宋" w:eastAsia="仿宋"/>
          <w:sz w:val="24"/>
          <w:szCs w:val="24"/>
        </w:rPr>
        <w:t>（二）未经批准，擅自做主，造成不良影响和损失；</w:t>
      </w:r>
    </w:p>
    <w:p w14:paraId="19B18C0B">
      <w:pPr>
        <w:pStyle w:val="11"/>
        <w:spacing w:line="360" w:lineRule="auto"/>
        <w:rPr>
          <w:rFonts w:ascii="仿宋" w:hAnsi="仿宋" w:eastAsia="仿宋"/>
          <w:sz w:val="24"/>
          <w:szCs w:val="24"/>
        </w:rPr>
      </w:pPr>
      <w:r>
        <w:rPr>
          <w:rFonts w:ascii="仿宋" w:hAnsi="仿宋" w:eastAsia="仿宋"/>
          <w:sz w:val="24"/>
          <w:szCs w:val="24"/>
        </w:rPr>
        <w:t>（三）因教育和管理不严，造成内部员工矛盾，影响学校稳定；</w:t>
      </w:r>
    </w:p>
    <w:p w14:paraId="794BDA42">
      <w:pPr>
        <w:pStyle w:val="11"/>
        <w:spacing w:line="360" w:lineRule="auto"/>
        <w:rPr>
          <w:rFonts w:ascii="仿宋" w:hAnsi="仿宋" w:eastAsia="仿宋"/>
          <w:sz w:val="24"/>
          <w:szCs w:val="24"/>
        </w:rPr>
      </w:pPr>
      <w:r>
        <w:rPr>
          <w:rFonts w:ascii="仿宋" w:hAnsi="仿宋" w:eastAsia="仿宋"/>
          <w:sz w:val="24"/>
          <w:szCs w:val="24"/>
        </w:rPr>
        <w:t>（四）师生对校园物业服务质量不满意，经调查属实；</w:t>
      </w:r>
    </w:p>
    <w:p w14:paraId="1A724410">
      <w:pPr>
        <w:pStyle w:val="11"/>
        <w:spacing w:line="360" w:lineRule="auto"/>
        <w:rPr>
          <w:rFonts w:hint="eastAsia" w:ascii="仿宋" w:hAnsi="仿宋" w:eastAsia="仿宋"/>
          <w:sz w:val="24"/>
          <w:szCs w:val="24"/>
          <w:lang w:eastAsia="zh-CN"/>
        </w:rPr>
      </w:pPr>
      <w:r>
        <w:rPr>
          <w:rFonts w:ascii="仿宋" w:hAnsi="仿宋" w:eastAsia="仿宋"/>
          <w:sz w:val="24"/>
          <w:szCs w:val="24"/>
        </w:rPr>
        <w:t>（五）拒绝执行学校交办的任务</w:t>
      </w:r>
      <w:r>
        <w:rPr>
          <w:rFonts w:hint="eastAsia" w:ascii="仿宋" w:hAnsi="仿宋" w:eastAsia="仿宋"/>
          <w:sz w:val="24"/>
          <w:szCs w:val="24"/>
          <w:lang w:eastAsia="zh-CN"/>
        </w:rPr>
        <w:t>。</w:t>
      </w:r>
    </w:p>
    <w:p w14:paraId="4260142E">
      <w:pPr>
        <w:widowControl/>
        <w:numPr>
          <w:ilvl w:val="1"/>
          <w:numId w:val="2"/>
        </w:numPr>
        <w:snapToGrid w:val="0"/>
        <w:spacing w:line="360" w:lineRule="auto"/>
        <w:ind w:firstLine="482" w:firstLineChars="200"/>
        <w:outlineLvl w:val="1"/>
        <w:rPr>
          <w:rFonts w:ascii="仿宋" w:hAnsi="仿宋" w:eastAsia="仿宋"/>
          <w:b/>
          <w:bCs/>
          <w:sz w:val="24"/>
          <w:szCs w:val="24"/>
        </w:rPr>
      </w:pPr>
      <w:r>
        <w:rPr>
          <w:rFonts w:ascii="仿宋" w:hAnsi="仿宋" w:eastAsia="仿宋"/>
          <w:b/>
          <w:bCs/>
          <w:sz w:val="24"/>
          <w:szCs w:val="24"/>
        </w:rPr>
        <w:t>人员管理及相关责任：</w:t>
      </w:r>
    </w:p>
    <w:p w14:paraId="4E57C18D">
      <w:pPr>
        <w:numPr>
          <w:ilvl w:val="0"/>
          <w:numId w:val="3"/>
        </w:numPr>
        <w:spacing w:line="360" w:lineRule="auto"/>
        <w:rPr>
          <w:rFonts w:ascii="仿宋" w:hAnsi="仿宋" w:eastAsia="仿宋"/>
          <w:sz w:val="24"/>
          <w:szCs w:val="24"/>
        </w:rPr>
      </w:pPr>
      <w:r>
        <w:rPr>
          <w:rFonts w:ascii="仿宋" w:hAnsi="仿宋" w:eastAsia="仿宋"/>
          <w:sz w:val="24"/>
          <w:szCs w:val="24"/>
        </w:rPr>
        <w:t>乙方应规范管理，建立、健全各种规章制度、岗位职责、工作规范及考核标准，加强监督，提升服务档次。</w:t>
      </w:r>
    </w:p>
    <w:p w14:paraId="0768DDC9">
      <w:pPr>
        <w:numPr>
          <w:ilvl w:val="0"/>
          <w:numId w:val="3"/>
        </w:numPr>
        <w:spacing w:line="360" w:lineRule="auto"/>
        <w:rPr>
          <w:rFonts w:ascii="仿宋" w:hAnsi="仿宋" w:eastAsia="仿宋"/>
          <w:sz w:val="24"/>
          <w:szCs w:val="24"/>
        </w:rPr>
      </w:pPr>
      <w:r>
        <w:rPr>
          <w:rFonts w:ascii="仿宋" w:hAnsi="仿宋" w:eastAsia="仿宋"/>
          <w:sz w:val="24"/>
          <w:szCs w:val="24"/>
        </w:rPr>
        <w:t>乙方应对上岗人员进行岗前、岗中业务培训，以保证熟练业务工作，提高服务水平。</w:t>
      </w:r>
    </w:p>
    <w:p w14:paraId="0F8C975F">
      <w:pPr>
        <w:numPr>
          <w:ilvl w:val="0"/>
          <w:numId w:val="3"/>
        </w:numPr>
        <w:spacing w:line="360" w:lineRule="auto"/>
        <w:rPr>
          <w:rFonts w:ascii="仿宋" w:hAnsi="仿宋" w:eastAsia="仿宋"/>
          <w:sz w:val="24"/>
          <w:szCs w:val="24"/>
        </w:rPr>
      </w:pPr>
      <w:r>
        <w:rPr>
          <w:rFonts w:ascii="仿宋" w:hAnsi="仿宋" w:eastAsia="仿宋"/>
          <w:sz w:val="24"/>
          <w:szCs w:val="24"/>
        </w:rPr>
        <w:t>在特殊时期或特殊情况，因工作需要临时安排相关加班工作，乙方应全力配合，积极完成。</w:t>
      </w:r>
    </w:p>
    <w:p w14:paraId="5875BAAC">
      <w:pPr>
        <w:numPr>
          <w:ilvl w:val="0"/>
          <w:numId w:val="3"/>
        </w:numPr>
        <w:spacing w:line="360" w:lineRule="auto"/>
        <w:rPr>
          <w:rFonts w:ascii="仿宋" w:hAnsi="仿宋" w:eastAsia="仿宋"/>
          <w:sz w:val="24"/>
          <w:szCs w:val="24"/>
        </w:rPr>
      </w:pPr>
      <w:r>
        <w:rPr>
          <w:rFonts w:ascii="仿宋" w:hAnsi="仿宋" w:eastAsia="仿宋"/>
          <w:sz w:val="24"/>
          <w:szCs w:val="24"/>
        </w:rPr>
        <w:t>上岗人员必须穿着统一标识工作服装，规范管理服务形象（行为）。</w:t>
      </w:r>
    </w:p>
    <w:p w14:paraId="34DB993E">
      <w:pPr>
        <w:numPr>
          <w:ilvl w:val="0"/>
          <w:numId w:val="3"/>
        </w:numPr>
        <w:spacing w:line="360" w:lineRule="auto"/>
        <w:rPr>
          <w:rFonts w:ascii="仿宋" w:hAnsi="仿宋" w:eastAsia="仿宋"/>
          <w:sz w:val="24"/>
          <w:szCs w:val="24"/>
        </w:rPr>
      </w:pPr>
      <w:r>
        <w:rPr>
          <w:rFonts w:ascii="仿宋" w:hAnsi="仿宋" w:eastAsia="仿宋"/>
          <w:sz w:val="24"/>
          <w:szCs w:val="24"/>
        </w:rPr>
        <w:t>乙方应配置足量楼栋卫生保洁所需的工具（应急照明灯、铁锨、扫帚、条帚、灰斗、拖把、抹布、水桶、胶手套、保洁刷、水管、胶鞋、雨衣等）。</w:t>
      </w:r>
    </w:p>
    <w:p w14:paraId="50CF504D">
      <w:pPr>
        <w:numPr>
          <w:ilvl w:val="0"/>
          <w:numId w:val="3"/>
        </w:numPr>
        <w:spacing w:line="360" w:lineRule="auto"/>
        <w:rPr>
          <w:rFonts w:ascii="仿宋" w:hAnsi="仿宋" w:eastAsia="仿宋"/>
          <w:sz w:val="24"/>
          <w:szCs w:val="24"/>
        </w:rPr>
      </w:pPr>
      <w:r>
        <w:rPr>
          <w:rFonts w:ascii="仿宋" w:hAnsi="仿宋" w:eastAsia="仿宋"/>
          <w:sz w:val="24"/>
          <w:szCs w:val="24"/>
        </w:rPr>
        <w:t>乙方应购置卫生保洁除污、除垢、除异味所需的药品并安全存放。</w:t>
      </w:r>
    </w:p>
    <w:p w14:paraId="303F74A5">
      <w:pPr>
        <w:numPr>
          <w:ilvl w:val="0"/>
          <w:numId w:val="3"/>
        </w:numPr>
        <w:spacing w:line="360" w:lineRule="auto"/>
        <w:rPr>
          <w:rFonts w:ascii="仿宋" w:hAnsi="仿宋" w:eastAsia="仿宋"/>
          <w:sz w:val="24"/>
          <w:szCs w:val="24"/>
        </w:rPr>
      </w:pPr>
      <w:r>
        <w:rPr>
          <w:rFonts w:ascii="仿宋" w:hAnsi="仿宋" w:eastAsia="仿宋"/>
          <w:sz w:val="24"/>
          <w:szCs w:val="24"/>
        </w:rPr>
        <w:t>乙方应配置打药桶、打药工作服、帽、口罩，购置灭虫（灭蚊、蝇、蚁等）药物并安全存放。</w:t>
      </w:r>
    </w:p>
    <w:p w14:paraId="76B8A7CA">
      <w:pPr>
        <w:numPr>
          <w:ilvl w:val="0"/>
          <w:numId w:val="3"/>
        </w:numPr>
        <w:spacing w:line="360" w:lineRule="auto"/>
        <w:rPr>
          <w:rFonts w:ascii="仿宋" w:hAnsi="仿宋" w:eastAsia="仿宋"/>
          <w:sz w:val="24"/>
          <w:szCs w:val="24"/>
        </w:rPr>
      </w:pPr>
      <w:r>
        <w:rPr>
          <w:rFonts w:ascii="仿宋" w:hAnsi="仿宋" w:eastAsia="仿宋"/>
          <w:sz w:val="24"/>
          <w:szCs w:val="24"/>
        </w:rPr>
        <w:t>在从事喷洒消杀等工作时应自行采取安全防护措施，因未采取安全防护措施发生安全事故的由乙方自行承担责任。乙方使用的药品必须专人保管、登记、发放，领用时需签名确认。</w:t>
      </w:r>
    </w:p>
    <w:p w14:paraId="098712CF">
      <w:pPr>
        <w:numPr>
          <w:ilvl w:val="0"/>
          <w:numId w:val="3"/>
        </w:numPr>
        <w:spacing w:line="360" w:lineRule="auto"/>
        <w:rPr>
          <w:rFonts w:ascii="仿宋" w:hAnsi="仿宋" w:eastAsia="仿宋"/>
          <w:sz w:val="24"/>
          <w:szCs w:val="24"/>
        </w:rPr>
      </w:pPr>
      <w:r>
        <w:rPr>
          <w:rFonts w:ascii="仿宋" w:hAnsi="仿宋" w:eastAsia="仿宋"/>
          <w:sz w:val="24"/>
          <w:szCs w:val="24"/>
        </w:rPr>
        <w:t>乙方应配置疏通机，保证排水、排污管道堵塞及时疏通。</w:t>
      </w:r>
    </w:p>
    <w:p w14:paraId="2B958AFE">
      <w:pPr>
        <w:numPr>
          <w:ilvl w:val="0"/>
          <w:numId w:val="3"/>
        </w:numPr>
        <w:spacing w:line="360" w:lineRule="auto"/>
        <w:rPr>
          <w:rFonts w:ascii="仿宋" w:hAnsi="仿宋" w:eastAsia="仿宋"/>
          <w:sz w:val="24"/>
          <w:szCs w:val="24"/>
        </w:rPr>
      </w:pPr>
      <w:r>
        <w:rPr>
          <w:rFonts w:ascii="仿宋" w:hAnsi="仿宋" w:eastAsia="仿宋"/>
          <w:sz w:val="24"/>
          <w:szCs w:val="24"/>
        </w:rPr>
        <w:t>乙方不得将物业管理服务业务向第三方转包或肢解分包。</w:t>
      </w:r>
    </w:p>
    <w:p w14:paraId="52FC45D1">
      <w:pPr>
        <w:numPr>
          <w:ilvl w:val="0"/>
          <w:numId w:val="3"/>
        </w:numPr>
        <w:spacing w:line="360" w:lineRule="auto"/>
        <w:rPr>
          <w:rFonts w:ascii="仿宋" w:hAnsi="仿宋" w:eastAsia="仿宋"/>
          <w:sz w:val="24"/>
          <w:szCs w:val="24"/>
        </w:rPr>
      </w:pPr>
      <w:r>
        <w:rPr>
          <w:rFonts w:ascii="仿宋" w:hAnsi="仿宋" w:eastAsia="仿宋"/>
          <w:sz w:val="24"/>
          <w:szCs w:val="24"/>
        </w:rPr>
        <w:t>乙方工作人员应遵守甲方相关规章制度，服从各职能单位管理。</w:t>
      </w:r>
    </w:p>
    <w:p w14:paraId="2E77A391">
      <w:pPr>
        <w:numPr>
          <w:ilvl w:val="0"/>
          <w:numId w:val="3"/>
        </w:numPr>
        <w:spacing w:line="360" w:lineRule="auto"/>
        <w:rPr>
          <w:rFonts w:ascii="仿宋" w:hAnsi="仿宋" w:eastAsia="仿宋"/>
          <w:sz w:val="24"/>
          <w:szCs w:val="24"/>
        </w:rPr>
      </w:pPr>
      <w:r>
        <w:rPr>
          <w:rFonts w:ascii="仿宋" w:hAnsi="仿宋" w:eastAsia="仿宋"/>
          <w:sz w:val="24"/>
          <w:szCs w:val="24"/>
        </w:rPr>
        <w:t>乙方应按照国家法律法规，为员工缴纳社保部门规定应缴的养老、医疗、失业等社会保障项目的费项，乙方聘用人员的工资待遇不能低于当地政府的最低工资待遇标准。乙方与员工产生的劳资纠纷，所有责任由乙方负责。</w:t>
      </w:r>
    </w:p>
    <w:p w14:paraId="34203FB5">
      <w:pPr>
        <w:numPr>
          <w:ilvl w:val="0"/>
          <w:numId w:val="3"/>
        </w:numPr>
        <w:spacing w:line="360" w:lineRule="auto"/>
        <w:rPr>
          <w:rFonts w:ascii="仿宋" w:hAnsi="仿宋" w:eastAsia="仿宋"/>
          <w:sz w:val="24"/>
          <w:szCs w:val="24"/>
        </w:rPr>
      </w:pPr>
      <w:r>
        <w:rPr>
          <w:rFonts w:ascii="仿宋" w:hAnsi="仿宋" w:eastAsia="仿宋"/>
          <w:sz w:val="24"/>
          <w:szCs w:val="24"/>
        </w:rPr>
        <w:t>甲方有权根据实际需要调整岗位设置及定员，乙方须积极配合，服从安排。</w:t>
      </w:r>
    </w:p>
    <w:p w14:paraId="0278969C">
      <w:pPr>
        <w:numPr>
          <w:ilvl w:val="0"/>
          <w:numId w:val="3"/>
        </w:numPr>
        <w:spacing w:line="360" w:lineRule="auto"/>
        <w:rPr>
          <w:rFonts w:ascii="仿宋" w:hAnsi="仿宋" w:eastAsia="仿宋"/>
          <w:sz w:val="24"/>
          <w:szCs w:val="24"/>
        </w:rPr>
      </w:pPr>
      <w:r>
        <w:rPr>
          <w:rFonts w:ascii="仿宋" w:hAnsi="仿宋" w:eastAsia="仿宋"/>
          <w:sz w:val="24"/>
          <w:szCs w:val="24"/>
        </w:rPr>
        <w:t>乙方人员不得进入与物业服务无关的区域及动用与工作无关的物品。</w:t>
      </w:r>
    </w:p>
    <w:p w14:paraId="7073DBCB">
      <w:pPr>
        <w:numPr>
          <w:ilvl w:val="0"/>
          <w:numId w:val="3"/>
        </w:numPr>
        <w:spacing w:line="360" w:lineRule="auto"/>
        <w:rPr>
          <w:rFonts w:ascii="仿宋" w:hAnsi="仿宋" w:eastAsia="仿宋"/>
          <w:sz w:val="24"/>
          <w:szCs w:val="24"/>
        </w:rPr>
      </w:pPr>
      <w:r>
        <w:rPr>
          <w:rFonts w:ascii="仿宋" w:hAnsi="仿宋" w:eastAsia="仿宋"/>
          <w:sz w:val="24"/>
          <w:szCs w:val="24"/>
        </w:rPr>
        <w:t>因乙方工作不到位、管理不到位或失误所造成的相关损失或赔偿由乙方承担全部责任，甲方不承担相关连带责任。</w:t>
      </w:r>
    </w:p>
    <w:p w14:paraId="7295FBE2">
      <w:pPr>
        <w:numPr>
          <w:ilvl w:val="0"/>
          <w:numId w:val="3"/>
        </w:numPr>
        <w:spacing w:line="360" w:lineRule="auto"/>
        <w:rPr>
          <w:rFonts w:ascii="仿宋" w:hAnsi="仿宋" w:eastAsia="仿宋"/>
          <w:sz w:val="24"/>
          <w:szCs w:val="24"/>
        </w:rPr>
      </w:pPr>
      <w:r>
        <w:rPr>
          <w:rFonts w:ascii="仿宋" w:hAnsi="仿宋" w:eastAsia="仿宋"/>
          <w:sz w:val="24"/>
          <w:szCs w:val="24"/>
        </w:rPr>
        <w:t>乙方各岗位工作人员在工作期间或上下班途中如发生安全责任事故，乙方承担相关聘用人员及第三方责任，甲方不承担相关连带责任。</w:t>
      </w:r>
    </w:p>
    <w:p w14:paraId="2A3063B5">
      <w:pPr>
        <w:widowControl/>
        <w:numPr>
          <w:ilvl w:val="1"/>
          <w:numId w:val="2"/>
        </w:numPr>
        <w:snapToGrid w:val="0"/>
        <w:spacing w:line="360" w:lineRule="auto"/>
        <w:ind w:firstLine="482" w:firstLineChars="200"/>
        <w:outlineLvl w:val="1"/>
        <w:rPr>
          <w:rFonts w:ascii="仿宋" w:hAnsi="仿宋" w:eastAsia="仿宋"/>
          <w:b/>
          <w:bCs/>
          <w:sz w:val="24"/>
          <w:szCs w:val="24"/>
        </w:rPr>
      </w:pPr>
      <w:r>
        <w:rPr>
          <w:rFonts w:ascii="仿宋" w:hAnsi="仿宋" w:eastAsia="仿宋"/>
          <w:b/>
          <w:bCs/>
          <w:sz w:val="24"/>
          <w:szCs w:val="24"/>
        </w:rPr>
        <w:t>考核制度：</w:t>
      </w:r>
    </w:p>
    <w:p w14:paraId="2FECFEC7">
      <w:pPr>
        <w:spacing w:line="360" w:lineRule="auto"/>
        <w:ind w:firstLine="480" w:firstLineChars="200"/>
        <w:rPr>
          <w:rFonts w:ascii="仿宋" w:hAnsi="仿宋" w:eastAsia="仿宋"/>
          <w:color w:val="FF0000"/>
          <w:sz w:val="24"/>
          <w:szCs w:val="24"/>
        </w:rPr>
      </w:pPr>
      <w:r>
        <w:rPr>
          <w:rFonts w:ascii="仿宋" w:hAnsi="仿宋" w:eastAsia="仿宋"/>
          <w:sz w:val="24"/>
          <w:szCs w:val="24"/>
        </w:rPr>
        <w:t>甲方根据专职“巡检员”的监督巡检记录、情况通报、整改落实情况，甲方抽检情况，师生反映情况等进行综合考核。考核依据百分制打分，分为</w:t>
      </w:r>
      <w:r>
        <w:rPr>
          <w:rFonts w:hint="eastAsia" w:ascii="仿宋" w:hAnsi="仿宋" w:eastAsia="仿宋"/>
          <w:sz w:val="24"/>
          <w:szCs w:val="24"/>
          <w:highlight w:val="none"/>
          <w:lang w:val="en-US" w:eastAsia="zh-CN"/>
        </w:rPr>
        <w:t>4</w:t>
      </w:r>
      <w:r>
        <w:rPr>
          <w:rFonts w:ascii="仿宋" w:hAnsi="仿宋" w:eastAsia="仿宋"/>
          <w:sz w:val="24"/>
          <w:szCs w:val="24"/>
          <w:highlight w:val="none"/>
        </w:rPr>
        <w:t>个</w:t>
      </w:r>
      <w:r>
        <w:rPr>
          <w:rFonts w:ascii="仿宋" w:hAnsi="仿宋" w:eastAsia="仿宋"/>
          <w:sz w:val="24"/>
          <w:szCs w:val="24"/>
        </w:rPr>
        <w:t>等级，90分及以上为优秀，89-80为良好，79-70为</w:t>
      </w:r>
      <w:r>
        <w:rPr>
          <w:rFonts w:hint="eastAsia" w:ascii="仿宋" w:hAnsi="仿宋" w:eastAsia="仿宋"/>
          <w:sz w:val="24"/>
          <w:szCs w:val="24"/>
          <w:lang w:val="en-US" w:eastAsia="zh-CN"/>
        </w:rPr>
        <w:t>合格</w:t>
      </w:r>
      <w:r>
        <w:rPr>
          <w:rFonts w:ascii="仿宋" w:hAnsi="仿宋" w:eastAsia="仿宋"/>
          <w:sz w:val="24"/>
          <w:szCs w:val="24"/>
        </w:rPr>
        <w:t>，</w:t>
      </w:r>
      <w:r>
        <w:rPr>
          <w:rFonts w:hint="eastAsia" w:ascii="仿宋" w:hAnsi="仿宋" w:eastAsia="仿宋"/>
          <w:sz w:val="24"/>
          <w:szCs w:val="24"/>
          <w:lang w:val="en-US" w:eastAsia="zh-CN"/>
        </w:rPr>
        <w:t>7</w:t>
      </w:r>
      <w:r>
        <w:rPr>
          <w:rFonts w:ascii="仿宋" w:hAnsi="仿宋" w:eastAsia="仿宋"/>
          <w:sz w:val="24"/>
          <w:szCs w:val="24"/>
        </w:rPr>
        <w:t>0分以下（不含</w:t>
      </w:r>
      <w:r>
        <w:rPr>
          <w:rFonts w:hint="eastAsia" w:ascii="仿宋" w:hAnsi="仿宋" w:eastAsia="仿宋"/>
          <w:sz w:val="24"/>
          <w:szCs w:val="24"/>
          <w:lang w:val="en-US" w:eastAsia="zh-CN"/>
        </w:rPr>
        <w:t>7</w:t>
      </w:r>
      <w:r>
        <w:rPr>
          <w:rFonts w:ascii="仿宋" w:hAnsi="仿宋" w:eastAsia="仿宋"/>
          <w:sz w:val="24"/>
          <w:szCs w:val="24"/>
        </w:rPr>
        <w:t>0分）为</w:t>
      </w:r>
      <w:r>
        <w:rPr>
          <w:rFonts w:hint="eastAsia" w:ascii="仿宋" w:hAnsi="仿宋" w:eastAsia="仿宋"/>
          <w:sz w:val="24"/>
          <w:szCs w:val="24"/>
          <w:lang w:val="en-US" w:eastAsia="zh-CN"/>
        </w:rPr>
        <w:t>不合格</w:t>
      </w:r>
      <w:r>
        <w:rPr>
          <w:rFonts w:ascii="仿宋" w:hAnsi="仿宋" w:eastAsia="仿宋"/>
          <w:sz w:val="24"/>
          <w:szCs w:val="24"/>
        </w:rPr>
        <w:t>。当次考核等级为“</w:t>
      </w:r>
      <w:r>
        <w:rPr>
          <w:rFonts w:hint="eastAsia" w:ascii="仿宋" w:hAnsi="仿宋" w:eastAsia="仿宋"/>
          <w:sz w:val="24"/>
          <w:szCs w:val="24"/>
          <w:lang w:val="en-US" w:eastAsia="zh-CN"/>
        </w:rPr>
        <w:t>优秀</w:t>
      </w:r>
      <w:r>
        <w:rPr>
          <w:rFonts w:ascii="仿宋" w:hAnsi="仿宋" w:eastAsia="仿宋"/>
          <w:sz w:val="24"/>
          <w:szCs w:val="24"/>
        </w:rPr>
        <w:t>”的按合同约定金额的100%发放；当次考核等级为“</w:t>
      </w:r>
      <w:r>
        <w:rPr>
          <w:rFonts w:hint="eastAsia" w:ascii="仿宋" w:hAnsi="仿宋" w:eastAsia="仿宋"/>
          <w:sz w:val="24"/>
          <w:szCs w:val="24"/>
          <w:lang w:val="en-US" w:eastAsia="zh-CN"/>
        </w:rPr>
        <w:t>良好</w:t>
      </w:r>
      <w:r>
        <w:rPr>
          <w:rFonts w:ascii="仿宋" w:hAnsi="仿宋" w:eastAsia="仿宋"/>
          <w:sz w:val="24"/>
          <w:szCs w:val="24"/>
        </w:rPr>
        <w:t>”的按合同约定金额的95%发放；当次考核等级为“合格”的按合同约定金额的90%发放；当次考核等级为“</w:t>
      </w:r>
      <w:r>
        <w:rPr>
          <w:rFonts w:hint="eastAsia" w:ascii="仿宋" w:hAnsi="仿宋" w:eastAsia="仿宋"/>
          <w:sz w:val="24"/>
          <w:szCs w:val="24"/>
          <w:lang w:val="en-US" w:eastAsia="zh-CN"/>
        </w:rPr>
        <w:t>不合格</w:t>
      </w:r>
      <w:r>
        <w:rPr>
          <w:rFonts w:ascii="仿宋" w:hAnsi="仿宋" w:eastAsia="仿宋"/>
          <w:sz w:val="24"/>
          <w:szCs w:val="24"/>
        </w:rPr>
        <w:t>”的按合同约定金额的80%发放，并且</w:t>
      </w:r>
      <w:r>
        <w:rPr>
          <w:rFonts w:hint="eastAsia" w:ascii="仿宋" w:hAnsi="仿宋" w:eastAsia="仿宋"/>
          <w:sz w:val="24"/>
          <w:szCs w:val="24"/>
          <w:lang w:val="en-US" w:eastAsia="zh-CN"/>
        </w:rPr>
        <w:t>甲方有权</w:t>
      </w:r>
      <w:r>
        <w:rPr>
          <w:rFonts w:ascii="仿宋" w:hAnsi="仿宋" w:eastAsia="仿宋"/>
          <w:sz w:val="24"/>
          <w:szCs w:val="24"/>
        </w:rPr>
        <w:t>直接终止服务合同。</w:t>
      </w:r>
    </w:p>
    <w:p w14:paraId="1AC2B50B">
      <w:pPr>
        <w:widowControl/>
        <w:numPr>
          <w:ilvl w:val="1"/>
          <w:numId w:val="2"/>
        </w:numPr>
        <w:snapToGrid w:val="0"/>
        <w:spacing w:line="360" w:lineRule="auto"/>
        <w:ind w:firstLine="482" w:firstLineChars="200"/>
        <w:outlineLvl w:val="1"/>
        <w:rPr>
          <w:rFonts w:ascii="仿宋" w:hAnsi="仿宋" w:eastAsia="仿宋"/>
          <w:b/>
          <w:sz w:val="24"/>
          <w:szCs w:val="24"/>
        </w:rPr>
      </w:pPr>
      <w:r>
        <w:rPr>
          <w:rFonts w:ascii="仿宋" w:hAnsi="仿宋" w:eastAsia="仿宋"/>
          <w:b/>
          <w:sz w:val="24"/>
          <w:szCs w:val="24"/>
        </w:rPr>
        <w:t>岗位责任公示制度：</w:t>
      </w:r>
    </w:p>
    <w:p w14:paraId="6D8CF73B">
      <w:pPr>
        <w:spacing w:line="360" w:lineRule="auto"/>
        <w:ind w:firstLine="480" w:firstLineChars="200"/>
        <w:rPr>
          <w:rFonts w:ascii="仿宋" w:hAnsi="仿宋" w:eastAsia="仿宋"/>
          <w:sz w:val="24"/>
          <w:szCs w:val="24"/>
        </w:rPr>
      </w:pPr>
      <w:r>
        <w:rPr>
          <w:rFonts w:ascii="仿宋" w:hAnsi="仿宋" w:eastAsia="仿宋"/>
          <w:sz w:val="24"/>
          <w:szCs w:val="24"/>
        </w:rPr>
        <w:t>乙方对各岗位人员进行责任公示，制作公示牌，悬挂于责任区醒目位置，接受监督、举报。</w:t>
      </w:r>
    </w:p>
    <w:p w14:paraId="0A627E35">
      <w:pPr>
        <w:spacing w:line="360" w:lineRule="auto"/>
        <w:ind w:firstLine="480" w:firstLineChars="200"/>
        <w:rPr>
          <w:rFonts w:ascii="仿宋" w:hAnsi="仿宋" w:eastAsia="仿宋"/>
          <w:sz w:val="24"/>
          <w:szCs w:val="24"/>
        </w:rPr>
      </w:pPr>
      <w:r>
        <w:rPr>
          <w:rFonts w:ascii="仿宋" w:hAnsi="仿宋" w:eastAsia="仿宋"/>
          <w:sz w:val="24"/>
          <w:szCs w:val="24"/>
        </w:rPr>
        <w:t>公示牌内容包括：</w:t>
      </w:r>
    </w:p>
    <w:p w14:paraId="57727595">
      <w:pPr>
        <w:numPr>
          <w:ilvl w:val="0"/>
          <w:numId w:val="4"/>
        </w:numPr>
        <w:spacing w:line="360" w:lineRule="auto"/>
        <w:ind w:firstLine="480" w:firstLineChars="200"/>
        <w:rPr>
          <w:rFonts w:ascii="仿宋" w:hAnsi="仿宋" w:eastAsia="仿宋"/>
          <w:sz w:val="24"/>
          <w:szCs w:val="24"/>
        </w:rPr>
      </w:pPr>
      <w:r>
        <w:rPr>
          <w:rFonts w:ascii="仿宋" w:hAnsi="仿宋" w:eastAsia="仿宋"/>
          <w:sz w:val="24"/>
          <w:szCs w:val="24"/>
        </w:rPr>
        <w:t>责任区名称。</w:t>
      </w:r>
    </w:p>
    <w:p w14:paraId="2DFFDAEA">
      <w:pPr>
        <w:numPr>
          <w:ilvl w:val="0"/>
          <w:numId w:val="4"/>
        </w:numPr>
        <w:spacing w:line="360" w:lineRule="auto"/>
        <w:ind w:firstLine="480" w:firstLineChars="200"/>
        <w:rPr>
          <w:rFonts w:ascii="仿宋" w:hAnsi="仿宋" w:eastAsia="仿宋"/>
          <w:sz w:val="24"/>
          <w:szCs w:val="24"/>
        </w:rPr>
      </w:pPr>
      <w:r>
        <w:rPr>
          <w:rFonts w:ascii="仿宋" w:hAnsi="仿宋" w:eastAsia="仿宋"/>
          <w:sz w:val="24"/>
          <w:szCs w:val="24"/>
        </w:rPr>
        <w:t>工作职责范围。</w:t>
      </w:r>
    </w:p>
    <w:p w14:paraId="04D56E9E">
      <w:pPr>
        <w:numPr>
          <w:ilvl w:val="0"/>
          <w:numId w:val="4"/>
        </w:numPr>
        <w:spacing w:line="360" w:lineRule="auto"/>
        <w:ind w:firstLine="480" w:firstLineChars="200"/>
        <w:rPr>
          <w:rFonts w:ascii="仿宋" w:hAnsi="仿宋" w:eastAsia="仿宋"/>
          <w:sz w:val="24"/>
          <w:szCs w:val="24"/>
        </w:rPr>
      </w:pPr>
      <w:r>
        <w:rPr>
          <w:rFonts w:ascii="仿宋" w:hAnsi="仿宋" w:eastAsia="仿宋"/>
          <w:sz w:val="24"/>
          <w:szCs w:val="24"/>
        </w:rPr>
        <w:t>责任人姓名，手机号。</w:t>
      </w:r>
    </w:p>
    <w:p w14:paraId="7219FA48">
      <w:pPr>
        <w:numPr>
          <w:ilvl w:val="0"/>
          <w:numId w:val="4"/>
        </w:numPr>
        <w:spacing w:line="360" w:lineRule="auto"/>
        <w:ind w:firstLine="480" w:firstLineChars="200"/>
        <w:rPr>
          <w:rFonts w:ascii="仿宋" w:hAnsi="仿宋" w:eastAsia="仿宋"/>
          <w:sz w:val="24"/>
          <w:szCs w:val="24"/>
        </w:rPr>
      </w:pPr>
      <w:r>
        <w:rPr>
          <w:rFonts w:ascii="仿宋" w:hAnsi="仿宋" w:eastAsia="仿宋"/>
          <w:sz w:val="24"/>
          <w:szCs w:val="24"/>
        </w:rPr>
        <w:t>物业公司名称、监督人姓名，手机号。</w:t>
      </w:r>
    </w:p>
    <w:p w14:paraId="07645BCA">
      <w:pPr>
        <w:widowControl/>
        <w:numPr>
          <w:ilvl w:val="1"/>
          <w:numId w:val="2"/>
        </w:numPr>
        <w:snapToGrid w:val="0"/>
        <w:spacing w:line="360" w:lineRule="auto"/>
        <w:ind w:firstLine="482" w:firstLineChars="200"/>
        <w:outlineLvl w:val="1"/>
        <w:rPr>
          <w:rFonts w:ascii="仿宋" w:hAnsi="仿宋" w:eastAsia="仿宋"/>
          <w:b/>
          <w:bCs/>
          <w:sz w:val="24"/>
          <w:szCs w:val="24"/>
        </w:rPr>
      </w:pPr>
      <w:bookmarkStart w:id="0" w:name="附件一内容"/>
      <w:r>
        <w:rPr>
          <w:rFonts w:ascii="仿宋" w:hAnsi="仿宋" w:eastAsia="仿宋"/>
          <w:b/>
          <w:sz w:val="24"/>
          <w:szCs w:val="24"/>
        </w:rPr>
        <w:t>合同争议处理原则</w:t>
      </w:r>
    </w:p>
    <w:p w14:paraId="03E7955E">
      <w:pPr>
        <w:pStyle w:val="11"/>
        <w:spacing w:line="360" w:lineRule="auto"/>
        <w:rPr>
          <w:rFonts w:ascii="仿宋" w:hAnsi="仿宋" w:eastAsia="仿宋"/>
          <w:sz w:val="24"/>
          <w:szCs w:val="24"/>
        </w:rPr>
      </w:pPr>
      <w:r>
        <w:rPr>
          <w:rFonts w:ascii="仿宋" w:hAnsi="仿宋" w:eastAsia="仿宋"/>
          <w:sz w:val="24"/>
          <w:szCs w:val="24"/>
        </w:rPr>
        <w:t>执行本合同所发生的争议，由甲乙双方协商解决，协商不成可向甲方</w:t>
      </w:r>
      <w:r>
        <w:rPr>
          <w:rFonts w:hint="eastAsia" w:ascii="仿宋" w:hAnsi="仿宋" w:eastAsia="仿宋"/>
          <w:sz w:val="24"/>
          <w:szCs w:val="24"/>
        </w:rPr>
        <w:t>所在地</w:t>
      </w:r>
      <w:r>
        <w:rPr>
          <w:rFonts w:ascii="仿宋" w:hAnsi="仿宋" w:eastAsia="仿宋"/>
          <w:sz w:val="24"/>
          <w:szCs w:val="24"/>
        </w:rPr>
        <w:t>人民法院提起诉讼。</w:t>
      </w:r>
    </w:p>
    <w:p w14:paraId="7FA4F509">
      <w:pPr>
        <w:pStyle w:val="11"/>
        <w:spacing w:line="360" w:lineRule="auto"/>
        <w:rPr>
          <w:rFonts w:ascii="仿宋" w:hAnsi="仿宋" w:eastAsia="仿宋"/>
          <w:sz w:val="24"/>
          <w:szCs w:val="24"/>
        </w:rPr>
      </w:pPr>
      <w:r>
        <w:rPr>
          <w:rFonts w:ascii="仿宋" w:hAnsi="仿宋" w:eastAsia="仿宋"/>
          <w:sz w:val="24"/>
          <w:szCs w:val="24"/>
        </w:rPr>
        <w:t>此合同一式六份，甲方四份，乙方两份。经甲乙双方签名盖章后生效。</w:t>
      </w:r>
    </w:p>
    <w:p w14:paraId="164852B2">
      <w:pPr>
        <w:pStyle w:val="11"/>
        <w:spacing w:line="360" w:lineRule="auto"/>
        <w:rPr>
          <w:rFonts w:ascii="仿宋" w:hAnsi="仿宋" w:eastAsia="仿宋"/>
          <w:sz w:val="24"/>
          <w:szCs w:val="24"/>
        </w:rPr>
      </w:pPr>
      <w:r>
        <w:rPr>
          <w:rFonts w:ascii="仿宋" w:hAnsi="仿宋" w:eastAsia="仿宋"/>
          <w:sz w:val="24"/>
          <w:szCs w:val="24"/>
        </w:rPr>
        <w:t>本合同未尽事宜可由双方另行协商补充。</w:t>
      </w:r>
    </w:p>
    <w:p w14:paraId="1D8BCC71">
      <w:pPr>
        <w:pStyle w:val="11"/>
        <w:spacing w:line="360" w:lineRule="auto"/>
        <w:rPr>
          <w:rFonts w:ascii="仿宋" w:hAnsi="仿宋" w:eastAsia="仿宋"/>
          <w:sz w:val="24"/>
          <w:szCs w:val="24"/>
        </w:rPr>
      </w:pPr>
    </w:p>
    <w:bookmarkEnd w:id="0"/>
    <w:p w14:paraId="47575A69">
      <w:pPr>
        <w:spacing w:line="360" w:lineRule="auto"/>
        <w:rPr>
          <w:rFonts w:ascii="仿宋" w:hAnsi="仿宋" w:eastAsia="仿宋"/>
          <w:sz w:val="24"/>
          <w:szCs w:val="24"/>
        </w:rPr>
      </w:pPr>
      <w:r>
        <w:rPr>
          <w:rFonts w:hint="eastAsia" w:ascii="仿宋" w:hAnsi="仿宋" w:eastAsia="仿宋"/>
          <w:sz w:val="24"/>
          <w:szCs w:val="24"/>
        </w:rPr>
        <w:t xml:space="preserve">甲方（盖章）： </w:t>
      </w:r>
      <w:r>
        <w:rPr>
          <w:rFonts w:hint="eastAsia" w:ascii="仿宋" w:hAnsi="仿宋" w:eastAsia="仿宋"/>
          <w:sz w:val="24"/>
          <w:szCs w:val="24"/>
        </w:rPr>
        <w:tab/>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乙方（盖章）：</w:t>
      </w:r>
    </w:p>
    <w:p w14:paraId="00450F76">
      <w:pPr>
        <w:spacing w:line="360" w:lineRule="auto"/>
        <w:rPr>
          <w:rFonts w:ascii="仿宋" w:hAnsi="仿宋" w:eastAsia="仿宋"/>
          <w:sz w:val="24"/>
          <w:szCs w:val="24"/>
        </w:rPr>
      </w:pPr>
      <w:r>
        <w:rPr>
          <w:rFonts w:hint="eastAsia" w:ascii="仿宋" w:hAnsi="仿宋" w:eastAsia="仿宋"/>
          <w:sz w:val="24"/>
          <w:szCs w:val="24"/>
        </w:rPr>
        <w:t xml:space="preserve">统一社会信用代码：                    统一社会信用代码： </w:t>
      </w:r>
    </w:p>
    <w:p w14:paraId="6ACE8D30">
      <w:pPr>
        <w:spacing w:line="360" w:lineRule="auto"/>
        <w:rPr>
          <w:rFonts w:ascii="仿宋" w:hAnsi="仿宋" w:eastAsia="仿宋"/>
          <w:sz w:val="24"/>
          <w:szCs w:val="24"/>
        </w:rPr>
      </w:pPr>
      <w:r>
        <w:rPr>
          <w:rFonts w:hint="eastAsia" w:ascii="仿宋" w:hAnsi="仿宋" w:eastAsia="仿宋"/>
          <w:sz w:val="24"/>
          <w:szCs w:val="24"/>
        </w:rPr>
        <w:t xml:space="preserve">地址： </w:t>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地址：</w:t>
      </w:r>
    </w:p>
    <w:p w14:paraId="2FF0357B">
      <w:pPr>
        <w:spacing w:line="360" w:lineRule="auto"/>
        <w:rPr>
          <w:rFonts w:ascii="仿宋" w:hAnsi="仿宋" w:eastAsia="仿宋"/>
          <w:sz w:val="24"/>
          <w:szCs w:val="24"/>
        </w:rPr>
      </w:pPr>
      <w:r>
        <w:rPr>
          <w:rFonts w:hint="eastAsia" w:ascii="仿宋" w:hAnsi="仿宋" w:eastAsia="仿宋"/>
          <w:sz w:val="24"/>
          <w:szCs w:val="24"/>
        </w:rPr>
        <w:t>邮政编码：</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邮政编码：</w:t>
      </w:r>
    </w:p>
    <w:p w14:paraId="260F73AB">
      <w:pPr>
        <w:spacing w:line="360" w:lineRule="auto"/>
        <w:rPr>
          <w:rFonts w:ascii="仿宋" w:hAnsi="仿宋" w:eastAsia="仿宋"/>
          <w:sz w:val="24"/>
          <w:szCs w:val="24"/>
        </w:rPr>
      </w:pPr>
      <w:r>
        <w:rPr>
          <w:rFonts w:hint="eastAsia" w:ascii="仿宋" w:hAnsi="仿宋" w:eastAsia="仿宋"/>
          <w:sz w:val="24"/>
          <w:szCs w:val="24"/>
        </w:rPr>
        <w:t>法定代表人或其委托代理人：            法定代表人或其委托代理人：</w:t>
      </w:r>
    </w:p>
    <w:p w14:paraId="3673F49C">
      <w:pPr>
        <w:spacing w:line="360" w:lineRule="auto"/>
        <w:rPr>
          <w:rFonts w:ascii="仿宋" w:hAnsi="仿宋" w:eastAsia="仿宋"/>
          <w:sz w:val="24"/>
          <w:szCs w:val="24"/>
        </w:rPr>
      </w:pPr>
      <w:r>
        <w:rPr>
          <w:rFonts w:hint="eastAsia" w:ascii="仿宋" w:hAnsi="仿宋" w:eastAsia="仿宋"/>
          <w:sz w:val="24"/>
          <w:szCs w:val="24"/>
        </w:rPr>
        <w:t>（签字）                              （签字）</w:t>
      </w:r>
    </w:p>
    <w:p w14:paraId="0721C081">
      <w:pPr>
        <w:spacing w:line="360" w:lineRule="auto"/>
        <w:rPr>
          <w:rFonts w:ascii="仿宋" w:hAnsi="仿宋" w:eastAsia="仿宋"/>
          <w:sz w:val="24"/>
          <w:szCs w:val="24"/>
        </w:rPr>
      </w:pPr>
      <w:r>
        <w:rPr>
          <w:rFonts w:hint="eastAsia" w:ascii="仿宋" w:hAnsi="仿宋" w:eastAsia="仿宋"/>
          <w:sz w:val="24"/>
          <w:szCs w:val="24"/>
        </w:rPr>
        <w:t xml:space="preserve">联系人：                              联系人： </w:t>
      </w:r>
    </w:p>
    <w:p w14:paraId="76ED589D">
      <w:pPr>
        <w:spacing w:line="360" w:lineRule="auto"/>
        <w:rPr>
          <w:rFonts w:ascii="仿宋" w:hAnsi="仿宋" w:eastAsia="仿宋"/>
          <w:sz w:val="24"/>
          <w:szCs w:val="24"/>
        </w:rPr>
      </w:pPr>
      <w:r>
        <w:rPr>
          <w:rFonts w:hint="eastAsia" w:ascii="仿宋" w:hAnsi="仿宋" w:eastAsia="仿宋"/>
          <w:sz w:val="24"/>
          <w:szCs w:val="24"/>
        </w:rPr>
        <w:t>联系电话：                            手机号：</w:t>
      </w:r>
    </w:p>
    <w:p w14:paraId="0A5BA235">
      <w:pPr>
        <w:spacing w:line="360" w:lineRule="auto"/>
        <w:rPr>
          <w:rFonts w:ascii="仿宋" w:hAnsi="仿宋" w:eastAsia="仿宋"/>
          <w:sz w:val="24"/>
          <w:szCs w:val="24"/>
        </w:rPr>
      </w:pPr>
      <w:r>
        <w:rPr>
          <w:rFonts w:hint="eastAsia" w:ascii="仿宋" w:hAnsi="仿宋" w:eastAsia="仿宋"/>
          <w:sz w:val="24"/>
          <w:szCs w:val="24"/>
        </w:rPr>
        <w:t xml:space="preserve">开户行： </w:t>
      </w:r>
      <w:r>
        <w:rPr>
          <w:rFonts w:ascii="仿宋" w:hAnsi="仿宋" w:eastAsia="仿宋"/>
          <w:sz w:val="24"/>
          <w:szCs w:val="24"/>
        </w:rPr>
        <w:t xml:space="preserve">                    </w:t>
      </w:r>
      <w:r>
        <w:rPr>
          <w:rFonts w:hint="eastAsia" w:ascii="仿宋" w:hAnsi="仿宋" w:eastAsia="仿宋"/>
          <w:sz w:val="24"/>
          <w:szCs w:val="24"/>
        </w:rPr>
        <w:t xml:space="preserve">         开户行：</w:t>
      </w:r>
    </w:p>
    <w:p w14:paraId="19A05BBC">
      <w:pPr>
        <w:spacing w:line="360" w:lineRule="auto"/>
        <w:rPr>
          <w:rFonts w:ascii="仿宋" w:hAnsi="仿宋" w:eastAsia="仿宋"/>
          <w:sz w:val="24"/>
          <w:szCs w:val="24"/>
        </w:rPr>
      </w:pPr>
      <w:r>
        <w:rPr>
          <w:rFonts w:hint="eastAsia" w:ascii="仿宋" w:hAnsi="仿宋" w:eastAsia="仿宋"/>
          <w:sz w:val="24"/>
          <w:szCs w:val="24"/>
        </w:rPr>
        <w:t xml:space="preserve">开户行账号名称： </w:t>
      </w:r>
      <w:r>
        <w:rPr>
          <w:rFonts w:ascii="仿宋" w:hAnsi="仿宋" w:eastAsia="仿宋"/>
          <w:sz w:val="24"/>
          <w:szCs w:val="24"/>
        </w:rPr>
        <w:t xml:space="preserve">                </w:t>
      </w:r>
      <w:r>
        <w:rPr>
          <w:rFonts w:hint="eastAsia" w:ascii="仿宋" w:hAnsi="仿宋" w:eastAsia="仿宋"/>
          <w:sz w:val="24"/>
          <w:szCs w:val="24"/>
        </w:rPr>
        <w:t xml:space="preserve">     开户行账号名称：</w:t>
      </w:r>
    </w:p>
    <w:p w14:paraId="16ED026C">
      <w:pPr>
        <w:spacing w:line="360" w:lineRule="auto"/>
        <w:rPr>
          <w:rFonts w:ascii="仿宋" w:hAnsi="仿宋" w:eastAsia="仿宋"/>
          <w:sz w:val="24"/>
          <w:szCs w:val="24"/>
        </w:rPr>
      </w:pPr>
      <w:r>
        <w:rPr>
          <w:rFonts w:hint="eastAsia" w:ascii="仿宋" w:hAnsi="仿宋" w:eastAsia="仿宋"/>
          <w:sz w:val="24"/>
          <w:szCs w:val="24"/>
        </w:rPr>
        <w:t>开户行账号：</w:t>
      </w:r>
      <w:r>
        <w:rPr>
          <w:rFonts w:ascii="仿宋" w:hAnsi="仿宋" w:eastAsia="仿宋"/>
          <w:sz w:val="24"/>
          <w:szCs w:val="24"/>
        </w:rPr>
        <w:t xml:space="preserve">                    </w:t>
      </w:r>
      <w:r>
        <w:rPr>
          <w:rFonts w:hint="eastAsia" w:ascii="仿宋" w:hAnsi="仿宋" w:eastAsia="仿宋"/>
          <w:sz w:val="24"/>
          <w:szCs w:val="24"/>
        </w:rPr>
        <w:t xml:space="preserve">      开户行账号：</w:t>
      </w:r>
    </w:p>
    <w:p w14:paraId="09404A25">
      <w:pPr>
        <w:spacing w:line="360" w:lineRule="auto"/>
        <w:rPr>
          <w:rFonts w:ascii="仿宋" w:hAnsi="仿宋" w:eastAsia="仿宋"/>
          <w:sz w:val="24"/>
          <w:szCs w:val="24"/>
        </w:rPr>
      </w:pPr>
      <w:r>
        <w:rPr>
          <w:rFonts w:hint="eastAsia" w:ascii="仿宋" w:hAnsi="仿宋" w:eastAsia="仿宋"/>
          <w:sz w:val="24"/>
          <w:szCs w:val="24"/>
        </w:rPr>
        <w:t>日期：                                日期：</w:t>
      </w:r>
    </w:p>
    <w:p w14:paraId="39661171">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75A26C50">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9" w:type="default"/>
          <w:footerReference r:id="rId10"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BDDCA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5"/>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1" w:type="default"/>
          <w:footerReference r:id="rId12" w:type="default"/>
          <w:pgSz w:w="11907" w:h="16840"/>
          <w:pgMar w:top="1440" w:right="1800" w:bottom="1440" w:left="1800" w:header="878" w:footer="886" w:gutter="0"/>
          <w:pgNumType w:fmt="decimal"/>
          <w:cols w:space="720" w:num="1"/>
        </w:sectPr>
      </w:pPr>
    </w:p>
    <w:p w14:paraId="0B85B524">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二、技术格式（暗标）</w:t>
      </w:r>
    </w:p>
    <w:p w14:paraId="6BFDE71E">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D6E27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1.整体服务方案</w:t>
      </w:r>
    </w:p>
    <w:p w14:paraId="24B04E4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2.保洁服务实施方案</w:t>
      </w:r>
    </w:p>
    <w:p w14:paraId="7CA50746">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3.需投入的人员、设备</w:t>
      </w:r>
    </w:p>
    <w:p w14:paraId="689C07BD">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4.应急预案</w:t>
      </w:r>
    </w:p>
    <w:p w14:paraId="508F7B5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5.服务人员培训方案</w:t>
      </w:r>
    </w:p>
    <w:p w14:paraId="62B72CC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6.传染性疾病防控措施</w:t>
      </w:r>
    </w:p>
    <w:p w14:paraId="33D1FDB1">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7.信息化管理水平服务方案</w:t>
      </w:r>
    </w:p>
    <w:p w14:paraId="3870B031">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8.服务及质量保证措施</w:t>
      </w:r>
    </w:p>
    <w:p w14:paraId="21BFDE04">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C88CC68">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7D37E9">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552CED5">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9B7308">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064B223">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23FEC0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08E792D">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4D38E6D">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7492196">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794D514">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D671BD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CC84F9">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393E2C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142468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F5AD81A">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DFABDBB">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191B20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D04E284">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BA6D1C3">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196A329">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DBECB3">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4AE89F5">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2608D6D">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C34977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17BF23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492745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52B09DB">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6B3F7A1">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F11639A">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BA23551">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1A255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921BC1">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848419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BD62E4">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default" w:asciiTheme="minorEastAsia" w:hAnsiTheme="minorEastAsia" w:eastAsiaTheme="minorEastAsia" w:cstheme="minorEastAsia"/>
          <w:b w:val="0"/>
          <w:bCs w:val="0"/>
          <w:sz w:val="24"/>
          <w:szCs w:val="24"/>
          <w:lang w:val="en-US"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日</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C053B2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FB39DF9">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868E11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40C8163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3.项目负责人</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4.投标人业绩</w:t>
      </w:r>
    </w:p>
    <w:p w14:paraId="64B589DF">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5</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6.招标文件要求的其它材料及投标人认为有必要提供的材料</w:t>
      </w:r>
    </w:p>
    <w:sectPr>
      <w:headerReference r:id="rId13" w:type="default"/>
      <w:footerReference r:id="rId14"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39453"/>
    <w:multiLevelType w:val="singleLevel"/>
    <w:tmpl w:val="F6039453"/>
    <w:lvl w:ilvl="0" w:tentative="0">
      <w:start w:val="1"/>
      <w:numFmt w:val="decimal"/>
      <w:suff w:val="nothing"/>
      <w:lvlText w:val="%1、"/>
      <w:lvlJc w:val="left"/>
      <w:pPr>
        <w:ind w:firstLine="403"/>
      </w:pPr>
      <w:rPr>
        <w:rFonts w:hint="default" w:cs="Times New Roman"/>
      </w:rPr>
    </w:lvl>
  </w:abstractNum>
  <w:abstractNum w:abstractNumId="1">
    <w:nsid w:val="4B453776"/>
    <w:multiLevelType w:val="multilevel"/>
    <w:tmpl w:val="4B453776"/>
    <w:lvl w:ilvl="0" w:tentative="0">
      <w:start w:val="1"/>
      <w:numFmt w:val="chineseCounting"/>
      <w:suff w:val="nothing"/>
      <w:lvlText w:val="第%1章　"/>
      <w:lvlJc w:val="left"/>
      <w:pPr>
        <w:ind w:firstLine="402"/>
      </w:pPr>
      <w:rPr>
        <w:rFonts w:hint="eastAsia" w:cs="Times New Roman"/>
        <w:lang w:val="en-US"/>
      </w:rPr>
    </w:lvl>
    <w:lvl w:ilvl="1" w:tentative="0">
      <w:start w:val="1"/>
      <w:numFmt w:val="chineseCounting"/>
      <w:suff w:val="nothing"/>
      <w:lvlText w:val="第%2节 "/>
      <w:lvlJc w:val="left"/>
      <w:pPr>
        <w:tabs>
          <w:tab w:val="left" w:pos="0"/>
        </w:tabs>
        <w:ind w:firstLine="402"/>
      </w:pPr>
      <w:rPr>
        <w:rFonts w:hint="eastAsia" w:ascii="宋体" w:hAnsi="宋体" w:eastAsia="宋体" w:cs="宋体"/>
      </w:rPr>
    </w:lvl>
    <w:lvl w:ilvl="2" w:tentative="0">
      <w:start w:val="1"/>
      <w:numFmt w:val="chineseCounting"/>
      <w:suff w:val="nothing"/>
      <w:lvlText w:val="第%3条　"/>
      <w:lvlJc w:val="left"/>
      <w:pPr>
        <w:ind w:firstLine="402"/>
      </w:pPr>
      <w:rPr>
        <w:rFonts w:hint="eastAsia" w:cs="Times New Roman"/>
      </w:rPr>
    </w:lvl>
    <w:lvl w:ilvl="3" w:tentative="0">
      <w:start w:val="1"/>
      <w:numFmt w:val="chineseCounting"/>
      <w:suff w:val="nothing"/>
      <w:lvlText w:val="（%4）"/>
      <w:lvlJc w:val="left"/>
      <w:pPr>
        <w:ind w:firstLine="402"/>
      </w:pPr>
      <w:rPr>
        <w:rFonts w:hint="eastAsia" w:cs="Times New Roman"/>
      </w:rPr>
    </w:lvl>
    <w:lvl w:ilvl="4" w:tentative="0">
      <w:start w:val="1"/>
      <w:numFmt w:val="decimal"/>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decimalEnclosedCircleChinese"/>
      <w:suff w:val="nothing"/>
      <w:lvlText w:val="%7 "/>
      <w:lvlJc w:val="left"/>
      <w:pPr>
        <w:ind w:firstLine="402"/>
      </w:pPr>
      <w:rPr>
        <w:rFonts w:hint="eastAsia" w:cs="Times New Roman"/>
      </w:rPr>
    </w:lvl>
    <w:lvl w:ilvl="7" w:tentative="0">
      <w:start w:val="1"/>
      <w:numFmt w:val="decimal"/>
      <w:suff w:val="nothing"/>
      <w:lvlText w:val="%8）"/>
      <w:lvlJc w:val="left"/>
      <w:pPr>
        <w:ind w:firstLine="402"/>
      </w:pPr>
      <w:rPr>
        <w:rFonts w:hint="eastAsia" w:cs="Times New Roman"/>
      </w:rPr>
    </w:lvl>
    <w:lvl w:ilvl="8" w:tentative="0">
      <w:start w:val="1"/>
      <w:numFmt w:val="lowerLetter"/>
      <w:suff w:val="nothing"/>
      <w:lvlText w:val="%9．"/>
      <w:lvlJc w:val="left"/>
      <w:pPr>
        <w:ind w:firstLine="402"/>
      </w:pPr>
      <w:rPr>
        <w:rFonts w:hint="eastAsia" w:cs="Times New Roman"/>
      </w:rPr>
    </w:lvl>
  </w:abstractNum>
  <w:abstractNum w:abstractNumId="2">
    <w:nsid w:val="5D7BE5FA"/>
    <w:multiLevelType w:val="singleLevel"/>
    <w:tmpl w:val="5D7BE5FA"/>
    <w:lvl w:ilvl="0" w:tentative="0">
      <w:start w:val="1"/>
      <w:numFmt w:val="decimal"/>
      <w:suff w:val="nothing"/>
      <w:lvlText w:val="%1、"/>
      <w:lvlJc w:val="left"/>
    </w:lvl>
  </w:abstractNum>
  <w:abstractNum w:abstractNumId="3">
    <w:nsid w:val="657BCD5E"/>
    <w:multiLevelType w:val="singleLevel"/>
    <w:tmpl w:val="657BCD5E"/>
    <w:lvl w:ilvl="0" w:tentative="0">
      <w:start w:val="1"/>
      <w:numFmt w:val="decimal"/>
      <w:suff w:val="nothing"/>
      <w:lvlText w:val="%1、"/>
      <w:lvlJc w:val="left"/>
      <w:pPr>
        <w:ind w:firstLine="403"/>
      </w:pPr>
      <w:rPr>
        <w:rFonts w:hint="default"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1427D0"/>
    <w:rsid w:val="03217B69"/>
    <w:rsid w:val="036705FF"/>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520F7E"/>
    <w:rsid w:val="0D9A718E"/>
    <w:rsid w:val="0DA859D3"/>
    <w:rsid w:val="0DC1671D"/>
    <w:rsid w:val="0DCD1019"/>
    <w:rsid w:val="0DD30B7C"/>
    <w:rsid w:val="0E307EEE"/>
    <w:rsid w:val="0EE83F9D"/>
    <w:rsid w:val="0F0D035A"/>
    <w:rsid w:val="0FB87AA7"/>
    <w:rsid w:val="0FE34B24"/>
    <w:rsid w:val="102C0845"/>
    <w:rsid w:val="104F3F68"/>
    <w:rsid w:val="10B145AD"/>
    <w:rsid w:val="10DE709A"/>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4FF2555"/>
    <w:rsid w:val="15037E2D"/>
    <w:rsid w:val="156B2323"/>
    <w:rsid w:val="15AC3C0A"/>
    <w:rsid w:val="15B05882"/>
    <w:rsid w:val="15C01464"/>
    <w:rsid w:val="15E04F64"/>
    <w:rsid w:val="164A7458"/>
    <w:rsid w:val="16F45CE8"/>
    <w:rsid w:val="16FC049F"/>
    <w:rsid w:val="174C193E"/>
    <w:rsid w:val="17764E3E"/>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C8651B5"/>
    <w:rsid w:val="1D391455"/>
    <w:rsid w:val="1D72498F"/>
    <w:rsid w:val="1D9D7C75"/>
    <w:rsid w:val="1E0754FF"/>
    <w:rsid w:val="1E2712E1"/>
    <w:rsid w:val="1E7249AF"/>
    <w:rsid w:val="1F6D4511"/>
    <w:rsid w:val="1F8737CC"/>
    <w:rsid w:val="1FA5172F"/>
    <w:rsid w:val="1FE61854"/>
    <w:rsid w:val="1FF31541"/>
    <w:rsid w:val="20F10837"/>
    <w:rsid w:val="210939CE"/>
    <w:rsid w:val="212D6A29"/>
    <w:rsid w:val="217E2260"/>
    <w:rsid w:val="21DC7625"/>
    <w:rsid w:val="21E33D7D"/>
    <w:rsid w:val="2241392C"/>
    <w:rsid w:val="22937C80"/>
    <w:rsid w:val="229B5C84"/>
    <w:rsid w:val="22E737AC"/>
    <w:rsid w:val="23B24569"/>
    <w:rsid w:val="23C6058D"/>
    <w:rsid w:val="23D34A58"/>
    <w:rsid w:val="23E04A42"/>
    <w:rsid w:val="24C8734D"/>
    <w:rsid w:val="24E94D19"/>
    <w:rsid w:val="25052271"/>
    <w:rsid w:val="254E2E44"/>
    <w:rsid w:val="255045B2"/>
    <w:rsid w:val="256253DA"/>
    <w:rsid w:val="25722260"/>
    <w:rsid w:val="25763DC9"/>
    <w:rsid w:val="257A4289"/>
    <w:rsid w:val="25A83616"/>
    <w:rsid w:val="25D07317"/>
    <w:rsid w:val="260373D2"/>
    <w:rsid w:val="263A5FE5"/>
    <w:rsid w:val="265713EE"/>
    <w:rsid w:val="266177F8"/>
    <w:rsid w:val="26734FA1"/>
    <w:rsid w:val="267811A0"/>
    <w:rsid w:val="270D202F"/>
    <w:rsid w:val="2710714F"/>
    <w:rsid w:val="27EF7E63"/>
    <w:rsid w:val="27F6032D"/>
    <w:rsid w:val="2810162A"/>
    <w:rsid w:val="28541556"/>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C1207D"/>
    <w:rsid w:val="2EDE4089"/>
    <w:rsid w:val="2F795793"/>
    <w:rsid w:val="2F7E5B21"/>
    <w:rsid w:val="2FAF3423"/>
    <w:rsid w:val="305F18E8"/>
    <w:rsid w:val="30610405"/>
    <w:rsid w:val="311741D6"/>
    <w:rsid w:val="3119309A"/>
    <w:rsid w:val="312A5594"/>
    <w:rsid w:val="312C625F"/>
    <w:rsid w:val="31C81974"/>
    <w:rsid w:val="32230959"/>
    <w:rsid w:val="3322495F"/>
    <w:rsid w:val="337450B5"/>
    <w:rsid w:val="344C700B"/>
    <w:rsid w:val="34C22FEC"/>
    <w:rsid w:val="34EB0670"/>
    <w:rsid w:val="34F86C33"/>
    <w:rsid w:val="357D65D2"/>
    <w:rsid w:val="36266C69"/>
    <w:rsid w:val="363A60D3"/>
    <w:rsid w:val="36B765C5"/>
    <w:rsid w:val="36C3129C"/>
    <w:rsid w:val="374E72FE"/>
    <w:rsid w:val="37512649"/>
    <w:rsid w:val="37C036A0"/>
    <w:rsid w:val="37D664EB"/>
    <w:rsid w:val="37E776C2"/>
    <w:rsid w:val="37F92887"/>
    <w:rsid w:val="383C09C6"/>
    <w:rsid w:val="38704382"/>
    <w:rsid w:val="388B2F38"/>
    <w:rsid w:val="399D1B1E"/>
    <w:rsid w:val="39BE1CF3"/>
    <w:rsid w:val="3A046503"/>
    <w:rsid w:val="3A386160"/>
    <w:rsid w:val="3B35724B"/>
    <w:rsid w:val="3BB63ADA"/>
    <w:rsid w:val="3BDC4EDA"/>
    <w:rsid w:val="3C37498E"/>
    <w:rsid w:val="3C860462"/>
    <w:rsid w:val="3C94450B"/>
    <w:rsid w:val="3CC33464"/>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3FF757BA"/>
    <w:rsid w:val="40274071"/>
    <w:rsid w:val="405D1A2A"/>
    <w:rsid w:val="407F405E"/>
    <w:rsid w:val="409370B0"/>
    <w:rsid w:val="40D41902"/>
    <w:rsid w:val="410F0A26"/>
    <w:rsid w:val="41884B35"/>
    <w:rsid w:val="423849B8"/>
    <w:rsid w:val="435F746A"/>
    <w:rsid w:val="4372309F"/>
    <w:rsid w:val="43B12268"/>
    <w:rsid w:val="44093E52"/>
    <w:rsid w:val="444E5D13"/>
    <w:rsid w:val="446F3136"/>
    <w:rsid w:val="44790C24"/>
    <w:rsid w:val="453A628D"/>
    <w:rsid w:val="45660E30"/>
    <w:rsid w:val="45CF0C25"/>
    <w:rsid w:val="45DD7715"/>
    <w:rsid w:val="46821C9A"/>
    <w:rsid w:val="47503B46"/>
    <w:rsid w:val="476F2CBE"/>
    <w:rsid w:val="47971ADF"/>
    <w:rsid w:val="47C562E2"/>
    <w:rsid w:val="47C81344"/>
    <w:rsid w:val="480A1F47"/>
    <w:rsid w:val="483B0352"/>
    <w:rsid w:val="488A3088"/>
    <w:rsid w:val="48DF1625"/>
    <w:rsid w:val="48F078C5"/>
    <w:rsid w:val="49320965"/>
    <w:rsid w:val="49AC2E6D"/>
    <w:rsid w:val="49C03205"/>
    <w:rsid w:val="4A3F3154"/>
    <w:rsid w:val="4A4562D3"/>
    <w:rsid w:val="4A52328E"/>
    <w:rsid w:val="4A916F47"/>
    <w:rsid w:val="4B050440"/>
    <w:rsid w:val="4B227F62"/>
    <w:rsid w:val="4B6545C2"/>
    <w:rsid w:val="4BBC369E"/>
    <w:rsid w:val="4CEC4659"/>
    <w:rsid w:val="4D493511"/>
    <w:rsid w:val="4DF21FC2"/>
    <w:rsid w:val="4DF932EA"/>
    <w:rsid w:val="4E201C1D"/>
    <w:rsid w:val="4E3B35B6"/>
    <w:rsid w:val="4E473770"/>
    <w:rsid w:val="4E7A34EC"/>
    <w:rsid w:val="4E861641"/>
    <w:rsid w:val="4F0F2539"/>
    <w:rsid w:val="4FAB04B3"/>
    <w:rsid w:val="4FB426AD"/>
    <w:rsid w:val="4FEE2DC9"/>
    <w:rsid w:val="51346287"/>
    <w:rsid w:val="51850890"/>
    <w:rsid w:val="519F1DA4"/>
    <w:rsid w:val="525210BA"/>
    <w:rsid w:val="52A90328"/>
    <w:rsid w:val="52DC3333"/>
    <w:rsid w:val="53036690"/>
    <w:rsid w:val="53376A7B"/>
    <w:rsid w:val="533D001D"/>
    <w:rsid w:val="537441A1"/>
    <w:rsid w:val="539F3E8B"/>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4A2AEB"/>
    <w:rsid w:val="59576FB6"/>
    <w:rsid w:val="59BC1D1A"/>
    <w:rsid w:val="59C142A0"/>
    <w:rsid w:val="59C641E6"/>
    <w:rsid w:val="59D65347"/>
    <w:rsid w:val="5A2E3043"/>
    <w:rsid w:val="5A9763C3"/>
    <w:rsid w:val="5A9920D7"/>
    <w:rsid w:val="5AEA63E6"/>
    <w:rsid w:val="5B2C7B17"/>
    <w:rsid w:val="5B7A6F8C"/>
    <w:rsid w:val="5BCB0AF4"/>
    <w:rsid w:val="5C2D5181"/>
    <w:rsid w:val="5C9B1B86"/>
    <w:rsid w:val="5C9B37C4"/>
    <w:rsid w:val="5CA02E79"/>
    <w:rsid w:val="5CEA5B79"/>
    <w:rsid w:val="5D150553"/>
    <w:rsid w:val="5D3550FB"/>
    <w:rsid w:val="5D902A97"/>
    <w:rsid w:val="5E3606EF"/>
    <w:rsid w:val="5EDA32DC"/>
    <w:rsid w:val="5F321771"/>
    <w:rsid w:val="5F3A0F0C"/>
    <w:rsid w:val="5F412CC2"/>
    <w:rsid w:val="5F781A34"/>
    <w:rsid w:val="5FE2771E"/>
    <w:rsid w:val="600A37B3"/>
    <w:rsid w:val="600E6D7C"/>
    <w:rsid w:val="607F1E09"/>
    <w:rsid w:val="608D20F6"/>
    <w:rsid w:val="60BD2923"/>
    <w:rsid w:val="618C2692"/>
    <w:rsid w:val="622D31D4"/>
    <w:rsid w:val="62A74B0A"/>
    <w:rsid w:val="62E015B0"/>
    <w:rsid w:val="63510510"/>
    <w:rsid w:val="639D4CC6"/>
    <w:rsid w:val="642053CC"/>
    <w:rsid w:val="646A5DEF"/>
    <w:rsid w:val="646F5EF6"/>
    <w:rsid w:val="64EE7533"/>
    <w:rsid w:val="65785E0F"/>
    <w:rsid w:val="658A75F4"/>
    <w:rsid w:val="65CF7A95"/>
    <w:rsid w:val="66A23F66"/>
    <w:rsid w:val="672526A7"/>
    <w:rsid w:val="680541BB"/>
    <w:rsid w:val="680D3662"/>
    <w:rsid w:val="68222C97"/>
    <w:rsid w:val="68333F9A"/>
    <w:rsid w:val="683858D3"/>
    <w:rsid w:val="68645FE7"/>
    <w:rsid w:val="690D6B38"/>
    <w:rsid w:val="69413090"/>
    <w:rsid w:val="69855FCD"/>
    <w:rsid w:val="69BC17E8"/>
    <w:rsid w:val="69DD77FF"/>
    <w:rsid w:val="6AE37CE3"/>
    <w:rsid w:val="6B0625EA"/>
    <w:rsid w:val="6B5442BA"/>
    <w:rsid w:val="6C203BA1"/>
    <w:rsid w:val="6C593408"/>
    <w:rsid w:val="6C68544B"/>
    <w:rsid w:val="6C785167"/>
    <w:rsid w:val="6D0715D4"/>
    <w:rsid w:val="6D0D5EB2"/>
    <w:rsid w:val="6D1A4A92"/>
    <w:rsid w:val="6D9D70DD"/>
    <w:rsid w:val="6DDB2C74"/>
    <w:rsid w:val="6E0E0C0F"/>
    <w:rsid w:val="6E8E7670"/>
    <w:rsid w:val="6EEB0447"/>
    <w:rsid w:val="6FAF3250"/>
    <w:rsid w:val="6FC71762"/>
    <w:rsid w:val="70312E6C"/>
    <w:rsid w:val="703F6560"/>
    <w:rsid w:val="70447D0C"/>
    <w:rsid w:val="70725ED5"/>
    <w:rsid w:val="70B362F9"/>
    <w:rsid w:val="70FC3328"/>
    <w:rsid w:val="71653340"/>
    <w:rsid w:val="71F347D3"/>
    <w:rsid w:val="71FC098F"/>
    <w:rsid w:val="723F6B0D"/>
    <w:rsid w:val="72415D05"/>
    <w:rsid w:val="7296241B"/>
    <w:rsid w:val="732A300A"/>
    <w:rsid w:val="73803FEB"/>
    <w:rsid w:val="73CE2CA8"/>
    <w:rsid w:val="73DC65DE"/>
    <w:rsid w:val="743A4414"/>
    <w:rsid w:val="747F7695"/>
    <w:rsid w:val="748C5DD6"/>
    <w:rsid w:val="74BA42D8"/>
    <w:rsid w:val="754A398B"/>
    <w:rsid w:val="75857AA3"/>
    <w:rsid w:val="758D5DE2"/>
    <w:rsid w:val="75943299"/>
    <w:rsid w:val="75C13CDD"/>
    <w:rsid w:val="76017BAF"/>
    <w:rsid w:val="763C6907"/>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B008E"/>
    <w:rsid w:val="7B3E48AE"/>
    <w:rsid w:val="7BC47E86"/>
    <w:rsid w:val="7C6203C7"/>
    <w:rsid w:val="7C6D7E07"/>
    <w:rsid w:val="7CB47DAA"/>
    <w:rsid w:val="7D076A17"/>
    <w:rsid w:val="7D462131"/>
    <w:rsid w:val="7DC974CD"/>
    <w:rsid w:val="7E4B00B1"/>
    <w:rsid w:val="7EA62275"/>
    <w:rsid w:val="7F034C8E"/>
    <w:rsid w:val="7F235328"/>
    <w:rsid w:val="7F3B240A"/>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5">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styleId="3">
    <w:name w:val="Body Text 2"/>
    <w:basedOn w:val="1"/>
    <w:next w:val="1"/>
    <w:autoRedefine/>
    <w:qFormat/>
    <w:uiPriority w:val="0"/>
    <w:pPr>
      <w:spacing w:after="120" w:line="480" w:lineRule="auto"/>
    </w:pPr>
    <w:rPr>
      <w:rFonts w:ascii="Tahoma" w:hAnsi="Tahoma"/>
    </w:rPr>
  </w:style>
  <w:style w:type="paragraph" w:styleId="7">
    <w:name w:val="annotation text"/>
    <w:basedOn w:val="1"/>
    <w:autoRedefine/>
    <w:qFormat/>
    <w:uiPriority w:val="0"/>
    <w:pPr>
      <w:jc w:val="left"/>
    </w:p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Body Text Indent 2"/>
    <w:basedOn w:val="1"/>
    <w:qFormat/>
    <w:uiPriority w:val="99"/>
    <w:pPr>
      <w:spacing w:line="480" w:lineRule="auto"/>
      <w:ind w:left="420" w:leftChars="2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qFormat/>
    <w:uiPriority w:val="0"/>
    <w:pPr>
      <w:snapToGrid w:val="0"/>
      <w:jc w:val="left"/>
    </w:pPr>
    <w:rPr>
      <w:sz w:val="18"/>
      <w:szCs w:val="18"/>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8"/>
    <w:next w:val="1"/>
    <w:autoRedefine/>
    <w:qFormat/>
    <w:uiPriority w:val="0"/>
    <w:pPr>
      <w:ind w:firstLine="200" w:firstLineChars="200"/>
    </w:pPr>
    <w:rPr>
      <w:kern w:val="2"/>
      <w:sz w:val="28"/>
      <w:lang w:eastAsia="zh-CN" w:bidi="ar-SA"/>
    </w:r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8">
    <w:name w:val="Char Char10 Char Char Char Char"/>
    <w:basedOn w:val="1"/>
    <w:next w:val="29"/>
    <w:autoRedefine/>
    <w:qFormat/>
    <w:uiPriority w:val="99"/>
    <w:pPr>
      <w:autoSpaceDE w:val="0"/>
      <w:autoSpaceDN w:val="0"/>
      <w:jc w:val="left"/>
    </w:pPr>
    <w:rPr>
      <w:rFonts w:ascii="宋体" w:hAnsi="宋体" w:cs="宋体"/>
      <w:lang w:val="zh-CN" w:bidi="zh-CN"/>
    </w:rPr>
  </w:style>
  <w:style w:type="paragraph" w:customStyle="1" w:styleId="29">
    <w:name w:val="xl87"/>
    <w:basedOn w:val="1"/>
    <w:next w:val="3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0">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1">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2">
    <w:name w:val="hover18"/>
    <w:basedOn w:val="20"/>
    <w:autoRedefine/>
    <w:qFormat/>
    <w:uiPriority w:val="0"/>
  </w:style>
  <w:style w:type="paragraph" w:customStyle="1" w:styleId="33">
    <w:name w:val="列出段落1"/>
    <w:basedOn w:val="1"/>
    <w:autoRedefine/>
    <w:qFormat/>
    <w:uiPriority w:val="0"/>
    <w:pPr>
      <w:ind w:firstLine="420" w:firstLineChars="200"/>
    </w:pPr>
    <w:rPr>
      <w:szCs w:val="21"/>
    </w:rPr>
  </w:style>
  <w:style w:type="paragraph" w:customStyle="1" w:styleId="34">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15082</Words>
  <Characters>16038</Characters>
  <TotalTime>238</TotalTime>
  <ScaleCrop>false</ScaleCrop>
  <LinksUpToDate>false</LinksUpToDate>
  <CharactersWithSpaces>16314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2026-03-20T07:28:39Z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2052-12.1.0.25225</vt:lpwstr>
  </property>
  <property fmtid="{D5CDD505-2E9C-101B-9397-08002B2CF9AE}" pid="5" name="ICV">
    <vt:lpwstr>38B33C23FA9A4A95A9470B05D9CFFF5D_13</vt:lpwstr>
  </property>
  <property fmtid="{D5CDD505-2E9C-101B-9397-08002B2CF9AE}" pid="6" name="KSOTemplateDocerSaveRecord">
    <vt:lpwstr>eyJoZGlkIjoiYTUyM2UwYjBmYzc3YmM3ZjI1ODg2NTk3ZGJhZGNiNGIiLCJ1c2VySWQiOiI0MTY3MTE2MDgifQ==</vt:lpwstr>
  </property>
</Properties>
</file>