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CFDE0">
      <w:pPr>
        <w:kinsoku/>
        <w:wordWrap w:val="0"/>
        <w:spacing w:line="360" w:lineRule="auto"/>
        <w:jc w:val="center"/>
        <w:rPr>
          <w:rFonts w:asciiTheme="minorEastAsia" w:hAnsiTheme="minorEastAsia" w:eastAsiaTheme="minorEastAsia" w:cstheme="minorEastAsia"/>
          <w:spacing w:val="0"/>
          <w:kern w:val="0"/>
          <w:position w:val="0"/>
          <w:sz w:val="44"/>
          <w:szCs w:val="44"/>
          <w:lang w:eastAsia="zh-CN"/>
        </w:rPr>
      </w:pPr>
      <w:r>
        <w:rPr>
          <w:rFonts w:hint="eastAsia" w:ascii="宋体" w:hAnsi="宋体" w:eastAsia="宋体" w:cs="宋体"/>
          <w:b/>
          <w:bCs/>
          <w:spacing w:val="0"/>
          <w:kern w:val="0"/>
          <w:position w:val="0"/>
          <w:sz w:val="44"/>
          <w:szCs w:val="44"/>
          <w:lang w:eastAsia="zh-CN"/>
        </w:rPr>
        <w:t>南阳市公路事业发展中心河南省“一轴一廊”交通基础设施数字化转型升级示范通道及网络项目（南阳市普通公路）项目</w:t>
      </w:r>
    </w:p>
    <w:p w14:paraId="1D194752">
      <w:pPr>
        <w:kinsoku/>
        <w:wordWrap w:val="0"/>
        <w:spacing w:line="360" w:lineRule="auto"/>
        <w:jc w:val="center"/>
        <w:rPr>
          <w:rFonts w:asciiTheme="minorEastAsia" w:hAnsiTheme="minorEastAsia" w:eastAsiaTheme="minorEastAsia" w:cstheme="minorEastAsia"/>
          <w:spacing w:val="0"/>
          <w:kern w:val="0"/>
          <w:position w:val="0"/>
          <w:sz w:val="60"/>
          <w:szCs w:val="60"/>
          <w:lang w:eastAsia="zh-CN"/>
        </w:rPr>
      </w:pPr>
      <w:r>
        <w:rPr>
          <w:rFonts w:hint="eastAsia" w:asciiTheme="minorEastAsia" w:hAnsiTheme="minorEastAsia" w:eastAsiaTheme="minorEastAsia" w:cstheme="minorEastAsia"/>
          <w:spacing w:val="0"/>
          <w:kern w:val="0"/>
          <w:position w:val="0"/>
          <w:sz w:val="60"/>
          <w:szCs w:val="60"/>
          <w:lang w:eastAsia="zh-CN"/>
        </w:rPr>
        <w:t>招标文件</w:t>
      </w:r>
    </w:p>
    <w:p w14:paraId="56C56041">
      <w:pPr>
        <w:kinsoku/>
        <w:wordWrap w:val="0"/>
        <w:spacing w:line="316" w:lineRule="auto"/>
        <w:jc w:val="both"/>
        <w:rPr>
          <w:rFonts w:asciiTheme="minorEastAsia" w:hAnsiTheme="minorEastAsia" w:eastAsiaTheme="minorEastAsia" w:cstheme="minorEastAsia"/>
          <w:spacing w:val="0"/>
          <w:kern w:val="0"/>
          <w:position w:val="0"/>
          <w:lang w:eastAsia="zh-CN"/>
        </w:rPr>
      </w:pPr>
    </w:p>
    <w:p w14:paraId="54583026">
      <w:pPr>
        <w:kinsoku/>
        <w:wordWrap w:val="0"/>
        <w:spacing w:line="316" w:lineRule="auto"/>
        <w:jc w:val="both"/>
        <w:rPr>
          <w:rFonts w:asciiTheme="minorEastAsia" w:hAnsiTheme="minorEastAsia" w:eastAsiaTheme="minorEastAsia" w:cstheme="minorEastAsia"/>
          <w:spacing w:val="0"/>
          <w:kern w:val="0"/>
          <w:position w:val="0"/>
          <w:lang w:eastAsia="zh-CN"/>
        </w:rPr>
      </w:pPr>
    </w:p>
    <w:p w14:paraId="5A796AB4">
      <w:pPr>
        <w:kinsoku/>
        <w:wordWrap w:val="0"/>
        <w:spacing w:line="317" w:lineRule="auto"/>
        <w:jc w:val="both"/>
        <w:rPr>
          <w:rFonts w:asciiTheme="minorEastAsia" w:hAnsiTheme="minorEastAsia" w:eastAsiaTheme="minorEastAsia" w:cstheme="minorEastAsia"/>
          <w:spacing w:val="0"/>
          <w:kern w:val="0"/>
          <w:position w:val="0"/>
          <w:lang w:eastAsia="zh-CN"/>
        </w:rPr>
      </w:pPr>
    </w:p>
    <w:p w14:paraId="45925487">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3909B855">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1311B887">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1EA9C933">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47674420">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465117F6">
      <w:pPr>
        <w:kinsoku/>
        <w:wordWrap w:val="0"/>
        <w:spacing w:line="360" w:lineRule="auto"/>
        <w:ind w:left="2927" w:leftChars="609" w:hanging="1648" w:hangingChars="513"/>
        <w:jc w:val="both"/>
        <w:rPr>
          <w:rFonts w:hint="default" w:asciiTheme="minorEastAsia" w:hAnsiTheme="minorEastAsia" w:eastAsiaTheme="minorEastAsia" w:cstheme="minorEastAsia"/>
          <w:b/>
          <w:bCs/>
          <w:spacing w:val="0"/>
          <w:kern w:val="0"/>
          <w:position w:val="0"/>
          <w:sz w:val="32"/>
          <w:szCs w:val="32"/>
          <w:u w:val="single"/>
          <w:lang w:val="en-US" w:eastAsia="zh-CN"/>
        </w:rPr>
      </w:pPr>
      <w:r>
        <w:rPr>
          <w:rFonts w:hint="eastAsia" w:asciiTheme="minorEastAsia" w:hAnsiTheme="minorEastAsia" w:eastAsiaTheme="minorEastAsia" w:cstheme="minorEastAsia"/>
          <w:b/>
          <w:bCs/>
          <w:spacing w:val="0"/>
          <w:kern w:val="0"/>
          <w:position w:val="0"/>
          <w:sz w:val="32"/>
          <w:szCs w:val="32"/>
          <w:lang w:eastAsia="zh-CN"/>
        </w:rPr>
        <w:t>项目名称：</w:t>
      </w:r>
      <w:r>
        <w:rPr>
          <w:rFonts w:hint="eastAsia" w:asciiTheme="minorEastAsia" w:hAnsiTheme="minorEastAsia" w:eastAsiaTheme="minorEastAsia" w:cstheme="minorEastAsia"/>
          <w:b/>
          <w:bCs/>
          <w:spacing w:val="0"/>
          <w:kern w:val="0"/>
          <w:position w:val="0"/>
          <w:sz w:val="32"/>
          <w:szCs w:val="32"/>
          <w:u w:val="single"/>
          <w:lang w:eastAsia="zh-CN"/>
        </w:rPr>
        <w:t>南阳市公路事业发展中心河南省“一轴一廊”交通基础设施数字化转型升级示范通道及网络项目（南阳市普通公路）</w:t>
      </w:r>
      <w:r>
        <w:rPr>
          <w:rFonts w:hint="eastAsia" w:asciiTheme="minorEastAsia" w:hAnsiTheme="minorEastAsia" w:eastAsiaTheme="minorEastAsia" w:cstheme="minorEastAsia"/>
          <w:b/>
          <w:bCs/>
          <w:spacing w:val="0"/>
          <w:kern w:val="0"/>
          <w:position w:val="0"/>
          <w:sz w:val="32"/>
          <w:szCs w:val="32"/>
          <w:u w:val="single"/>
          <w:lang w:val="en-US" w:eastAsia="zh-CN"/>
        </w:rPr>
        <w:t xml:space="preserve">              项目               </w:t>
      </w:r>
    </w:p>
    <w:p w14:paraId="0EA95538">
      <w:pPr>
        <w:kinsoku/>
        <w:wordWrap w:val="0"/>
        <w:spacing w:line="360" w:lineRule="auto"/>
        <w:ind w:firstLine="1285" w:firstLineChars="400"/>
        <w:jc w:val="both"/>
        <w:rPr>
          <w:rFonts w:asciiTheme="minorEastAsia" w:hAnsiTheme="minorEastAsia" w:eastAsiaTheme="minorEastAsia" w:cstheme="minorEastAsia"/>
          <w:b/>
          <w:bCs/>
          <w:spacing w:val="0"/>
          <w:kern w:val="0"/>
          <w:position w:val="0"/>
          <w:sz w:val="32"/>
          <w:szCs w:val="32"/>
          <w:lang w:eastAsia="zh-CN"/>
        </w:rPr>
      </w:pPr>
      <w:r>
        <w:rPr>
          <w:rFonts w:hint="eastAsia" w:asciiTheme="minorEastAsia" w:hAnsiTheme="minorEastAsia" w:eastAsiaTheme="minorEastAsia" w:cstheme="minorEastAsia"/>
          <w:b/>
          <w:bCs/>
          <w:spacing w:val="0"/>
          <w:kern w:val="0"/>
          <w:position w:val="0"/>
          <w:sz w:val="32"/>
          <w:szCs w:val="32"/>
          <w:lang w:eastAsia="zh-CN"/>
        </w:rPr>
        <w:t>项目编号：</w:t>
      </w:r>
      <w:r>
        <w:rPr>
          <w:rFonts w:hint="eastAsia" w:asciiTheme="minorEastAsia" w:hAnsiTheme="minorEastAsia" w:eastAsiaTheme="minorEastAsia" w:cstheme="minorEastAsia"/>
          <w:b/>
          <w:bCs/>
          <w:spacing w:val="0"/>
          <w:kern w:val="0"/>
          <w:position w:val="0"/>
          <w:sz w:val="32"/>
          <w:szCs w:val="32"/>
          <w:u w:val="single"/>
          <w:lang w:eastAsia="zh-CN"/>
        </w:rPr>
        <w:t xml:space="preserve">  </w:t>
      </w:r>
      <w:r>
        <w:rPr>
          <w:rFonts w:hint="eastAsia" w:asciiTheme="minorEastAsia" w:hAnsiTheme="minorEastAsia" w:eastAsiaTheme="minorEastAsia" w:cstheme="minorEastAsia"/>
          <w:b/>
          <w:bCs/>
          <w:spacing w:val="0"/>
          <w:kern w:val="0"/>
          <w:position w:val="0"/>
          <w:sz w:val="32"/>
          <w:szCs w:val="32"/>
          <w:u w:val="single"/>
          <w:lang w:val="en-US" w:eastAsia="zh-CN"/>
        </w:rPr>
        <w:t xml:space="preserve">     </w:t>
      </w:r>
      <w:r>
        <w:rPr>
          <w:rFonts w:hint="eastAsia" w:asciiTheme="minorEastAsia" w:hAnsiTheme="minorEastAsia" w:eastAsiaTheme="minorEastAsia" w:cstheme="minorEastAsia"/>
          <w:b/>
          <w:bCs/>
          <w:spacing w:val="0"/>
          <w:kern w:val="0"/>
          <w:position w:val="0"/>
          <w:sz w:val="32"/>
          <w:szCs w:val="32"/>
          <w:u w:val="single"/>
          <w:lang w:eastAsia="zh-CN"/>
        </w:rPr>
        <w:t xml:space="preserve">南阳政采公开-2025-100      </w:t>
      </w:r>
    </w:p>
    <w:p w14:paraId="676DB29E">
      <w:pPr>
        <w:kinsoku/>
        <w:wordWrap w:val="0"/>
        <w:spacing w:line="360" w:lineRule="auto"/>
        <w:ind w:firstLine="1285" w:firstLineChars="400"/>
        <w:jc w:val="both"/>
        <w:rPr>
          <w:rFonts w:hint="default" w:asciiTheme="minorEastAsia" w:hAnsiTheme="minorEastAsia" w:eastAsiaTheme="minorEastAsia" w:cstheme="minorEastAsia"/>
          <w:b/>
          <w:bCs/>
          <w:spacing w:val="0"/>
          <w:kern w:val="0"/>
          <w:position w:val="0"/>
          <w:sz w:val="32"/>
          <w:szCs w:val="32"/>
          <w:lang w:val="en-US" w:eastAsia="zh-CN"/>
        </w:rPr>
      </w:pPr>
      <w:r>
        <w:rPr>
          <w:rFonts w:hint="eastAsia" w:asciiTheme="minorEastAsia" w:hAnsiTheme="minorEastAsia" w:eastAsiaTheme="minorEastAsia" w:cstheme="minorEastAsia"/>
          <w:b/>
          <w:bCs/>
          <w:spacing w:val="0"/>
          <w:kern w:val="0"/>
          <w:position w:val="0"/>
          <w:sz w:val="32"/>
          <w:szCs w:val="32"/>
          <w:lang w:eastAsia="zh-CN"/>
        </w:rPr>
        <w:t>采 购 人：</w:t>
      </w:r>
      <w:r>
        <w:rPr>
          <w:rFonts w:hint="eastAsia" w:asciiTheme="minorEastAsia" w:hAnsiTheme="minorEastAsia" w:eastAsiaTheme="minorEastAsia" w:cstheme="minorEastAsia"/>
          <w:b/>
          <w:bCs/>
          <w:spacing w:val="0"/>
          <w:kern w:val="0"/>
          <w:position w:val="0"/>
          <w:sz w:val="32"/>
          <w:szCs w:val="32"/>
          <w:u w:val="single"/>
          <w:lang w:val="en-US" w:eastAsia="zh-CN"/>
        </w:rPr>
        <w:t xml:space="preserve">       南</w:t>
      </w:r>
      <w:r>
        <w:rPr>
          <w:rFonts w:hint="eastAsia" w:asciiTheme="minorEastAsia" w:hAnsiTheme="minorEastAsia" w:eastAsiaTheme="minorEastAsia" w:cstheme="minorEastAsia"/>
          <w:b/>
          <w:bCs/>
          <w:spacing w:val="0"/>
          <w:kern w:val="0"/>
          <w:position w:val="0"/>
          <w:sz w:val="32"/>
          <w:szCs w:val="32"/>
          <w:u w:val="single"/>
          <w:lang w:eastAsia="zh-CN"/>
        </w:rPr>
        <w:t xml:space="preserve">阳市公路事业发展中心    </w:t>
      </w:r>
      <w:r>
        <w:rPr>
          <w:rFonts w:hint="eastAsia" w:asciiTheme="minorEastAsia" w:hAnsiTheme="minorEastAsia" w:eastAsiaTheme="minorEastAsia" w:cstheme="minorEastAsia"/>
          <w:b/>
          <w:bCs/>
          <w:spacing w:val="0"/>
          <w:kern w:val="0"/>
          <w:position w:val="0"/>
          <w:sz w:val="32"/>
          <w:szCs w:val="32"/>
          <w:u w:val="single"/>
          <w:lang w:val="en-US" w:eastAsia="zh-CN"/>
        </w:rPr>
        <w:t xml:space="preserve"> </w:t>
      </w:r>
    </w:p>
    <w:p w14:paraId="66B7A89B">
      <w:pPr>
        <w:kinsoku/>
        <w:wordWrap w:val="0"/>
        <w:spacing w:line="360" w:lineRule="auto"/>
        <w:ind w:firstLine="1285" w:firstLineChars="400"/>
        <w:jc w:val="both"/>
        <w:rPr>
          <w:rFonts w:hint="default" w:asciiTheme="minorEastAsia" w:hAnsiTheme="minorEastAsia" w:eastAsiaTheme="minorEastAsia" w:cstheme="minorEastAsia"/>
          <w:b/>
          <w:bCs/>
          <w:spacing w:val="0"/>
          <w:kern w:val="0"/>
          <w:position w:val="0"/>
          <w:sz w:val="32"/>
          <w:szCs w:val="32"/>
          <w:u w:val="single"/>
          <w:lang w:val="en-US" w:eastAsia="zh-CN"/>
        </w:rPr>
      </w:pPr>
      <w:r>
        <w:rPr>
          <w:rFonts w:hint="eastAsia" w:asciiTheme="minorEastAsia" w:hAnsiTheme="minorEastAsia" w:eastAsiaTheme="minorEastAsia" w:cstheme="minorEastAsia"/>
          <w:b/>
          <w:bCs/>
          <w:spacing w:val="0"/>
          <w:kern w:val="0"/>
          <w:position w:val="0"/>
          <w:sz w:val="32"/>
          <w:szCs w:val="32"/>
          <w:lang w:eastAsia="zh-CN"/>
        </w:rPr>
        <w:t>采购代理机构：</w:t>
      </w:r>
      <w:r>
        <w:rPr>
          <w:rFonts w:hint="eastAsia" w:asciiTheme="minorEastAsia" w:hAnsiTheme="minorEastAsia" w:eastAsiaTheme="minorEastAsia" w:cstheme="minorEastAsia"/>
          <w:b/>
          <w:bCs/>
          <w:spacing w:val="0"/>
          <w:kern w:val="0"/>
          <w:position w:val="0"/>
          <w:sz w:val="32"/>
          <w:szCs w:val="32"/>
          <w:u w:val="single"/>
          <w:lang w:val="en-US" w:eastAsia="zh-CN"/>
        </w:rPr>
        <w:t xml:space="preserve">    南阳市公共资源交易中心</w:t>
      </w:r>
      <w:r>
        <w:rPr>
          <w:rFonts w:hint="eastAsia" w:asciiTheme="minorEastAsia" w:hAnsiTheme="minorEastAsia" w:eastAsiaTheme="minorEastAsia" w:cstheme="minorEastAsia"/>
          <w:b/>
          <w:bCs/>
          <w:spacing w:val="0"/>
          <w:kern w:val="0"/>
          <w:position w:val="0"/>
          <w:sz w:val="32"/>
          <w:szCs w:val="32"/>
          <w:u w:val="single"/>
          <w:lang w:eastAsia="zh-CN"/>
        </w:rPr>
        <w:t xml:space="preserve"> </w:t>
      </w:r>
      <w:r>
        <w:rPr>
          <w:rFonts w:hint="eastAsia" w:asciiTheme="minorEastAsia" w:hAnsiTheme="minorEastAsia" w:eastAsiaTheme="minorEastAsia" w:cstheme="minorEastAsia"/>
          <w:b/>
          <w:bCs/>
          <w:spacing w:val="0"/>
          <w:kern w:val="0"/>
          <w:position w:val="0"/>
          <w:sz w:val="32"/>
          <w:szCs w:val="32"/>
          <w:u w:val="single"/>
          <w:lang w:val="en-US" w:eastAsia="zh-CN"/>
        </w:rPr>
        <w:t xml:space="preserve">   </w:t>
      </w:r>
    </w:p>
    <w:p w14:paraId="138E0C19">
      <w:pPr>
        <w:kinsoku/>
        <w:wordWrap w:val="0"/>
        <w:spacing w:line="360" w:lineRule="auto"/>
        <w:jc w:val="both"/>
        <w:rPr>
          <w:rFonts w:asciiTheme="minorEastAsia" w:hAnsiTheme="minorEastAsia" w:eastAsiaTheme="minorEastAsia" w:cstheme="minorEastAsia"/>
          <w:b/>
          <w:bCs/>
          <w:spacing w:val="0"/>
          <w:kern w:val="0"/>
          <w:position w:val="0"/>
          <w:sz w:val="32"/>
          <w:szCs w:val="32"/>
          <w:lang w:eastAsia="zh-CN"/>
        </w:rPr>
      </w:pPr>
    </w:p>
    <w:p w14:paraId="1278CE3C">
      <w:pPr>
        <w:spacing w:before="0" w:beforeLines="0" w:after="0" w:afterLines="0" w:line="240" w:lineRule="auto"/>
        <w:ind w:left="0" w:leftChars="0" w:right="0" w:rightChars="0" w:firstLine="0" w:firstLineChars="0"/>
        <w:jc w:val="center"/>
        <w:rPr>
          <w:rFonts w:ascii="宋体" w:hAnsi="宋体" w:eastAsia="宋体" w:cs="Arial"/>
          <w:snapToGrid w:val="0"/>
          <w:color w:val="000000"/>
          <w:spacing w:val="0"/>
          <w:kern w:val="0"/>
          <w:position w:val="0"/>
          <w:sz w:val="21"/>
          <w:szCs w:val="21"/>
          <w:lang w:val="en-US" w:eastAsia="en-US" w:bidi="ar-SA"/>
        </w:rPr>
        <w:sectPr>
          <w:footerReference r:id="rId3" w:type="default"/>
          <w:pgSz w:w="11907" w:h="16840"/>
          <w:pgMar w:top="1440" w:right="1800" w:bottom="1440" w:left="1800" w:header="878" w:footer="886" w:gutter="0"/>
          <w:pgNumType w:start="1"/>
          <w:cols w:space="720" w:num="1"/>
        </w:sectPr>
      </w:pPr>
    </w:p>
    <w:sdt>
      <w:sdtPr>
        <w:rPr>
          <w:rFonts w:ascii="宋体" w:hAnsi="宋体" w:eastAsia="宋体" w:cs="Arial"/>
          <w:snapToGrid w:val="0"/>
          <w:color w:val="000000"/>
          <w:spacing w:val="0"/>
          <w:kern w:val="0"/>
          <w:position w:val="0"/>
          <w:sz w:val="21"/>
          <w:szCs w:val="21"/>
          <w:lang w:val="en-US" w:eastAsia="en-US" w:bidi="ar-SA"/>
        </w:rPr>
        <w:id w:val="147458359"/>
        <w15:color w:val="DBDBDB"/>
        <w:docPartObj>
          <w:docPartGallery w:val="Table of Contents"/>
          <w:docPartUnique/>
        </w:docPartObj>
      </w:sdtPr>
      <w:sdtEndPr>
        <w:rPr>
          <w:rFonts w:asciiTheme="minorEastAsia" w:hAnsiTheme="minorEastAsia" w:eastAsiaTheme="minorEastAsia" w:cstheme="minorEastAsia"/>
          <w:snapToGrid w:val="0"/>
          <w:color w:val="000000"/>
          <w:spacing w:val="0"/>
          <w:kern w:val="0"/>
          <w:position w:val="0"/>
          <w:sz w:val="21"/>
          <w:szCs w:val="24"/>
          <w:lang w:val="en-US" w:eastAsia="zh-CN" w:bidi="ar-SA"/>
        </w:rPr>
      </w:sdtEndPr>
      <w:sdtContent>
        <w:p w14:paraId="1905DE30">
          <w:pPr>
            <w:spacing w:before="0" w:beforeLines="0" w:after="0" w:afterLines="0" w:line="240" w:lineRule="auto"/>
            <w:ind w:left="0" w:leftChars="0" w:right="0" w:rightChars="0" w:firstLine="0" w:firstLineChars="0"/>
            <w:jc w:val="center"/>
            <w:rPr>
              <w:spacing w:val="0"/>
              <w:kern w:val="0"/>
              <w:position w:val="0"/>
              <w:sz w:val="28"/>
              <w:szCs w:val="28"/>
            </w:rPr>
          </w:pPr>
          <w:r>
            <w:rPr>
              <w:rFonts w:ascii="宋体" w:hAnsi="宋体" w:eastAsia="宋体"/>
              <w:spacing w:val="0"/>
              <w:kern w:val="0"/>
              <w:position w:val="0"/>
              <w:sz w:val="28"/>
              <w:szCs w:val="28"/>
            </w:rPr>
            <w:t>目录</w:t>
          </w:r>
        </w:p>
        <w:p w14:paraId="2A87E2F6">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TOC \o "1-1" \h \u </w:instrText>
          </w:r>
          <w:r>
            <w:rPr>
              <w:rFonts w:asciiTheme="minorEastAsia" w:hAnsiTheme="minorEastAsia" w:eastAsiaTheme="minorEastAsia" w:cstheme="minorEastAsia"/>
              <w:spacing w:val="0"/>
              <w:kern w:val="0"/>
              <w:position w:val="0"/>
              <w:sz w:val="28"/>
              <w:szCs w:val="28"/>
              <w:lang w:eastAsia="zh-CN"/>
            </w:rPr>
            <w:fldChar w:fldCharType="separate"/>
          </w: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_Toc7809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spacing w:val="0"/>
              <w:kern w:val="0"/>
              <w:position w:val="0"/>
              <w:sz w:val="28"/>
              <w:szCs w:val="28"/>
              <w:lang w:eastAsia="zh-CN"/>
            </w:rPr>
            <w:t>第一章 公开招标公告</w:t>
          </w:r>
          <w:r>
            <w:rPr>
              <w:spacing w:val="0"/>
              <w:kern w:val="0"/>
              <w:position w:val="0"/>
              <w:sz w:val="28"/>
              <w:szCs w:val="28"/>
            </w:rPr>
            <w:tab/>
          </w:r>
          <w:r>
            <w:rPr>
              <w:spacing w:val="0"/>
              <w:kern w:val="0"/>
              <w:position w:val="0"/>
              <w:sz w:val="28"/>
              <w:szCs w:val="28"/>
            </w:rPr>
            <w:fldChar w:fldCharType="begin"/>
          </w:r>
          <w:r>
            <w:rPr>
              <w:spacing w:val="0"/>
              <w:kern w:val="0"/>
              <w:position w:val="0"/>
              <w:sz w:val="28"/>
              <w:szCs w:val="28"/>
            </w:rPr>
            <w:instrText xml:space="preserve"> PAGEREF _Toc7809 \h </w:instrText>
          </w:r>
          <w:r>
            <w:rPr>
              <w:spacing w:val="0"/>
              <w:kern w:val="0"/>
              <w:position w:val="0"/>
              <w:sz w:val="28"/>
              <w:szCs w:val="28"/>
            </w:rPr>
            <w:fldChar w:fldCharType="separate"/>
          </w:r>
          <w:r>
            <w:rPr>
              <w:spacing w:val="0"/>
              <w:kern w:val="0"/>
              <w:position w:val="0"/>
              <w:sz w:val="28"/>
              <w:szCs w:val="28"/>
            </w:rPr>
            <w:t>1</w:t>
          </w:r>
          <w:r>
            <w:rPr>
              <w:spacing w:val="0"/>
              <w:kern w:val="0"/>
              <w:position w:val="0"/>
              <w:sz w:val="28"/>
              <w:szCs w:val="28"/>
            </w:rPr>
            <w:fldChar w:fldCharType="end"/>
          </w:r>
          <w:r>
            <w:rPr>
              <w:rFonts w:asciiTheme="minorEastAsia" w:hAnsiTheme="minorEastAsia" w:eastAsiaTheme="minorEastAsia" w:cstheme="minorEastAsia"/>
              <w:spacing w:val="0"/>
              <w:kern w:val="0"/>
              <w:position w:val="0"/>
              <w:sz w:val="28"/>
              <w:szCs w:val="28"/>
              <w:lang w:eastAsia="zh-CN"/>
            </w:rPr>
            <w:fldChar w:fldCharType="end"/>
          </w:r>
        </w:p>
        <w:p w14:paraId="131DFE91">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_Toc10599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第二章 采购需求</w:t>
          </w:r>
          <w:r>
            <w:rPr>
              <w:spacing w:val="0"/>
              <w:kern w:val="0"/>
              <w:position w:val="0"/>
              <w:sz w:val="28"/>
              <w:szCs w:val="28"/>
            </w:rPr>
            <w:tab/>
          </w:r>
          <w:r>
            <w:rPr>
              <w:spacing w:val="0"/>
              <w:kern w:val="0"/>
              <w:position w:val="0"/>
              <w:sz w:val="28"/>
              <w:szCs w:val="28"/>
            </w:rPr>
            <w:fldChar w:fldCharType="begin"/>
          </w:r>
          <w:r>
            <w:rPr>
              <w:spacing w:val="0"/>
              <w:kern w:val="0"/>
              <w:position w:val="0"/>
              <w:sz w:val="28"/>
              <w:szCs w:val="28"/>
            </w:rPr>
            <w:instrText xml:space="preserve"> PAGEREF _Toc10599 \h </w:instrText>
          </w:r>
          <w:r>
            <w:rPr>
              <w:spacing w:val="0"/>
              <w:kern w:val="0"/>
              <w:position w:val="0"/>
              <w:sz w:val="28"/>
              <w:szCs w:val="28"/>
            </w:rPr>
            <w:fldChar w:fldCharType="separate"/>
          </w:r>
          <w:r>
            <w:rPr>
              <w:spacing w:val="0"/>
              <w:kern w:val="0"/>
              <w:position w:val="0"/>
              <w:sz w:val="28"/>
              <w:szCs w:val="28"/>
            </w:rPr>
            <w:t>5</w:t>
          </w:r>
          <w:r>
            <w:rPr>
              <w:spacing w:val="0"/>
              <w:kern w:val="0"/>
              <w:position w:val="0"/>
              <w:sz w:val="28"/>
              <w:szCs w:val="28"/>
            </w:rPr>
            <w:fldChar w:fldCharType="end"/>
          </w:r>
          <w:r>
            <w:rPr>
              <w:rFonts w:asciiTheme="minorEastAsia" w:hAnsiTheme="minorEastAsia" w:eastAsiaTheme="minorEastAsia" w:cstheme="minorEastAsia"/>
              <w:spacing w:val="0"/>
              <w:kern w:val="0"/>
              <w:position w:val="0"/>
              <w:sz w:val="28"/>
              <w:szCs w:val="28"/>
              <w:lang w:eastAsia="zh-CN"/>
            </w:rPr>
            <w:fldChar w:fldCharType="end"/>
          </w:r>
        </w:p>
        <w:p w14:paraId="514059DF">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_Toc15283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第三章 投标人须知</w:t>
          </w:r>
          <w:r>
            <w:rPr>
              <w:spacing w:val="0"/>
              <w:kern w:val="0"/>
              <w:position w:val="0"/>
              <w:sz w:val="28"/>
              <w:szCs w:val="28"/>
            </w:rPr>
            <w:tab/>
          </w:r>
          <w:r>
            <w:rPr>
              <w:rFonts w:hint="eastAsia" w:eastAsia="宋体"/>
              <w:spacing w:val="0"/>
              <w:kern w:val="0"/>
              <w:position w:val="0"/>
              <w:sz w:val="28"/>
              <w:szCs w:val="28"/>
              <w:lang w:val="en-US" w:eastAsia="zh-CN"/>
            </w:rPr>
            <w:t>40</w:t>
          </w:r>
          <w:r>
            <w:rPr>
              <w:rFonts w:asciiTheme="minorEastAsia" w:hAnsiTheme="minorEastAsia" w:eastAsiaTheme="minorEastAsia" w:cstheme="minorEastAsia"/>
              <w:spacing w:val="0"/>
              <w:kern w:val="0"/>
              <w:position w:val="0"/>
              <w:sz w:val="28"/>
              <w:szCs w:val="28"/>
              <w:lang w:eastAsia="zh-CN"/>
            </w:rPr>
            <w:fldChar w:fldCharType="end"/>
          </w:r>
        </w:p>
        <w:p w14:paraId="37AC2510">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_Toc14210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第四章 开、评标程序、评标方法和评标标准</w:t>
          </w:r>
          <w:r>
            <w:rPr>
              <w:spacing w:val="0"/>
              <w:kern w:val="0"/>
              <w:position w:val="0"/>
              <w:sz w:val="28"/>
              <w:szCs w:val="28"/>
            </w:rPr>
            <w:tab/>
          </w:r>
          <w:r>
            <w:rPr>
              <w:rFonts w:hint="eastAsia" w:eastAsia="宋体"/>
              <w:spacing w:val="0"/>
              <w:kern w:val="0"/>
              <w:position w:val="0"/>
              <w:sz w:val="28"/>
              <w:szCs w:val="28"/>
              <w:lang w:val="en-US" w:eastAsia="zh-CN"/>
            </w:rPr>
            <w:t>50</w:t>
          </w:r>
          <w:r>
            <w:rPr>
              <w:rFonts w:asciiTheme="minorEastAsia" w:hAnsiTheme="minorEastAsia" w:eastAsiaTheme="minorEastAsia" w:cstheme="minorEastAsia"/>
              <w:spacing w:val="0"/>
              <w:kern w:val="0"/>
              <w:position w:val="0"/>
              <w:sz w:val="28"/>
              <w:szCs w:val="28"/>
              <w:lang w:eastAsia="zh-CN"/>
            </w:rPr>
            <w:fldChar w:fldCharType="end"/>
          </w:r>
        </w:p>
        <w:p w14:paraId="3A29D5EE">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_Toc2285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第五章 政府采购合同（草案）</w:t>
          </w:r>
          <w:r>
            <w:rPr>
              <w:spacing w:val="0"/>
              <w:kern w:val="0"/>
              <w:position w:val="0"/>
              <w:sz w:val="28"/>
              <w:szCs w:val="28"/>
            </w:rPr>
            <w:tab/>
          </w:r>
          <w:r>
            <w:rPr>
              <w:rFonts w:hint="eastAsia" w:eastAsia="宋体"/>
              <w:spacing w:val="0"/>
              <w:kern w:val="0"/>
              <w:position w:val="0"/>
              <w:sz w:val="28"/>
              <w:szCs w:val="28"/>
              <w:lang w:val="en-US" w:eastAsia="zh-CN"/>
            </w:rPr>
            <w:t>68</w:t>
          </w:r>
          <w:r>
            <w:rPr>
              <w:rFonts w:asciiTheme="minorEastAsia" w:hAnsiTheme="minorEastAsia" w:eastAsiaTheme="minorEastAsia" w:cstheme="minorEastAsia"/>
              <w:spacing w:val="0"/>
              <w:kern w:val="0"/>
              <w:position w:val="0"/>
              <w:sz w:val="28"/>
              <w:szCs w:val="28"/>
              <w:lang w:eastAsia="zh-CN"/>
            </w:rPr>
            <w:fldChar w:fldCharType="end"/>
          </w:r>
        </w:p>
        <w:p w14:paraId="38D3A899">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_Toc28500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第六章 投标文件格式</w:t>
          </w:r>
          <w:r>
            <w:rPr>
              <w:spacing w:val="0"/>
              <w:kern w:val="0"/>
              <w:position w:val="0"/>
              <w:sz w:val="28"/>
              <w:szCs w:val="28"/>
            </w:rPr>
            <w:tab/>
          </w:r>
          <w:r>
            <w:rPr>
              <w:rFonts w:hint="eastAsia" w:eastAsia="宋体"/>
              <w:spacing w:val="0"/>
              <w:kern w:val="0"/>
              <w:position w:val="0"/>
              <w:sz w:val="28"/>
              <w:szCs w:val="28"/>
              <w:lang w:val="en-US" w:eastAsia="zh-CN"/>
            </w:rPr>
            <w:t>79</w:t>
          </w:r>
          <w:r>
            <w:rPr>
              <w:rFonts w:asciiTheme="minorEastAsia" w:hAnsiTheme="minorEastAsia" w:eastAsiaTheme="minorEastAsia" w:cstheme="minorEastAsia"/>
              <w:spacing w:val="0"/>
              <w:kern w:val="0"/>
              <w:position w:val="0"/>
              <w:sz w:val="28"/>
              <w:szCs w:val="28"/>
              <w:lang w:eastAsia="zh-CN"/>
            </w:rPr>
            <w:fldChar w:fldCharType="end"/>
          </w:r>
        </w:p>
        <w:p w14:paraId="13AA795E">
          <w:pPr>
            <w:kinsoku/>
            <w:wordWrap w:val="0"/>
            <w:spacing w:line="219" w:lineRule="auto"/>
            <w:jc w:val="both"/>
            <w:rPr>
              <w:rFonts w:asciiTheme="minorEastAsia" w:hAnsiTheme="minorEastAsia" w:eastAsiaTheme="minorEastAsia" w:cstheme="minorEastAsia"/>
              <w:snapToGrid w:val="0"/>
              <w:color w:val="000000"/>
              <w:spacing w:val="0"/>
              <w:kern w:val="0"/>
              <w:position w:val="0"/>
              <w:sz w:val="21"/>
              <w:szCs w:val="24"/>
              <w:lang w:val="en-US" w:eastAsia="zh-CN" w:bidi="ar-SA"/>
            </w:rPr>
          </w:pPr>
          <w:r>
            <w:rPr>
              <w:rFonts w:asciiTheme="minorEastAsia" w:hAnsiTheme="minorEastAsia" w:eastAsiaTheme="minorEastAsia" w:cstheme="minorEastAsia"/>
              <w:spacing w:val="0"/>
              <w:kern w:val="0"/>
              <w:position w:val="0"/>
              <w:sz w:val="28"/>
              <w:szCs w:val="28"/>
              <w:lang w:eastAsia="zh-CN"/>
            </w:rPr>
            <w:fldChar w:fldCharType="end"/>
          </w:r>
        </w:p>
      </w:sdtContent>
    </w:sdt>
    <w:p w14:paraId="31CC7AA4">
      <w:pPr>
        <w:kinsoku/>
        <w:wordWrap w:val="0"/>
        <w:spacing w:line="219" w:lineRule="auto"/>
        <w:jc w:val="both"/>
        <w:rPr>
          <w:rFonts w:asciiTheme="minorEastAsia" w:hAnsiTheme="minorEastAsia" w:eastAsiaTheme="minorEastAsia" w:cstheme="minorEastAsia"/>
          <w:snapToGrid w:val="0"/>
          <w:color w:val="000000"/>
          <w:spacing w:val="0"/>
          <w:kern w:val="0"/>
          <w:position w:val="0"/>
          <w:sz w:val="21"/>
          <w:szCs w:val="24"/>
          <w:lang w:val="en-US" w:eastAsia="zh-CN" w:bidi="ar-SA"/>
        </w:rPr>
      </w:pPr>
    </w:p>
    <w:p w14:paraId="2D5051F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34241D5">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7688CF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CAC613F">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2690103">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917E945">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99B0DCB">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1BAA7B5C">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684B8762">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5A5CF3C7">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52B25FEC">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463B6815">
      <w:pPr>
        <w:pStyle w:val="21"/>
        <w:rPr>
          <w:lang w:eastAsia="zh-CN"/>
        </w:rPr>
      </w:pPr>
    </w:p>
    <w:p w14:paraId="682DD871">
      <w:pPr>
        <w:pStyle w:val="21"/>
        <w:rPr>
          <w:spacing w:val="0"/>
          <w:kern w:val="0"/>
          <w:position w:val="0"/>
          <w:lang w:eastAsia="zh-CN"/>
        </w:rPr>
      </w:pPr>
    </w:p>
    <w:p w14:paraId="23D169FC">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13DF6333">
      <w:pPr>
        <w:pStyle w:val="21"/>
        <w:rPr>
          <w:spacing w:val="0"/>
          <w:kern w:val="0"/>
          <w:position w:val="0"/>
          <w:lang w:eastAsia="zh-CN"/>
        </w:rPr>
      </w:pPr>
    </w:p>
    <w:p w14:paraId="508E8BC0">
      <w:pPr>
        <w:pStyle w:val="21"/>
        <w:rPr>
          <w:spacing w:val="0"/>
          <w:kern w:val="0"/>
          <w:position w:val="0"/>
          <w:lang w:eastAsia="zh-CN"/>
        </w:rPr>
      </w:pPr>
    </w:p>
    <w:p w14:paraId="4B4D4712">
      <w:pPr>
        <w:pStyle w:val="2"/>
        <w:bidi w:val="0"/>
        <w:spacing w:line="360" w:lineRule="auto"/>
        <w:jc w:val="center"/>
        <w:rPr>
          <w:rFonts w:hint="eastAsia"/>
          <w:spacing w:val="0"/>
          <w:kern w:val="0"/>
          <w:position w:val="0"/>
          <w:lang w:eastAsia="zh-CN"/>
        </w:rPr>
        <w:sectPr>
          <w:footerReference r:id="rId4" w:type="default"/>
          <w:pgSz w:w="11907" w:h="16840"/>
          <w:pgMar w:top="1440" w:right="1800" w:bottom="1440" w:left="1800" w:header="878" w:footer="886" w:gutter="0"/>
          <w:pgNumType w:start="1"/>
          <w:cols w:space="720" w:num="1"/>
        </w:sectPr>
      </w:pPr>
    </w:p>
    <w:p w14:paraId="1E005B92">
      <w:pPr>
        <w:pStyle w:val="2"/>
        <w:bidi w:val="0"/>
        <w:spacing w:line="360" w:lineRule="auto"/>
        <w:jc w:val="center"/>
        <w:rPr>
          <w:spacing w:val="0"/>
          <w:kern w:val="0"/>
          <w:position w:val="0"/>
          <w:lang w:eastAsia="zh-CN"/>
        </w:rPr>
      </w:pPr>
      <w:bookmarkStart w:id="0" w:name="_Toc7809"/>
      <w:r>
        <w:rPr>
          <w:rFonts w:hint="eastAsia"/>
          <w:spacing w:val="0"/>
          <w:kern w:val="0"/>
          <w:position w:val="0"/>
          <w:lang w:eastAsia="zh-CN"/>
        </w:rPr>
        <w:t>第一章 公开招标公告</w:t>
      </w:r>
      <w:bookmarkEnd w:id="0"/>
    </w:p>
    <w:p w14:paraId="5FA6BD9D">
      <w:pPr>
        <w:bidi w:val="0"/>
        <w:spacing w:line="360" w:lineRule="auto"/>
        <w:ind w:firstLine="480" w:firstLineChars="200"/>
        <w:rPr>
          <w:rFonts w:hint="eastAsia" w:ascii="宋体" w:hAnsi="宋体" w:eastAsia="宋体" w:cs="宋体"/>
          <w:spacing w:val="0"/>
          <w:kern w:val="0"/>
          <w:position w:val="0"/>
          <w:sz w:val="24"/>
          <w:szCs w:val="24"/>
          <w:lang w:eastAsia="zh-CN"/>
        </w:rPr>
      </w:pPr>
      <w:r>
        <w:rPr>
          <w:rFonts w:hint="eastAsia" w:ascii="宋体" w:hAnsi="宋体" w:eastAsia="宋体" w:cs="宋体"/>
          <w:spacing w:val="0"/>
          <w:kern w:val="0"/>
          <w:position w:val="0"/>
          <w:sz w:val="24"/>
          <w:szCs w:val="24"/>
          <w:lang w:eastAsia="zh-CN"/>
        </w:rPr>
        <w:t>采购人拟就南阳市公路事业发展中心河南省“一轴一廊”交通基础设施数字化转型升级示范通道及网络项目（南阳市普通公路）项目以公开招标方式组织采购活动，欢迎潜在投标人参与本项目投标。</w:t>
      </w:r>
    </w:p>
    <w:p w14:paraId="6307BA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一、项目基本情况</w:t>
      </w:r>
    </w:p>
    <w:p w14:paraId="3C229B04">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1.项目编号：南阳政采公开-2025-100</w:t>
      </w:r>
    </w:p>
    <w:p w14:paraId="7E491377">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2.项目名称：南阳市公路事业发展中心河南省“一轴一廊”交通基础设施数字化转型升级示范通道及网络项目（南阳市普通公路）项目</w:t>
      </w:r>
    </w:p>
    <w:p w14:paraId="6D32387A">
      <w:pPr>
        <w:pStyle w:val="6"/>
        <w:kinsoku/>
        <w:wordWrap w:val="0"/>
        <w:spacing w:line="360" w:lineRule="auto"/>
        <w:ind w:left="420" w:leftChars="200"/>
        <w:jc w:val="both"/>
        <w:rPr>
          <w:rFonts w:hint="eastAsia"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3.项目预算金额：</w:t>
      </w:r>
      <w:r>
        <w:rPr>
          <w:rFonts w:hint="eastAsia" w:asciiTheme="minorEastAsia" w:hAnsiTheme="minorEastAsia" w:eastAsiaTheme="minorEastAsia" w:cstheme="minorEastAsia"/>
          <w:spacing w:val="0"/>
          <w:kern w:val="0"/>
          <w:position w:val="0"/>
          <w:sz w:val="24"/>
          <w:szCs w:val="24"/>
          <w:highlight w:val="none"/>
          <w:lang w:val="en-US" w:eastAsia="zh-CN"/>
        </w:rPr>
        <w:t>1373.6116</w:t>
      </w:r>
      <w:r>
        <w:rPr>
          <w:rFonts w:hint="eastAsia" w:asciiTheme="minorEastAsia" w:hAnsiTheme="minorEastAsia" w:eastAsiaTheme="minorEastAsia" w:cstheme="minorEastAsia"/>
          <w:spacing w:val="0"/>
          <w:kern w:val="0"/>
          <w:position w:val="0"/>
          <w:sz w:val="24"/>
          <w:szCs w:val="24"/>
          <w:highlight w:val="none"/>
          <w:lang w:eastAsia="zh-CN"/>
        </w:rPr>
        <w:t>万元</w:t>
      </w:r>
    </w:p>
    <w:p w14:paraId="05F8D7ED">
      <w:pPr>
        <w:pStyle w:val="6"/>
        <w:kinsoku/>
        <w:wordWrap w:val="0"/>
        <w:spacing w:line="360" w:lineRule="auto"/>
        <w:ind w:left="420" w:leftChars="200"/>
        <w:jc w:val="both"/>
        <w:rPr>
          <w:rFonts w:hint="eastAsia"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4.采购需求：</w:t>
      </w:r>
    </w:p>
    <w:tbl>
      <w:tblPr>
        <w:tblStyle w:val="22"/>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4848"/>
        <w:gridCol w:w="1894"/>
      </w:tblGrid>
      <w:tr w14:paraId="4565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29" w:type="dxa"/>
            <w:vAlign w:val="center"/>
          </w:tcPr>
          <w:p w14:paraId="73C68E0C">
            <w:pPr>
              <w:kinsoku/>
              <w:wordWrap w:val="0"/>
              <w:spacing w:line="240" w:lineRule="auto"/>
              <w:ind w:firstLine="480" w:firstLineChars="200"/>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包号</w:t>
            </w:r>
          </w:p>
        </w:tc>
        <w:tc>
          <w:tcPr>
            <w:tcW w:w="4848" w:type="dxa"/>
            <w:vAlign w:val="center"/>
          </w:tcPr>
          <w:p w14:paraId="227B32C7">
            <w:pPr>
              <w:kinsoku/>
              <w:wordWrap w:val="0"/>
              <w:spacing w:line="240" w:lineRule="auto"/>
              <w:ind w:firstLine="480" w:firstLineChars="200"/>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lang w:eastAsia="zh-CN"/>
              </w:rPr>
              <w:t>包</w:t>
            </w:r>
            <w:r>
              <w:rPr>
                <w:rFonts w:hint="eastAsia" w:asciiTheme="minorEastAsia" w:hAnsiTheme="minorEastAsia" w:eastAsiaTheme="minorEastAsia" w:cstheme="minorEastAsia"/>
                <w:spacing w:val="0"/>
                <w:kern w:val="0"/>
                <w:position w:val="0"/>
                <w:sz w:val="24"/>
                <w:szCs w:val="24"/>
                <w:highlight w:val="none"/>
              </w:rPr>
              <w:t>名称</w:t>
            </w:r>
          </w:p>
        </w:tc>
        <w:tc>
          <w:tcPr>
            <w:tcW w:w="1894" w:type="dxa"/>
            <w:vAlign w:val="center"/>
          </w:tcPr>
          <w:p w14:paraId="428D9361">
            <w:pPr>
              <w:kinsoku/>
              <w:wordWrap w:val="0"/>
              <w:spacing w:line="240" w:lineRule="auto"/>
              <w:ind w:firstLine="480" w:firstLineChars="200"/>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包预算（元）</w:t>
            </w:r>
          </w:p>
        </w:tc>
      </w:tr>
      <w:tr w14:paraId="1CADC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9" w:type="dxa"/>
            <w:vAlign w:val="center"/>
          </w:tcPr>
          <w:p w14:paraId="3F3B4CB4">
            <w:pPr>
              <w:pStyle w:val="23"/>
              <w:jc w:val="left"/>
              <w:rPr>
                <w:spacing w:val="0"/>
                <w:kern w:val="0"/>
                <w:position w:val="0"/>
                <w:highlight w:val="none"/>
              </w:rPr>
            </w:pPr>
            <w:r>
              <w:rPr>
                <w:rFonts w:hint="eastAsia"/>
                <w:spacing w:val="0"/>
                <w:kern w:val="0"/>
                <w:position w:val="0"/>
                <w:highlight w:val="none"/>
              </w:rPr>
              <w:t>项目编号-1</w:t>
            </w:r>
          </w:p>
        </w:tc>
        <w:tc>
          <w:tcPr>
            <w:tcW w:w="4848" w:type="dxa"/>
            <w:vAlign w:val="center"/>
          </w:tcPr>
          <w:p w14:paraId="0BD9C14B">
            <w:pPr>
              <w:pStyle w:val="23"/>
              <w:jc w:val="center"/>
              <w:rPr>
                <w:rFonts w:hint="eastAsia" w:eastAsia="宋体"/>
                <w:spacing w:val="0"/>
                <w:kern w:val="0"/>
                <w:position w:val="0"/>
                <w:highlight w:val="none"/>
                <w:lang w:eastAsia="zh-CN"/>
              </w:rPr>
            </w:pPr>
            <w:r>
              <w:rPr>
                <w:rFonts w:hint="eastAsia"/>
                <w:spacing w:val="0"/>
                <w:kern w:val="0"/>
                <w:position w:val="0"/>
                <w:highlight w:val="none"/>
                <w:lang w:eastAsia="zh-CN"/>
              </w:rPr>
              <w:t>南阳市公路事业发展中心河南省“一轴一廊”交通基础设施数字化转型升级示范通道及网络项目（南阳市普通公路）项目</w:t>
            </w:r>
          </w:p>
        </w:tc>
        <w:tc>
          <w:tcPr>
            <w:tcW w:w="1894" w:type="dxa"/>
            <w:vAlign w:val="center"/>
          </w:tcPr>
          <w:p w14:paraId="35FEF638">
            <w:pPr>
              <w:keepNext w:val="0"/>
              <w:keepLines w:val="0"/>
              <w:widowControl/>
              <w:suppressLineNumbers w:val="0"/>
              <w:jc w:val="center"/>
              <w:rPr>
                <w:rFonts w:hint="default" w:eastAsia="宋体"/>
                <w:spacing w:val="0"/>
                <w:kern w:val="0"/>
                <w:position w:val="0"/>
                <w:highlight w:val="none"/>
                <w:lang w:val="en-US" w:eastAsia="zh-CN"/>
              </w:rPr>
            </w:pPr>
            <w:r>
              <w:rPr>
                <w:rFonts w:hint="eastAsia" w:eastAsia="宋体"/>
                <w:spacing w:val="0"/>
                <w:kern w:val="0"/>
                <w:position w:val="0"/>
                <w:highlight w:val="none"/>
                <w:lang w:val="en-US" w:eastAsia="zh-CN"/>
              </w:rPr>
              <w:t>13736116</w:t>
            </w:r>
          </w:p>
        </w:tc>
      </w:tr>
    </w:tbl>
    <w:p w14:paraId="7D2A9AF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5.采购清单或服务要求</w:t>
      </w:r>
    </w:p>
    <w:p w14:paraId="3FD7EDD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lang w:eastAsia="zh-CN"/>
        </w:rPr>
        <w:t>5.1采购内容：本项目拟在南阳市国道上新增多功能交调站32</w:t>
      </w:r>
      <w:r>
        <w:rPr>
          <w:rFonts w:hint="eastAsia" w:asciiTheme="minorEastAsia" w:hAnsiTheme="minorEastAsia" w:eastAsiaTheme="minorEastAsia" w:cstheme="minorEastAsia"/>
          <w:spacing w:val="0"/>
          <w:kern w:val="0"/>
          <w:position w:val="0"/>
          <w:sz w:val="24"/>
          <w:szCs w:val="24"/>
          <w:highlight w:val="none"/>
          <w:lang w:eastAsia="zh-CN"/>
        </w:rPr>
        <w:t>处、升级</w:t>
      </w:r>
      <w:r>
        <w:rPr>
          <w:rFonts w:hint="eastAsia" w:asciiTheme="minorEastAsia" w:hAnsiTheme="minorEastAsia" w:eastAsiaTheme="minorEastAsia" w:cstheme="minorEastAsia"/>
          <w:spacing w:val="0"/>
          <w:kern w:val="0"/>
          <w:position w:val="0"/>
          <w:sz w:val="24"/>
          <w:szCs w:val="24"/>
          <w:highlight w:val="none"/>
          <w:lang w:val="en-US" w:eastAsia="zh-CN"/>
        </w:rPr>
        <w:t>27</w:t>
      </w:r>
      <w:r>
        <w:rPr>
          <w:rFonts w:hint="eastAsia" w:asciiTheme="minorEastAsia" w:hAnsiTheme="minorEastAsia" w:eastAsiaTheme="minorEastAsia" w:cstheme="minorEastAsia"/>
          <w:spacing w:val="0"/>
          <w:kern w:val="0"/>
          <w:position w:val="0"/>
          <w:sz w:val="24"/>
          <w:szCs w:val="24"/>
          <w:highlight w:val="none"/>
          <w:lang w:eastAsia="zh-CN"/>
        </w:rPr>
        <w:t>处；建设南阳市公路事业发展中心数据节点，并按照技术规范及要求接入省综合交通大数据中心。</w:t>
      </w:r>
    </w:p>
    <w:p w14:paraId="50B0E6A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5.2工期：</w:t>
      </w:r>
      <w:r>
        <w:rPr>
          <w:rFonts w:hint="eastAsia" w:asciiTheme="minorEastAsia" w:hAnsiTheme="minorEastAsia" w:eastAsiaTheme="minorEastAsia" w:cstheme="minorEastAsia"/>
          <w:spacing w:val="0"/>
          <w:kern w:val="0"/>
          <w:position w:val="0"/>
          <w:sz w:val="24"/>
          <w:szCs w:val="24"/>
          <w:highlight w:val="none"/>
          <w:lang w:val="en-US" w:eastAsia="zh-CN"/>
        </w:rPr>
        <w:t>120</w:t>
      </w:r>
      <w:r>
        <w:rPr>
          <w:rFonts w:hint="eastAsia" w:asciiTheme="minorEastAsia" w:hAnsiTheme="minorEastAsia" w:eastAsiaTheme="minorEastAsia" w:cstheme="minorEastAsia"/>
          <w:spacing w:val="0"/>
          <w:kern w:val="0"/>
          <w:position w:val="0"/>
          <w:sz w:val="24"/>
          <w:szCs w:val="24"/>
          <w:highlight w:val="none"/>
          <w:lang w:eastAsia="zh-CN"/>
        </w:rPr>
        <w:t>日历天；</w:t>
      </w:r>
    </w:p>
    <w:p w14:paraId="0FF74D0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5.3</w:t>
      </w:r>
      <w:r>
        <w:rPr>
          <w:rFonts w:hint="eastAsia" w:asciiTheme="minorEastAsia" w:hAnsiTheme="minorEastAsia" w:eastAsiaTheme="minorEastAsia" w:cstheme="minorEastAsia"/>
          <w:spacing w:val="0"/>
          <w:kern w:val="0"/>
          <w:position w:val="0"/>
          <w:sz w:val="24"/>
          <w:szCs w:val="24"/>
          <w:highlight w:val="none"/>
          <w:lang w:val="en-US" w:eastAsia="zh-CN"/>
        </w:rPr>
        <w:t>项目</w:t>
      </w:r>
      <w:r>
        <w:rPr>
          <w:rFonts w:hint="eastAsia" w:asciiTheme="minorEastAsia" w:hAnsiTheme="minorEastAsia" w:eastAsiaTheme="minorEastAsia" w:cstheme="minorEastAsia"/>
          <w:spacing w:val="0"/>
          <w:kern w:val="0"/>
          <w:position w:val="0"/>
          <w:sz w:val="24"/>
          <w:szCs w:val="24"/>
          <w:highlight w:val="none"/>
          <w:lang w:eastAsia="zh-CN"/>
        </w:rPr>
        <w:t>地点：南阳</w:t>
      </w:r>
      <w:r>
        <w:rPr>
          <w:rFonts w:hint="eastAsia" w:asciiTheme="minorEastAsia" w:hAnsiTheme="minorEastAsia" w:eastAsiaTheme="minorEastAsia" w:cstheme="minorEastAsia"/>
          <w:spacing w:val="0"/>
          <w:kern w:val="0"/>
          <w:position w:val="0"/>
          <w:sz w:val="24"/>
          <w:szCs w:val="24"/>
          <w:highlight w:val="none"/>
          <w:lang w:val="en-US" w:eastAsia="zh-CN"/>
        </w:rPr>
        <w:t>市</w:t>
      </w:r>
      <w:r>
        <w:rPr>
          <w:rFonts w:hint="eastAsia" w:asciiTheme="minorEastAsia" w:hAnsiTheme="minorEastAsia" w:eastAsiaTheme="minorEastAsia" w:cstheme="minorEastAsia"/>
          <w:spacing w:val="0"/>
          <w:kern w:val="0"/>
          <w:position w:val="0"/>
          <w:sz w:val="24"/>
          <w:szCs w:val="24"/>
          <w:highlight w:val="none"/>
          <w:lang w:eastAsia="zh-CN"/>
        </w:rPr>
        <w:t>；</w:t>
      </w:r>
    </w:p>
    <w:p w14:paraId="30EA975A">
      <w:pPr>
        <w:pStyle w:val="6"/>
        <w:kinsoku/>
        <w:wordWrap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highlight w:val="none"/>
          <w:lang w:val="en-US" w:eastAsia="zh-CN"/>
        </w:rPr>
      </w:pPr>
      <w:r>
        <w:rPr>
          <w:rFonts w:hint="eastAsia" w:asciiTheme="minorEastAsia" w:hAnsiTheme="minorEastAsia" w:eastAsiaTheme="minorEastAsia" w:cstheme="minorEastAsia"/>
          <w:spacing w:val="0"/>
          <w:kern w:val="0"/>
          <w:position w:val="0"/>
          <w:sz w:val="24"/>
          <w:szCs w:val="24"/>
          <w:highlight w:val="none"/>
          <w:lang w:eastAsia="zh-CN"/>
        </w:rPr>
        <w:t>5.4质量要求：</w:t>
      </w:r>
      <w:r>
        <w:rPr>
          <w:rFonts w:hint="eastAsia" w:asciiTheme="minorEastAsia" w:hAnsiTheme="minorEastAsia" w:eastAsiaTheme="minorEastAsia" w:cstheme="minorEastAsia"/>
          <w:spacing w:val="0"/>
          <w:kern w:val="0"/>
          <w:position w:val="0"/>
          <w:sz w:val="24"/>
          <w:szCs w:val="24"/>
          <w:highlight w:val="none"/>
          <w:lang w:val="en-US" w:eastAsia="zh-CN"/>
        </w:rPr>
        <w:t>产品满足国家及行业相关标准，满足本项目设计要求，安装质量满足采购人要求，项目整体质量满足JTG2182-2020《公路工程质量检验评定标准》，并保证项目通过验收</w:t>
      </w:r>
      <w:r>
        <w:rPr>
          <w:rFonts w:hint="eastAsia" w:asciiTheme="minorEastAsia" w:hAnsiTheme="minorEastAsia" w:eastAsiaTheme="minorEastAsia" w:cstheme="minorEastAsia"/>
          <w:spacing w:val="0"/>
          <w:kern w:val="0"/>
          <w:position w:val="0"/>
          <w:sz w:val="24"/>
          <w:szCs w:val="24"/>
          <w:highlight w:val="none"/>
          <w:lang w:eastAsia="zh-CN"/>
        </w:rPr>
        <w:t>；</w:t>
      </w:r>
    </w:p>
    <w:p w14:paraId="246D030E">
      <w:pPr>
        <w:pStyle w:val="6"/>
        <w:kinsoku/>
        <w:wordWrap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highlight w:val="none"/>
          <w:lang w:val="en-US" w:eastAsia="zh-CN"/>
        </w:rPr>
      </w:pPr>
      <w:r>
        <w:rPr>
          <w:rFonts w:hint="eastAsia" w:asciiTheme="minorEastAsia" w:hAnsiTheme="minorEastAsia" w:eastAsiaTheme="minorEastAsia" w:cstheme="minorEastAsia"/>
          <w:spacing w:val="0"/>
          <w:kern w:val="0"/>
          <w:position w:val="0"/>
          <w:sz w:val="24"/>
          <w:szCs w:val="24"/>
          <w:highlight w:val="none"/>
          <w:lang w:eastAsia="zh-CN"/>
        </w:rPr>
        <w:t>5.5</w:t>
      </w:r>
      <w:r>
        <w:rPr>
          <w:rFonts w:hint="eastAsia" w:asciiTheme="minorEastAsia" w:hAnsiTheme="minorEastAsia" w:eastAsiaTheme="minorEastAsia" w:cstheme="minorEastAsia"/>
          <w:spacing w:val="0"/>
          <w:kern w:val="0"/>
          <w:position w:val="0"/>
          <w:sz w:val="24"/>
          <w:szCs w:val="24"/>
          <w:highlight w:val="none"/>
          <w:lang w:val="en-US" w:eastAsia="zh-CN"/>
        </w:rPr>
        <w:t>质保期：</w:t>
      </w:r>
      <w:r>
        <w:rPr>
          <w:rFonts w:hint="eastAsia" w:ascii="宋体" w:hAnsi="宋体" w:cs="宋体"/>
          <w:color w:val="000000"/>
          <w:kern w:val="0"/>
          <w:sz w:val="24"/>
          <w:szCs w:val="24"/>
          <w:highlight w:val="none"/>
        </w:rPr>
        <w:t>设备验收合格后，</w:t>
      </w:r>
      <w:r>
        <w:rPr>
          <w:rFonts w:hint="eastAsia" w:cs="宋体"/>
          <w:color w:val="000000"/>
          <w:kern w:val="0"/>
          <w:sz w:val="24"/>
          <w:szCs w:val="24"/>
          <w:highlight w:val="none"/>
          <w:lang w:val="en-US" w:eastAsia="zh-CN"/>
        </w:rPr>
        <w:t>五</w:t>
      </w:r>
      <w:r>
        <w:rPr>
          <w:rFonts w:ascii="宋体" w:hAnsi="宋体" w:cs="宋体"/>
          <w:color w:val="000000"/>
          <w:kern w:val="0"/>
          <w:sz w:val="24"/>
          <w:szCs w:val="24"/>
          <w:highlight w:val="none"/>
        </w:rPr>
        <w:t>年</w:t>
      </w:r>
      <w:r>
        <w:rPr>
          <w:rFonts w:hint="eastAsia" w:ascii="宋体" w:hAnsi="宋体" w:cs="宋体"/>
          <w:color w:val="000000"/>
          <w:kern w:val="0"/>
          <w:sz w:val="24"/>
          <w:szCs w:val="24"/>
          <w:highlight w:val="none"/>
        </w:rPr>
        <w:t>免费质保，</w:t>
      </w:r>
      <w:r>
        <w:rPr>
          <w:rFonts w:hint="eastAsia" w:cs="宋体"/>
          <w:color w:val="000000"/>
          <w:kern w:val="0"/>
          <w:sz w:val="24"/>
          <w:szCs w:val="24"/>
          <w:highlight w:val="none"/>
          <w:lang w:val="en-US" w:eastAsia="zh-CN"/>
        </w:rPr>
        <w:t>五</w:t>
      </w:r>
      <w:r>
        <w:rPr>
          <w:rFonts w:hint="eastAsia" w:ascii="宋体" w:hAnsi="宋体" w:cs="宋体"/>
          <w:color w:val="000000"/>
          <w:kern w:val="0"/>
          <w:sz w:val="24"/>
          <w:szCs w:val="24"/>
          <w:highlight w:val="none"/>
        </w:rPr>
        <w:t>年免费上</w:t>
      </w:r>
      <w:r>
        <w:rPr>
          <w:rFonts w:ascii="宋体" w:hAnsi="宋体" w:cs="宋体"/>
          <w:color w:val="000000"/>
          <w:kern w:val="0"/>
          <w:sz w:val="24"/>
          <w:szCs w:val="24"/>
          <w:highlight w:val="none"/>
        </w:rPr>
        <w:t>门</w:t>
      </w:r>
      <w:r>
        <w:rPr>
          <w:rFonts w:hint="eastAsia" w:ascii="宋体" w:hAnsi="宋体" w:cs="宋体"/>
          <w:color w:val="000000"/>
          <w:kern w:val="0"/>
          <w:sz w:val="24"/>
          <w:szCs w:val="24"/>
          <w:highlight w:val="none"/>
        </w:rPr>
        <w:t>服务（其中软件五年免费升级和质保，五年免费上门服务），提供承诺函。设备制造商承诺的质保期优于本采购要求的，按承诺执行。</w:t>
      </w:r>
    </w:p>
    <w:p w14:paraId="05C79324">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u w:val="single"/>
          <w:lang w:eastAsia="zh-CN"/>
        </w:rPr>
      </w:pPr>
      <w:r>
        <w:rPr>
          <w:rFonts w:hint="eastAsia" w:asciiTheme="minorEastAsia" w:hAnsiTheme="minorEastAsia" w:eastAsiaTheme="minorEastAsia" w:cstheme="minorEastAsia"/>
          <w:spacing w:val="0"/>
          <w:kern w:val="0"/>
          <w:position w:val="0"/>
          <w:sz w:val="24"/>
          <w:szCs w:val="24"/>
          <w:highlight w:val="none"/>
          <w:lang w:eastAsia="zh-CN"/>
        </w:rPr>
        <w:t>6.合同履行期限：同施工工期</w:t>
      </w:r>
    </w:p>
    <w:p w14:paraId="2B84C99C">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7.本项目是否接受联合体投标：□是☑否。</w:t>
      </w:r>
    </w:p>
    <w:p w14:paraId="5616BCDB">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二、投标人具备的资格要求（须同时满足）</w:t>
      </w:r>
    </w:p>
    <w:p w14:paraId="070C329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1.注册于中华人民共和国境内，具有独立承担民事责任能力；</w:t>
      </w:r>
    </w:p>
    <w:p w14:paraId="741A4AA9">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2.具有良好的商业信誉和健全的财务会计制度；</w:t>
      </w:r>
    </w:p>
    <w:p w14:paraId="62F82541">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3.具有履行合同所必需的设备和专业技术能力；</w:t>
      </w:r>
    </w:p>
    <w:p w14:paraId="571EDB85">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4.有依法缴纳税收和社会保障资金的良好记录；</w:t>
      </w:r>
    </w:p>
    <w:p w14:paraId="34BC28A0">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5.参加政府采购活动前三年内，在经营活动中没有重大违法记录；</w:t>
      </w:r>
    </w:p>
    <w:p w14:paraId="408AA1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E68FC4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遵守国家有关法律、法规、规章。</w:t>
      </w:r>
    </w:p>
    <w:p w14:paraId="2F70613B">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三、落实政府采购政策需满足的资格要求：</w:t>
      </w:r>
    </w:p>
    <w:p w14:paraId="3E07703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1.中小企业政策</w:t>
      </w:r>
    </w:p>
    <w:p w14:paraId="63746F1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☑本项目不专门面向中小企业预留采购份额。</w:t>
      </w:r>
    </w:p>
    <w:p w14:paraId="16A378B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FF4D20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3.本项目支持河南省政府采购合同融资政策和资格信用承诺制。</w:t>
      </w:r>
    </w:p>
    <w:p w14:paraId="0DBA030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4.本项目是否属于政府购买服务：</w:t>
      </w:r>
    </w:p>
    <w:p w14:paraId="2FF0CA3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☑否□接受进口产品☑不接受进口产品</w:t>
      </w:r>
    </w:p>
    <w:p w14:paraId="74EE9B9F">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highlight w:val="none"/>
          <w:lang w:eastAsia="zh-CN"/>
        </w:rPr>
      </w:pPr>
      <w:r>
        <w:rPr>
          <w:rFonts w:hint="eastAsia" w:asciiTheme="minorEastAsia" w:hAnsiTheme="minorEastAsia" w:eastAsiaTheme="minorEastAsia" w:cstheme="minorEastAsia"/>
          <w:b/>
          <w:bCs/>
          <w:spacing w:val="0"/>
          <w:kern w:val="0"/>
          <w:position w:val="0"/>
          <w:sz w:val="24"/>
          <w:szCs w:val="24"/>
          <w:highlight w:val="none"/>
          <w:lang w:eastAsia="zh-CN"/>
        </w:rPr>
        <w:t>四、获取招标文件</w:t>
      </w:r>
    </w:p>
    <w:p w14:paraId="44CD2BE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1.时间：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13</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日至</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日，每天上午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至</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，下午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至</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23:59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（北京时间，法定节假日除外）。</w:t>
      </w:r>
    </w:p>
    <w:p w14:paraId="3BA75E8D">
      <w:pPr>
        <w:ind w:firstLine="480" w:firstLineChars="200"/>
        <w:rPr>
          <w:rFonts w:hint="eastAsia" w:asciiTheme="minorEastAsia" w:hAnsiTheme="minorEastAsia" w:eastAsiaTheme="minorEastAsia" w:cstheme="minorEastAsia"/>
          <w:snapToGrid w:val="0"/>
          <w:color w:val="000000"/>
          <w:spacing w:val="0"/>
          <w:kern w:val="0"/>
          <w:position w:val="0"/>
          <w:sz w:val="24"/>
          <w:szCs w:val="24"/>
          <w:lang w:val="en-US" w:eastAsia="zh-CN" w:bidi="ar-SA"/>
        </w:rPr>
      </w:pPr>
      <w:r>
        <w:rPr>
          <w:rFonts w:hint="eastAsia" w:asciiTheme="minorEastAsia" w:hAnsiTheme="minorEastAsia" w:eastAsiaTheme="minorEastAsia" w:cstheme="minorEastAsia"/>
          <w:spacing w:val="0"/>
          <w:kern w:val="0"/>
          <w:position w:val="0"/>
          <w:sz w:val="24"/>
          <w:szCs w:val="24"/>
        </w:rPr>
        <w:t>2</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.地点：全国公共资源交易平台(河南省·南阳市)（https://ggzyjy.nanyang.gov.cn）。</w:t>
      </w:r>
    </w:p>
    <w:p w14:paraId="2A49BD51">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color w:val="000000"/>
          <w:spacing w:val="0"/>
          <w:kern w:val="0"/>
          <w:position w:val="0"/>
          <w:sz w:val="24"/>
          <w:szCs w:val="24"/>
          <w:lang w:val="en-US" w:eastAsia="zh-CN" w:bidi="ar-SA"/>
        </w:rPr>
      </w:pPr>
      <w:r>
        <w:rPr>
          <w:rFonts w:hint="eastAsia" w:asciiTheme="minorEastAsia" w:hAnsiTheme="minorEastAsia" w:eastAsiaTheme="minorEastAsia" w:cstheme="minorEastAsia"/>
          <w:spacing w:val="0"/>
          <w:kern w:val="0"/>
          <w:position w:val="0"/>
          <w:sz w:val="24"/>
          <w:szCs w:val="24"/>
          <w:lang w:eastAsia="zh-CN"/>
        </w:rPr>
        <w:t>3.</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方式：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w:t>
      </w:r>
      <w:r>
        <w:rPr>
          <w:rFonts w:hint="eastAsia" w:asciiTheme="minorEastAsia" w:hAnsiTheme="minorEastAsia" w:eastAsiaTheme="minorEastAsia" w:cstheme="minorEastAsia"/>
          <w:spacing w:val="0"/>
          <w:kern w:val="0"/>
          <w:position w:val="0"/>
          <w:sz w:val="24"/>
          <w:szCs w:val="24"/>
          <w:lang w:val="en-US" w:eastAsia="zh-CN"/>
        </w:rPr>
        <w:t>：</w:t>
      </w:r>
      <w:r>
        <w:rPr>
          <w:rFonts w:hint="eastAsia" w:asciiTheme="minorEastAsia" w:hAnsiTheme="minorEastAsia" w:eastAsiaTheme="minorEastAsia" w:cstheme="minorEastAsia"/>
          <w:spacing w:val="0"/>
          <w:kern w:val="0"/>
          <w:position w:val="0"/>
          <w:sz w:val="24"/>
          <w:szCs w:val="24"/>
          <w:lang w:eastAsia="zh-CN"/>
        </w:rPr>
        <w:t>0512-58188538</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，CA数字证书技术支持：https://ggzyjy.nanyang.gov.cn/ptdl/011009/single.html。</w:t>
      </w:r>
    </w:p>
    <w:p w14:paraId="26B9DB4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1"/>
          <w:lang w:eastAsia="zh-CN"/>
        </w:rPr>
      </w:pPr>
      <w:r>
        <w:rPr>
          <w:rFonts w:hint="eastAsia" w:asciiTheme="minorEastAsia" w:hAnsiTheme="minorEastAsia" w:eastAsiaTheme="minorEastAsia" w:cstheme="minorEastAsia"/>
          <w:spacing w:val="0"/>
          <w:kern w:val="0"/>
          <w:position w:val="0"/>
          <w:sz w:val="24"/>
          <w:szCs w:val="24"/>
          <w:lang w:eastAsia="zh-CN"/>
        </w:rPr>
        <w:t>4.售价：0元。</w:t>
      </w:r>
    </w:p>
    <w:p w14:paraId="520CA2A4">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五、投标文件的制作及上传</w:t>
      </w:r>
    </w:p>
    <w:p w14:paraId="177F67E1">
      <w:pPr>
        <w:spacing w:line="360" w:lineRule="auto"/>
        <w:ind w:firstLine="480" w:firstLineChars="200"/>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0C275131">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pacing w:val="0"/>
          <w:kern w:val="0"/>
          <w:position w:val="0"/>
        </w:rPr>
      </w:pPr>
      <w:r>
        <w:rPr>
          <w:rFonts w:hint="eastAsia" w:asciiTheme="minorEastAsia" w:hAnsiTheme="minorEastAsia" w:eastAsiaTheme="minorEastAsia" w:cstheme="minorEastAsia"/>
          <w:spacing w:val="0"/>
          <w:kern w:val="0"/>
          <w:position w:val="0"/>
          <w:sz w:val="24"/>
          <w:szCs w:val="24"/>
          <w:lang w:eastAsia="zh-CN"/>
        </w:rPr>
        <w:t>因投标人无需现场参与开标，所有准备工作需要自行到位。开标过程中如遇到紧急事项，可在不见面开标大厅中进行提出异议</w:t>
      </w:r>
      <w:bookmarkStart w:id="7" w:name="_GoBack"/>
      <w:bookmarkEnd w:id="7"/>
      <w:r>
        <w:rPr>
          <w:rFonts w:hint="eastAsia" w:asciiTheme="minorEastAsia" w:hAnsiTheme="minorEastAsia" w:eastAsiaTheme="minorEastAsia" w:cstheme="minorEastAsia"/>
          <w:spacing w:val="0"/>
          <w:kern w:val="0"/>
          <w:position w:val="0"/>
          <w:sz w:val="24"/>
          <w:szCs w:val="24"/>
          <w:lang w:eastAsia="zh-CN"/>
        </w:rPr>
        <w:t>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0512-58188538。</w:t>
      </w:r>
    </w:p>
    <w:p w14:paraId="3F438521">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六、提交投标文件截止时间、开标时间和地点</w:t>
      </w:r>
    </w:p>
    <w:p w14:paraId="0578734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val="en-US" w:eastAsia="zh-CN"/>
        </w:rPr>
        <w:t>1.</w:t>
      </w:r>
      <w:r>
        <w:rPr>
          <w:rFonts w:hint="eastAsia" w:asciiTheme="minorEastAsia" w:hAnsiTheme="minorEastAsia" w:eastAsiaTheme="minorEastAsia" w:cstheme="minorEastAsia"/>
          <w:spacing w:val="0"/>
          <w:kern w:val="0"/>
          <w:position w:val="0"/>
          <w:sz w:val="24"/>
          <w:szCs w:val="24"/>
          <w:highlight w:val="none"/>
          <w:lang w:eastAsia="zh-CN"/>
        </w:rPr>
        <w:t>投标截止时间、开标时间：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202</w:t>
      </w:r>
      <w:r>
        <w:rPr>
          <w:rFonts w:hint="eastAsia" w:asciiTheme="minorEastAsia" w:hAnsiTheme="minorEastAsia" w:eastAsiaTheme="minorEastAsia" w:cstheme="minorEastAsia"/>
          <w:spacing w:val="0"/>
          <w:kern w:val="0"/>
          <w:position w:val="0"/>
          <w:sz w:val="24"/>
          <w:szCs w:val="24"/>
          <w:highlight w:val="none"/>
          <w:u w:val="single"/>
          <w:lang w:val="en-US" w:eastAsia="zh-CN"/>
        </w:rPr>
        <w:t>6</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 xml:space="preserve">5 </w:t>
      </w:r>
      <w:r>
        <w:rPr>
          <w:rFonts w:hint="eastAsia" w:asciiTheme="minorEastAsia" w:hAnsiTheme="minorEastAsia" w:eastAsiaTheme="minorEastAsia" w:cstheme="minorEastAsia"/>
          <w:spacing w:val="0"/>
          <w:kern w:val="0"/>
          <w:position w:val="0"/>
          <w:sz w:val="24"/>
          <w:szCs w:val="24"/>
          <w:highlight w:val="none"/>
          <w:lang w:eastAsia="zh-CN"/>
        </w:rPr>
        <w:t>日</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点</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分（北京时间）。</w:t>
      </w:r>
    </w:p>
    <w:p w14:paraId="616784F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2.</w:t>
      </w:r>
      <w:r>
        <w:rPr>
          <w:rFonts w:hint="eastAsia" w:asciiTheme="minorEastAsia" w:hAnsiTheme="minorEastAsia" w:eastAsiaTheme="minorEastAsia" w:cstheme="minorEastAsia"/>
          <w:spacing w:val="0"/>
          <w:kern w:val="0"/>
          <w:position w:val="0"/>
          <w:sz w:val="24"/>
          <w:szCs w:val="24"/>
          <w:lang w:eastAsia="zh-CN"/>
        </w:rPr>
        <w:t>开标方式：不见面开标</w:t>
      </w:r>
    </w:p>
    <w:p w14:paraId="3F4119B5">
      <w:pPr>
        <w:pStyle w:val="6"/>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地点：本项目使用不见面开标，投标人无需前往现场来参与投标。不见面开标大厅（https://ggzyjy.nanyang.gov.cn/BidOpening/bidopeninghallaction/hall/login），具体操作流程详见南阳市公共资源交易中心下载专区栏发布的南阳不见面开标-操作手册（投标人）。</w:t>
      </w:r>
    </w:p>
    <w:p w14:paraId="6C4D9D50">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lang w:eastAsia="zh-CN"/>
        </w:rPr>
        <w:t>七</w:t>
      </w:r>
      <w:r>
        <w:rPr>
          <w:rFonts w:hint="eastAsia" w:asciiTheme="minorEastAsia" w:hAnsiTheme="minorEastAsia" w:eastAsiaTheme="minorEastAsia" w:cstheme="minorEastAsia"/>
          <w:b/>
          <w:bCs/>
          <w:spacing w:val="0"/>
          <w:kern w:val="0"/>
          <w:position w:val="0"/>
          <w:sz w:val="24"/>
          <w:szCs w:val="24"/>
        </w:rPr>
        <w:t>、发布公告的媒介及招标公告期限</w:t>
      </w:r>
    </w:p>
    <w:p w14:paraId="38E8C681">
      <w:pPr>
        <w:pStyle w:val="6"/>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本次招标公告在《河南省政府采购网》《南阳市公共资源交易中心网》上发布， 招标公告期限为五个工作日 。</w:t>
      </w:r>
    </w:p>
    <w:p w14:paraId="53296C0B">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八、其他补充事宜</w:t>
      </w:r>
    </w:p>
    <w:p w14:paraId="3F8759F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spacing w:val="0"/>
          <w:kern w:val="0"/>
          <w:position w:val="0"/>
          <w:sz w:val="24"/>
          <w:szCs w:val="24"/>
          <w:lang w:eastAsia="zh-CN"/>
        </w:rPr>
        <w:t>本项目采用</w:t>
      </w:r>
      <w:r>
        <w:rPr>
          <w:rFonts w:hint="eastAsia"/>
          <w:b/>
          <w:bCs/>
          <w:spacing w:val="0"/>
          <w:kern w:val="0"/>
          <w:position w:val="0"/>
          <w:sz w:val="24"/>
          <w:szCs w:val="24"/>
          <w:lang w:eastAsia="zh-CN"/>
        </w:rPr>
        <w:t>“暗标”评审。</w:t>
      </w:r>
      <w:r>
        <w:rPr>
          <w:rFonts w:hint="eastAsia"/>
          <w:spacing w:val="0"/>
          <w:kern w:val="0"/>
          <w:position w:val="0"/>
          <w:sz w:val="24"/>
          <w:szCs w:val="24"/>
          <w:lang w:eastAsia="zh-CN"/>
        </w:rPr>
        <w:t>供应商应按照招标文件要求制作投标文件。</w:t>
      </w:r>
    </w:p>
    <w:p w14:paraId="4FFB4528">
      <w:pPr>
        <w:pStyle w:val="6"/>
        <w:kinsoku/>
        <w:wordWrap w:val="0"/>
        <w:spacing w:line="360" w:lineRule="auto"/>
        <w:jc w:val="both"/>
        <w:outlineLvl w:val="1"/>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九、对本次招标提出询问，请按以下方式联系</w:t>
      </w:r>
    </w:p>
    <w:p w14:paraId="058AD964">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1.采购人信息</w:t>
      </w:r>
    </w:p>
    <w:p w14:paraId="05F5DAB3">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名称：南阳市公路事业发展中心</w:t>
      </w:r>
    </w:p>
    <w:p w14:paraId="5B740DA6">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地址：河南省南阳市卧龙区中州路758号</w:t>
      </w:r>
    </w:p>
    <w:p w14:paraId="5D672A0D">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highlight w:val="none"/>
          <w:lang w:val="en-US" w:eastAsia="zh-CN"/>
        </w:rPr>
      </w:pPr>
      <w:r>
        <w:rPr>
          <w:rFonts w:hint="eastAsia" w:asciiTheme="minorEastAsia" w:hAnsiTheme="minorEastAsia" w:eastAsiaTheme="minorEastAsia" w:cstheme="minorEastAsia"/>
          <w:spacing w:val="0"/>
          <w:kern w:val="0"/>
          <w:position w:val="0"/>
          <w:sz w:val="24"/>
          <w:szCs w:val="24"/>
          <w:highlight w:val="none"/>
          <w:lang w:eastAsia="zh-CN"/>
        </w:rPr>
        <w:t>联系人：刘</w:t>
      </w:r>
      <w:r>
        <w:rPr>
          <w:rFonts w:hint="eastAsia" w:asciiTheme="minorEastAsia" w:hAnsiTheme="minorEastAsia" w:eastAsiaTheme="minorEastAsia" w:cstheme="minorEastAsia"/>
          <w:spacing w:val="0"/>
          <w:kern w:val="0"/>
          <w:position w:val="0"/>
          <w:sz w:val="24"/>
          <w:szCs w:val="24"/>
          <w:highlight w:val="none"/>
          <w:lang w:val="en-US" w:eastAsia="zh-CN"/>
        </w:rPr>
        <w:t>先生</w:t>
      </w:r>
    </w:p>
    <w:p w14:paraId="17F22467">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b/>
          <w:bCs/>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联系方式：</w:t>
      </w:r>
      <w:r>
        <w:rPr>
          <w:rFonts w:hint="eastAsia" w:asciiTheme="minorEastAsia" w:hAnsiTheme="minorEastAsia" w:eastAsiaTheme="minorEastAsia" w:cstheme="minorEastAsia"/>
          <w:spacing w:val="0"/>
          <w:kern w:val="0"/>
          <w:position w:val="0"/>
          <w:sz w:val="24"/>
          <w:szCs w:val="24"/>
          <w:highlight w:val="none"/>
          <w:lang w:val="en-US" w:eastAsia="zh-CN"/>
        </w:rPr>
        <w:t>13782082898</w:t>
      </w:r>
    </w:p>
    <w:p w14:paraId="0060B337">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2.采购代理机构信息</w:t>
      </w:r>
    </w:p>
    <w:p w14:paraId="684676BD">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名称：</w:t>
      </w:r>
      <w:r>
        <w:rPr>
          <w:rFonts w:hint="eastAsia" w:asciiTheme="minorEastAsia" w:hAnsiTheme="minorEastAsia" w:eastAsiaTheme="minorEastAsia" w:cstheme="minorEastAsia"/>
          <w:spacing w:val="0"/>
          <w:kern w:val="0"/>
          <w:position w:val="0"/>
          <w:sz w:val="24"/>
          <w:szCs w:val="24"/>
          <w:lang w:val="en-US" w:eastAsia="zh-CN"/>
        </w:rPr>
        <w:t>南阳市公共资源交易中心</w:t>
      </w:r>
    </w:p>
    <w:p w14:paraId="5B82B44C">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地址：</w:t>
      </w:r>
      <w:r>
        <w:rPr>
          <w:rFonts w:hint="eastAsia" w:asciiTheme="minorEastAsia" w:hAnsiTheme="minorEastAsia" w:eastAsiaTheme="minorEastAsia" w:cstheme="minorEastAsia"/>
          <w:spacing w:val="-15"/>
          <w:sz w:val="24"/>
          <w:szCs w:val="24"/>
        </w:rPr>
        <w:t>南阳市范蠡东路与南都路交叉口市民服务中心中区3号楼5楼</w:t>
      </w:r>
    </w:p>
    <w:p w14:paraId="42D0DF26">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联系人：</w:t>
      </w:r>
      <w:r>
        <w:rPr>
          <w:rFonts w:hint="eastAsia" w:asciiTheme="minorEastAsia" w:hAnsiTheme="minorEastAsia" w:eastAsiaTheme="minorEastAsia" w:cstheme="minorEastAsia"/>
          <w:spacing w:val="0"/>
          <w:kern w:val="0"/>
          <w:position w:val="0"/>
          <w:sz w:val="24"/>
          <w:szCs w:val="24"/>
          <w:lang w:val="en-US" w:eastAsia="zh-CN"/>
        </w:rPr>
        <w:t>黄先生</w:t>
      </w:r>
    </w:p>
    <w:p w14:paraId="746FFF1B">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0"/>
          <w:kern w:val="0"/>
          <w:position w:val="0"/>
          <w:sz w:val="24"/>
          <w:szCs w:val="24"/>
          <w:lang w:eastAsia="zh-CN"/>
        </w:rPr>
        <w:t>联系方式：</w:t>
      </w:r>
      <w:r>
        <w:rPr>
          <w:rFonts w:hint="eastAsia" w:asciiTheme="minorEastAsia" w:hAnsiTheme="minorEastAsia" w:eastAsiaTheme="minorEastAsia" w:cstheme="minorEastAsia"/>
          <w:spacing w:val="-15"/>
          <w:sz w:val="24"/>
          <w:szCs w:val="24"/>
          <w:lang w:val="en-US" w:eastAsia="zh-CN"/>
        </w:rPr>
        <w:t>0377-61176178</w:t>
      </w:r>
    </w:p>
    <w:p w14:paraId="62DCDC84">
      <w:pPr>
        <w:pStyle w:val="6"/>
        <w:keepNext w:val="0"/>
        <w:keepLines w:val="0"/>
        <w:pageBreakBefore w:val="0"/>
        <w:kinsoku/>
        <w:wordWrap w:val="0"/>
        <w:overflowPunct/>
        <w:topLinePunct w:val="0"/>
        <w:autoSpaceDE w:val="0"/>
        <w:autoSpaceDN w:val="0"/>
        <w:bidi w:val="0"/>
        <w:adjustRightInd w:val="0"/>
        <w:spacing w:line="360" w:lineRule="auto"/>
        <w:ind w:firstLine="420" w:firstLineChars="200"/>
        <w:jc w:val="both"/>
        <w:rPr>
          <w:rFonts w:hint="eastAsia" w:asciiTheme="minorEastAsia" w:hAnsiTheme="minorEastAsia" w:eastAsiaTheme="minorEastAsia" w:cstheme="minorEastAsia"/>
          <w:spacing w:val="-15"/>
          <w:sz w:val="24"/>
          <w:szCs w:val="24"/>
          <w:lang w:val="en-US" w:eastAsia="zh-CN"/>
        </w:rPr>
      </w:pPr>
    </w:p>
    <w:p w14:paraId="1B785E29">
      <w:pPr>
        <w:pStyle w:val="6"/>
        <w:keepNext w:val="0"/>
        <w:keepLines w:val="0"/>
        <w:pageBreakBefore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spacing w:val="0"/>
          <w:kern w:val="0"/>
          <w:position w:val="0"/>
          <w:sz w:val="24"/>
          <w:szCs w:val="24"/>
          <w:lang w:val="en-US" w:eastAsia="zh-CN"/>
        </w:rPr>
      </w:pPr>
    </w:p>
    <w:p w14:paraId="628817C6">
      <w:pPr>
        <w:pStyle w:val="6"/>
        <w:keepNext w:val="0"/>
        <w:keepLines w:val="0"/>
        <w:pageBreakBefore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val="en-US" w:eastAsia="zh-CN"/>
        </w:rPr>
        <w:t>南阳市公共资源中心</w:t>
      </w:r>
    </w:p>
    <w:p w14:paraId="18C42D96">
      <w:pPr>
        <w:pStyle w:val="6"/>
        <w:keepNext w:val="0"/>
        <w:keepLines w:val="0"/>
        <w:pageBreakBefore w:val="0"/>
        <w:kinsoku/>
        <w:wordWrap w:val="0"/>
        <w:overflowPunct/>
        <w:topLinePunct w:val="0"/>
        <w:autoSpaceDE w:val="0"/>
        <w:autoSpaceDN w:val="0"/>
        <w:bidi w:val="0"/>
        <w:adjustRightInd w:val="0"/>
        <w:spacing w:line="360" w:lineRule="auto"/>
        <w:ind w:firstLine="5280" w:firstLineChars="2200"/>
        <w:jc w:val="both"/>
        <w:rPr>
          <w:rFonts w:hint="default"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val="en-US" w:eastAsia="zh-CN"/>
        </w:rPr>
        <w:t>2025 年 12 月 12 日</w:t>
      </w:r>
    </w:p>
    <w:p w14:paraId="49A34F42">
      <w:pPr>
        <w:pStyle w:val="6"/>
        <w:kinsoku/>
        <w:wordWrap w:val="0"/>
        <w:spacing w:line="360" w:lineRule="auto"/>
        <w:jc w:val="center"/>
        <w:rPr>
          <w:rFonts w:asciiTheme="minorEastAsia" w:hAnsiTheme="minorEastAsia" w:eastAsiaTheme="minorEastAsia" w:cstheme="minorEastAsia"/>
          <w:spacing w:val="0"/>
          <w:kern w:val="0"/>
          <w:position w:val="0"/>
          <w:sz w:val="36"/>
          <w:szCs w:val="36"/>
          <w:lang w:eastAsia="zh-CN"/>
        </w:rPr>
      </w:pPr>
    </w:p>
    <w:p w14:paraId="5D2CB474">
      <w:pPr>
        <w:pStyle w:val="4"/>
        <w:ind w:left="0" w:leftChars="0" w:firstLine="0" w:firstLineChars="0"/>
        <w:rPr>
          <w:lang w:eastAsia="zh-CN"/>
        </w:rPr>
      </w:pPr>
    </w:p>
    <w:p w14:paraId="1D369E04">
      <w:pPr>
        <w:rPr>
          <w:rFonts w:hint="eastAsia" w:ascii="宋体" w:hAnsi="宋体" w:eastAsia="宋体" w:cs="Times New Roman"/>
          <w:spacing w:val="0"/>
          <w:kern w:val="0"/>
          <w:position w:val="0"/>
          <w:lang w:eastAsia="zh-CN"/>
        </w:rPr>
      </w:pPr>
      <w:bookmarkStart w:id="1" w:name="_Toc10599"/>
      <w:r>
        <w:rPr>
          <w:rFonts w:hint="eastAsia" w:ascii="宋体" w:hAnsi="宋体" w:eastAsia="宋体" w:cs="Times New Roman"/>
          <w:spacing w:val="0"/>
          <w:kern w:val="0"/>
          <w:position w:val="0"/>
          <w:lang w:eastAsia="zh-CN"/>
        </w:rPr>
        <w:br w:type="page"/>
      </w:r>
    </w:p>
    <w:p w14:paraId="6334A387">
      <w:pPr>
        <w:pStyle w:val="2"/>
        <w:bidi w:val="0"/>
        <w:spacing w:line="360" w:lineRule="auto"/>
        <w:jc w:val="center"/>
        <w:rPr>
          <w:rFonts w:hint="eastAsia" w:ascii="宋体" w:hAnsi="宋体" w:eastAsia="宋体" w:cs="Times New Roman"/>
          <w:spacing w:val="0"/>
          <w:kern w:val="0"/>
          <w:position w:val="0"/>
          <w:lang w:eastAsia="zh-CN"/>
        </w:rPr>
        <w:sectPr>
          <w:footerReference r:id="rId5" w:type="default"/>
          <w:pgSz w:w="11907" w:h="16840"/>
          <w:pgMar w:top="1440" w:right="1800" w:bottom="1440" w:left="1800" w:header="878" w:footer="886" w:gutter="0"/>
          <w:pgNumType w:start="1"/>
          <w:cols w:space="720" w:num="1"/>
        </w:sectPr>
      </w:pPr>
    </w:p>
    <w:p w14:paraId="4899BD70">
      <w:pPr>
        <w:pStyle w:val="2"/>
        <w:bidi w:val="0"/>
        <w:spacing w:line="360" w:lineRule="auto"/>
        <w:jc w:val="center"/>
        <w:rPr>
          <w:rFonts w:hint="eastAsia" w:ascii="宋体" w:hAnsi="宋体" w:eastAsia="宋体" w:cs="Times New Roman"/>
          <w:spacing w:val="0"/>
          <w:kern w:val="0"/>
          <w:position w:val="0"/>
          <w:lang w:eastAsia="zh-CN"/>
        </w:rPr>
      </w:pPr>
      <w:r>
        <w:rPr>
          <w:rFonts w:hint="eastAsia" w:ascii="宋体" w:hAnsi="宋体" w:eastAsia="宋体" w:cs="Times New Roman"/>
          <w:spacing w:val="0"/>
          <w:kern w:val="0"/>
          <w:position w:val="0"/>
          <w:lang w:eastAsia="zh-CN"/>
        </w:rPr>
        <w:t>第二章 采购需求</w:t>
      </w:r>
      <w:bookmarkEnd w:id="1"/>
    </w:p>
    <w:p w14:paraId="69ABA62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0"/>
          <w:kern w:val="0"/>
          <w:position w:val="0"/>
          <w:sz w:val="28"/>
          <w:szCs w:val="28"/>
          <w:lang w:val="en-US" w:eastAsia="zh-CN"/>
        </w:rPr>
      </w:pPr>
      <w:r>
        <w:rPr>
          <w:rFonts w:hint="eastAsia" w:asciiTheme="minorEastAsia" w:hAnsiTheme="minorEastAsia" w:eastAsiaTheme="minorEastAsia" w:cstheme="minorEastAsia"/>
          <w:b/>
          <w:bCs/>
          <w:spacing w:val="0"/>
          <w:kern w:val="0"/>
          <w:position w:val="0"/>
          <w:sz w:val="28"/>
          <w:szCs w:val="28"/>
          <w:lang w:val="en-US" w:eastAsia="zh-CN"/>
        </w:rPr>
        <w:t>一、采购清单</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001"/>
        <w:gridCol w:w="4576"/>
        <w:gridCol w:w="960"/>
        <w:gridCol w:w="499"/>
      </w:tblGrid>
      <w:tr w14:paraId="656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23" w:type="dxa"/>
            <w:gridSpan w:val="5"/>
            <w:vAlign w:val="center"/>
          </w:tcPr>
          <w:p w14:paraId="4077D5A3">
            <w:pPr>
              <w:widowControl w:val="0"/>
              <w:spacing w:line="276" w:lineRule="auto"/>
              <w:jc w:val="center"/>
              <w:rPr>
                <w:rFonts w:ascii="宋体" w:hAnsi="宋体" w:eastAsia="宋体"/>
                <w:szCs w:val="21"/>
              </w:rPr>
            </w:pPr>
            <w:r>
              <w:rPr>
                <w:rFonts w:hint="eastAsia" w:ascii="宋体" w:hAnsi="宋体" w:eastAsia="宋体"/>
                <w:b/>
                <w:bCs/>
                <w:sz w:val="24"/>
                <w:szCs w:val="24"/>
              </w:rPr>
              <w:t>河南省“一轴一廊”交通基础设施数字化转型升级示范通道及网络项目（南阳市</w:t>
            </w:r>
            <w:r>
              <w:rPr>
                <w:rFonts w:hint="eastAsia" w:ascii="宋体" w:hAnsi="宋体" w:eastAsia="宋体"/>
                <w:b/>
                <w:bCs/>
                <w:sz w:val="24"/>
                <w:szCs w:val="24"/>
                <w:lang w:eastAsia="zh-CN"/>
              </w:rPr>
              <w:t>普通公路</w:t>
            </w:r>
            <w:r>
              <w:rPr>
                <w:rFonts w:hint="eastAsia" w:ascii="宋体" w:hAnsi="宋体" w:eastAsia="宋体"/>
                <w:b/>
                <w:bCs/>
                <w:sz w:val="24"/>
                <w:szCs w:val="24"/>
              </w:rPr>
              <w:t>）设备采购清单</w:t>
            </w:r>
          </w:p>
        </w:tc>
      </w:tr>
      <w:tr w14:paraId="53CE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7" w:type="dxa"/>
            <w:vAlign w:val="center"/>
          </w:tcPr>
          <w:p w14:paraId="77832229">
            <w:pPr>
              <w:widowControl w:val="0"/>
              <w:jc w:val="center"/>
              <w:rPr>
                <w:rFonts w:ascii="宋体" w:hAnsi="宋体" w:eastAsia="宋体"/>
                <w:szCs w:val="21"/>
              </w:rPr>
            </w:pPr>
            <w:r>
              <w:rPr>
                <w:rFonts w:hint="eastAsia" w:ascii="宋体" w:hAnsi="宋体" w:eastAsia="宋体"/>
                <w:b/>
                <w:bCs/>
                <w:szCs w:val="21"/>
              </w:rPr>
              <w:t>序号</w:t>
            </w:r>
          </w:p>
        </w:tc>
        <w:tc>
          <w:tcPr>
            <w:tcW w:w="2001" w:type="dxa"/>
            <w:vAlign w:val="center"/>
          </w:tcPr>
          <w:p w14:paraId="4F1293E3">
            <w:pPr>
              <w:widowControl w:val="0"/>
              <w:jc w:val="center"/>
              <w:rPr>
                <w:rFonts w:ascii="宋体" w:hAnsi="宋体" w:eastAsia="宋体"/>
                <w:szCs w:val="21"/>
              </w:rPr>
            </w:pPr>
            <w:r>
              <w:rPr>
                <w:rFonts w:hint="eastAsia" w:ascii="宋体" w:hAnsi="宋体" w:eastAsia="宋体"/>
                <w:b/>
                <w:bCs/>
                <w:szCs w:val="21"/>
              </w:rPr>
              <w:t>设备名称</w:t>
            </w:r>
          </w:p>
        </w:tc>
        <w:tc>
          <w:tcPr>
            <w:tcW w:w="4576" w:type="dxa"/>
            <w:vAlign w:val="center"/>
          </w:tcPr>
          <w:p w14:paraId="49DB089E">
            <w:pPr>
              <w:widowControl w:val="0"/>
              <w:jc w:val="center"/>
              <w:rPr>
                <w:rFonts w:ascii="宋体" w:hAnsi="宋体" w:eastAsia="宋体"/>
                <w:szCs w:val="21"/>
              </w:rPr>
            </w:pPr>
            <w:r>
              <w:rPr>
                <w:rFonts w:hint="eastAsia" w:ascii="宋体" w:hAnsi="宋体" w:eastAsia="宋体"/>
                <w:b/>
                <w:bCs/>
                <w:szCs w:val="21"/>
              </w:rPr>
              <w:t>技术规格参数</w:t>
            </w:r>
          </w:p>
        </w:tc>
        <w:tc>
          <w:tcPr>
            <w:tcW w:w="960" w:type="dxa"/>
            <w:vAlign w:val="center"/>
          </w:tcPr>
          <w:p w14:paraId="7021E395">
            <w:pPr>
              <w:widowControl w:val="0"/>
              <w:jc w:val="center"/>
              <w:rPr>
                <w:rFonts w:ascii="宋体" w:hAnsi="宋体" w:eastAsia="宋体"/>
                <w:szCs w:val="21"/>
              </w:rPr>
            </w:pPr>
            <w:r>
              <w:rPr>
                <w:rFonts w:hint="eastAsia" w:ascii="宋体" w:hAnsi="宋体" w:eastAsia="宋体"/>
                <w:b/>
                <w:bCs/>
                <w:szCs w:val="21"/>
              </w:rPr>
              <w:t>数量</w:t>
            </w:r>
          </w:p>
        </w:tc>
        <w:tc>
          <w:tcPr>
            <w:tcW w:w="499" w:type="dxa"/>
            <w:vAlign w:val="center"/>
          </w:tcPr>
          <w:p w14:paraId="5813542D">
            <w:pPr>
              <w:widowControl w:val="0"/>
              <w:jc w:val="center"/>
              <w:rPr>
                <w:rFonts w:ascii="宋体" w:hAnsi="宋体" w:eastAsia="宋体"/>
                <w:szCs w:val="21"/>
              </w:rPr>
            </w:pPr>
            <w:r>
              <w:rPr>
                <w:rFonts w:hint="eastAsia" w:ascii="宋体" w:hAnsi="宋体" w:eastAsia="宋体"/>
                <w:b/>
                <w:bCs/>
                <w:szCs w:val="21"/>
              </w:rPr>
              <w:t>单位</w:t>
            </w:r>
          </w:p>
        </w:tc>
      </w:tr>
      <w:tr w14:paraId="2509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89693DB">
            <w:pPr>
              <w:widowControl w:val="0"/>
              <w:spacing w:line="276" w:lineRule="auto"/>
              <w:jc w:val="center"/>
              <w:rPr>
                <w:rFonts w:ascii="宋体" w:hAnsi="宋体" w:eastAsia="宋体"/>
                <w:szCs w:val="21"/>
              </w:rPr>
            </w:pPr>
            <w:r>
              <w:rPr>
                <w:rFonts w:hint="eastAsia" w:ascii="宋体" w:hAnsi="宋体" w:eastAsia="宋体"/>
                <w:szCs w:val="21"/>
              </w:rPr>
              <w:t>1</w:t>
            </w:r>
          </w:p>
        </w:tc>
        <w:tc>
          <w:tcPr>
            <w:tcW w:w="2001" w:type="dxa"/>
            <w:vAlign w:val="center"/>
          </w:tcPr>
          <w:p w14:paraId="4B368D4B">
            <w:pPr>
              <w:widowControl w:val="0"/>
              <w:spacing w:line="276" w:lineRule="auto"/>
              <w:jc w:val="center"/>
              <w:rPr>
                <w:rFonts w:ascii="宋体" w:hAnsi="宋体" w:eastAsia="宋体"/>
                <w:szCs w:val="21"/>
              </w:rPr>
            </w:pPr>
            <w:r>
              <w:rPr>
                <w:rFonts w:hint="eastAsia" w:ascii="宋体" w:hAnsi="宋体" w:eastAsia="宋体"/>
                <w:szCs w:val="21"/>
              </w:rPr>
              <w:t>附着式交通标志（90×60）</w:t>
            </w:r>
          </w:p>
        </w:tc>
        <w:tc>
          <w:tcPr>
            <w:tcW w:w="4576" w:type="dxa"/>
            <w:vAlign w:val="center"/>
          </w:tcPr>
          <w:p w14:paraId="434D0D63">
            <w:pPr>
              <w:widowControl w:val="0"/>
              <w:numPr>
                <w:ilvl w:val="0"/>
                <w:numId w:val="1"/>
              </w:numPr>
              <w:spacing w:line="276" w:lineRule="auto"/>
              <w:jc w:val="both"/>
              <w:rPr>
                <w:rFonts w:hint="eastAsia" w:ascii="宋体" w:hAnsi="宋体" w:eastAsia="宋体"/>
                <w:szCs w:val="21"/>
              </w:rPr>
            </w:pPr>
            <w:r>
              <w:rPr>
                <w:rFonts w:hint="eastAsia" w:ascii="宋体" w:hAnsi="宋体" w:eastAsia="宋体"/>
                <w:szCs w:val="21"/>
              </w:rPr>
              <w:t>附着式标志牌；2、平面尺寸90</w:t>
            </w:r>
            <w:r>
              <w:rPr>
                <w:rFonts w:ascii="宋体" w:hAnsi="宋体" w:eastAsia="宋体"/>
                <w:szCs w:val="21"/>
              </w:rPr>
              <w:t>0mm</w:t>
            </w:r>
            <w:r>
              <w:rPr>
                <w:rFonts w:hint="eastAsia" w:ascii="宋体" w:hAnsi="宋体" w:eastAsia="宋体"/>
                <w:szCs w:val="21"/>
              </w:rPr>
              <w:t>×60</w:t>
            </w:r>
            <w:r>
              <w:rPr>
                <w:rFonts w:ascii="宋体" w:hAnsi="宋体" w:eastAsia="宋体"/>
                <w:szCs w:val="21"/>
              </w:rPr>
              <w:t>0mm</w:t>
            </w:r>
            <w:r>
              <w:rPr>
                <w:rFonts w:hint="eastAsia" w:ascii="宋体" w:hAnsi="宋体" w:eastAsia="宋体"/>
                <w:szCs w:val="21"/>
              </w:rPr>
              <w:t>×3</w:t>
            </w:r>
            <w:r>
              <w:rPr>
                <w:rFonts w:ascii="宋体" w:hAnsi="宋体" w:eastAsia="宋体"/>
                <w:szCs w:val="21"/>
              </w:rPr>
              <w:t>mm</w:t>
            </w:r>
            <w:r>
              <w:rPr>
                <w:rFonts w:hint="eastAsia" w:ascii="宋体" w:hAnsi="宋体" w:eastAsia="宋体"/>
                <w:szCs w:val="21"/>
              </w:rPr>
              <w:t>；3、单件重4</w:t>
            </w:r>
            <w:r>
              <w:rPr>
                <w:rFonts w:ascii="宋体" w:hAnsi="宋体" w:eastAsia="宋体"/>
                <w:szCs w:val="21"/>
              </w:rPr>
              <w:t>.374K</w:t>
            </w:r>
            <w:r>
              <w:rPr>
                <w:rFonts w:hint="eastAsia" w:ascii="宋体" w:hAnsi="宋体" w:eastAsia="宋体"/>
                <w:szCs w:val="21"/>
              </w:rPr>
              <w:t>g；4、材质：3</w:t>
            </w:r>
            <w:r>
              <w:rPr>
                <w:rFonts w:ascii="宋体" w:hAnsi="宋体" w:eastAsia="宋体"/>
                <w:szCs w:val="21"/>
              </w:rPr>
              <w:t>003</w:t>
            </w:r>
            <w:r>
              <w:rPr>
                <w:rFonts w:hint="eastAsia" w:ascii="宋体" w:hAnsi="宋体" w:eastAsia="宋体"/>
                <w:szCs w:val="21"/>
              </w:rPr>
              <w:t>铝。</w:t>
            </w:r>
          </w:p>
          <w:p w14:paraId="4D7D47B5">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48B0D25">
            <w:pPr>
              <w:widowControl w:val="0"/>
              <w:spacing w:line="276" w:lineRule="auto"/>
              <w:jc w:val="center"/>
              <w:rPr>
                <w:rFonts w:ascii="宋体" w:hAnsi="宋体" w:eastAsia="宋体"/>
                <w:szCs w:val="21"/>
              </w:rPr>
            </w:pPr>
            <w:r>
              <w:rPr>
                <w:rFonts w:ascii="宋体" w:hAnsi="宋体" w:eastAsia="宋体"/>
                <w:szCs w:val="21"/>
              </w:rPr>
              <w:t>118</w:t>
            </w:r>
          </w:p>
        </w:tc>
        <w:tc>
          <w:tcPr>
            <w:tcW w:w="499" w:type="dxa"/>
            <w:vAlign w:val="center"/>
          </w:tcPr>
          <w:p w14:paraId="4C4E2956">
            <w:pPr>
              <w:widowControl w:val="0"/>
              <w:spacing w:line="276" w:lineRule="auto"/>
              <w:jc w:val="center"/>
              <w:rPr>
                <w:rFonts w:ascii="宋体" w:hAnsi="宋体" w:eastAsia="宋体"/>
                <w:szCs w:val="21"/>
              </w:rPr>
            </w:pPr>
            <w:r>
              <w:rPr>
                <w:rFonts w:hint="eastAsia" w:ascii="宋体" w:hAnsi="宋体" w:eastAsia="宋体"/>
                <w:szCs w:val="21"/>
              </w:rPr>
              <w:t>套</w:t>
            </w:r>
          </w:p>
        </w:tc>
      </w:tr>
      <w:tr w14:paraId="6B13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9651C33">
            <w:pPr>
              <w:widowControl w:val="0"/>
              <w:spacing w:line="276" w:lineRule="auto"/>
              <w:jc w:val="center"/>
              <w:rPr>
                <w:rFonts w:ascii="宋体" w:hAnsi="宋体" w:eastAsia="宋体"/>
                <w:szCs w:val="21"/>
              </w:rPr>
            </w:pPr>
            <w:r>
              <w:rPr>
                <w:rFonts w:hint="eastAsia" w:ascii="宋体" w:hAnsi="宋体" w:eastAsia="宋体"/>
                <w:szCs w:val="21"/>
              </w:rPr>
              <w:t>2</w:t>
            </w:r>
          </w:p>
        </w:tc>
        <w:tc>
          <w:tcPr>
            <w:tcW w:w="2001" w:type="dxa"/>
            <w:vAlign w:val="center"/>
          </w:tcPr>
          <w:p w14:paraId="6AB51CCE">
            <w:pPr>
              <w:widowControl w:val="0"/>
              <w:spacing w:line="276" w:lineRule="auto"/>
              <w:jc w:val="center"/>
              <w:rPr>
                <w:rFonts w:ascii="宋体" w:hAnsi="宋体" w:eastAsia="宋体"/>
                <w:szCs w:val="21"/>
              </w:rPr>
            </w:pPr>
            <w:r>
              <w:rPr>
                <w:rFonts w:hint="eastAsia" w:ascii="宋体" w:hAnsi="宋体" w:eastAsia="宋体"/>
                <w:szCs w:val="21"/>
              </w:rPr>
              <w:t>流媒体服务器</w:t>
            </w:r>
          </w:p>
        </w:tc>
        <w:tc>
          <w:tcPr>
            <w:tcW w:w="4576" w:type="dxa"/>
            <w:vAlign w:val="center"/>
          </w:tcPr>
          <w:p w14:paraId="141E79C0">
            <w:pPr>
              <w:widowControl w:val="0"/>
              <w:spacing w:line="276" w:lineRule="auto"/>
              <w:jc w:val="both"/>
              <w:rPr>
                <w:rFonts w:ascii="宋体" w:hAnsi="宋体" w:eastAsia="宋体"/>
                <w:color w:val="auto"/>
                <w:szCs w:val="21"/>
              </w:rPr>
            </w:pPr>
            <w:r>
              <w:rPr>
                <w:rFonts w:hint="eastAsia" w:ascii="宋体" w:hAnsi="宋体" w:eastAsia="宋体"/>
                <w:szCs w:val="21"/>
              </w:rPr>
              <w:t>（参数一、二设备均符合要求，设备均要求采用国产化服务器）</w:t>
            </w:r>
            <w:r>
              <w:rPr>
                <w:rFonts w:hint="eastAsia" w:ascii="宋体" w:hAnsi="宋体" w:eastAsia="宋体"/>
                <w:szCs w:val="21"/>
              </w:rPr>
              <w:br w:type="textWrapping"/>
            </w:r>
            <w:r>
              <w:rPr>
                <w:rFonts w:hint="eastAsia" w:ascii="宋体" w:hAnsi="宋体" w:eastAsia="宋体"/>
                <w:szCs w:val="21"/>
              </w:rPr>
              <w:t>①参数一</w:t>
            </w:r>
            <w:r>
              <w:rPr>
                <w:rFonts w:hint="eastAsia" w:ascii="宋体" w:hAnsi="宋体" w:eastAsia="宋体"/>
                <w:szCs w:val="21"/>
              </w:rPr>
              <w:br w:type="textWrapping"/>
            </w:r>
            <w:r>
              <w:rPr>
                <w:rFonts w:hint="eastAsia" w:ascii="宋体" w:hAnsi="宋体" w:eastAsia="宋体"/>
                <w:szCs w:val="21"/>
              </w:rPr>
              <w:t>l、处理器：C86 架构，主频≥2.4GHz，核心数≥24 核64 位，睿频≥3.0GHz；</w:t>
            </w:r>
            <w:r>
              <w:rPr>
                <w:rFonts w:hint="eastAsia" w:ascii="宋体" w:hAnsi="宋体" w:eastAsia="宋体"/>
                <w:szCs w:val="21"/>
              </w:rPr>
              <w:br w:type="textWrapping"/>
            </w:r>
            <w:r>
              <w:rPr>
                <w:rFonts w:hint="eastAsia" w:ascii="宋体" w:hAnsi="宋体" w:eastAsia="宋体"/>
                <w:szCs w:val="21"/>
              </w:rPr>
              <w:t>2、内存：配置≥128GB ECC DDR5 内存，支持≥16 个内存插槽，最大支持扩展至2TB内存；</w:t>
            </w:r>
            <w:r>
              <w:rPr>
                <w:rFonts w:hint="eastAsia" w:ascii="宋体" w:hAnsi="宋体" w:eastAsia="宋体"/>
                <w:szCs w:val="21"/>
              </w:rPr>
              <w:br w:type="textWrapping"/>
            </w:r>
            <w:r>
              <w:rPr>
                <w:rFonts w:hint="eastAsia" w:ascii="宋体" w:hAnsi="宋体" w:eastAsia="宋体"/>
                <w:szCs w:val="21"/>
              </w:rPr>
              <w:t>3、硬盘：配置≥12 个3.5 寸(兼容2.5 寸)热插拔SATA/SAS 硬盘槽位，配置可利用存储空间不少于1T；</w:t>
            </w:r>
            <w:r>
              <w:rPr>
                <w:rFonts w:hint="eastAsia" w:ascii="宋体" w:hAnsi="宋体" w:eastAsia="宋体"/>
                <w:szCs w:val="21"/>
              </w:rPr>
              <w:br w:type="textWrapping"/>
            </w:r>
            <w:r>
              <w:rPr>
                <w:rFonts w:hint="eastAsia" w:ascii="宋体" w:hAnsi="宋体" w:eastAsia="宋体"/>
                <w:szCs w:val="21"/>
              </w:rPr>
              <w:t>4、最多提供≥8 个标准PCIe 插槽；</w:t>
            </w:r>
            <w:r>
              <w:rPr>
                <w:rFonts w:hint="eastAsia" w:ascii="宋体" w:hAnsi="宋体" w:eastAsia="宋体"/>
                <w:szCs w:val="21"/>
              </w:rPr>
              <w:br w:type="textWrapping"/>
            </w:r>
            <w:r>
              <w:rPr>
                <w:rFonts w:hint="eastAsia" w:ascii="宋体" w:hAnsi="宋体" w:eastAsia="宋体"/>
                <w:szCs w:val="21"/>
              </w:rPr>
              <w:t>5、网卡：至少配置2 个万兆光口、2个千兆电口；</w:t>
            </w:r>
            <w:r>
              <w:rPr>
                <w:rFonts w:hint="eastAsia" w:ascii="宋体" w:hAnsi="宋体" w:eastAsia="宋体"/>
                <w:szCs w:val="21"/>
              </w:rPr>
              <w:br w:type="textWrapping"/>
            </w:r>
            <w:r>
              <w:rPr>
                <w:rFonts w:hint="eastAsia" w:ascii="宋体" w:hAnsi="宋体" w:eastAsia="宋体"/>
                <w:szCs w:val="21"/>
              </w:rPr>
              <w:t>6、电源风扇：配置冗余风扇，配置1+1热插拔冗余电源；</w:t>
            </w:r>
            <w:r>
              <w:rPr>
                <w:rFonts w:hint="eastAsia" w:ascii="宋体" w:hAnsi="宋体" w:eastAsia="宋体"/>
                <w:szCs w:val="21"/>
              </w:rPr>
              <w:br w:type="textWrapping"/>
            </w:r>
            <w:r>
              <w:rPr>
                <w:rFonts w:hint="eastAsia" w:ascii="宋体" w:hAnsi="宋体" w:eastAsia="宋体"/>
                <w:szCs w:val="21"/>
              </w:rPr>
              <w:t>7、软件系统：含符合“中国信息安全测评中心的安全可靠测评”的国产化服务器操作系统、数据库平台软件等软件。</w:t>
            </w:r>
            <w:r>
              <w:rPr>
                <w:rFonts w:hint="eastAsia" w:ascii="宋体" w:hAnsi="宋体" w:eastAsia="宋体"/>
                <w:szCs w:val="21"/>
              </w:rPr>
              <w:br w:type="textWrapping"/>
            </w:r>
            <w:r>
              <w:rPr>
                <w:rFonts w:hint="eastAsia" w:ascii="宋体" w:hAnsi="宋体" w:eastAsia="宋体"/>
                <w:szCs w:val="21"/>
              </w:rPr>
              <w:t>②参数二</w:t>
            </w:r>
            <w:r>
              <w:rPr>
                <w:rFonts w:hint="eastAsia" w:ascii="宋体" w:hAnsi="宋体" w:eastAsia="宋体"/>
                <w:szCs w:val="21"/>
              </w:rPr>
              <w:br w:type="textWrapping"/>
            </w:r>
            <w:r>
              <w:rPr>
                <w:rFonts w:hint="eastAsia" w:ascii="宋体" w:hAnsi="宋体" w:eastAsia="宋体"/>
                <w:szCs w:val="21"/>
              </w:rPr>
              <w:t>1、处理器：ARM 架构，核心数≥32 核64 位，CPU基本频率≥2.6GHz；</w:t>
            </w:r>
            <w:r>
              <w:rPr>
                <w:rFonts w:hint="eastAsia" w:ascii="宋体" w:hAnsi="宋体" w:eastAsia="宋体"/>
                <w:szCs w:val="21"/>
              </w:rPr>
              <w:br w:type="textWrapping"/>
            </w:r>
            <w:r>
              <w:rPr>
                <w:rFonts w:hint="eastAsia" w:ascii="宋体" w:hAnsi="宋体" w:eastAsia="宋体"/>
                <w:szCs w:val="21"/>
              </w:rPr>
              <w:t>2、内存：配置≥128GB ECC DDR4内存，支持≥16 个内存插槽，最大支持扩展至2TB内存；</w:t>
            </w:r>
            <w:r>
              <w:rPr>
                <w:rFonts w:hint="eastAsia" w:ascii="宋体" w:hAnsi="宋体" w:eastAsia="宋体"/>
                <w:szCs w:val="21"/>
              </w:rPr>
              <w:br w:type="textWrapping"/>
            </w:r>
            <w:r>
              <w:rPr>
                <w:rFonts w:hint="eastAsia" w:ascii="宋体" w:hAnsi="宋体" w:eastAsia="宋体"/>
                <w:szCs w:val="21"/>
              </w:rPr>
              <w:t>3、硬盘：配置≥12 个3.5寸(兼容2.5 寸)热插拔SATA/SAS 硬盘槽位，配置可利用存储空间不少于1T；</w:t>
            </w:r>
            <w:r>
              <w:rPr>
                <w:rFonts w:hint="eastAsia" w:ascii="宋体" w:hAnsi="宋体" w:eastAsia="宋体"/>
                <w:szCs w:val="21"/>
              </w:rPr>
              <w:br w:type="textWrapping"/>
            </w:r>
            <w:r>
              <w:rPr>
                <w:rFonts w:hint="eastAsia" w:ascii="宋体" w:hAnsi="宋体" w:eastAsia="宋体"/>
                <w:szCs w:val="21"/>
              </w:rPr>
              <w:t>4、最多提供≥8 个标准PCIe 插槽；</w:t>
            </w:r>
            <w:r>
              <w:rPr>
                <w:rFonts w:hint="eastAsia" w:ascii="宋体" w:hAnsi="宋体" w:eastAsia="宋体"/>
                <w:szCs w:val="21"/>
              </w:rPr>
              <w:br w:type="textWrapping"/>
            </w:r>
            <w:r>
              <w:rPr>
                <w:rFonts w:hint="eastAsia" w:ascii="宋体" w:hAnsi="宋体" w:eastAsia="宋体"/>
                <w:szCs w:val="21"/>
              </w:rPr>
              <w:t>5、网卡：至少配置2 个万兆光口、2个千兆电口；</w:t>
            </w:r>
            <w:r>
              <w:rPr>
                <w:rFonts w:hint="eastAsia" w:ascii="宋体" w:hAnsi="宋体" w:eastAsia="宋体"/>
                <w:szCs w:val="21"/>
              </w:rPr>
              <w:br w:type="textWrapping"/>
            </w:r>
            <w:r>
              <w:rPr>
                <w:rFonts w:hint="eastAsia" w:ascii="宋体" w:hAnsi="宋体" w:eastAsia="宋体"/>
                <w:szCs w:val="21"/>
              </w:rPr>
              <w:t>6、电源风扇：配置冗余风扇，配置1+1热插拔冗余电源；</w:t>
            </w:r>
            <w:r>
              <w:rPr>
                <w:rFonts w:hint="eastAsia" w:ascii="宋体" w:hAnsi="宋体" w:eastAsia="宋体"/>
                <w:szCs w:val="21"/>
              </w:rPr>
              <w:br w:type="textWrapping"/>
            </w:r>
            <w:r>
              <w:rPr>
                <w:rFonts w:hint="eastAsia" w:ascii="宋体" w:hAnsi="宋体" w:eastAsia="宋体"/>
                <w:szCs w:val="21"/>
              </w:rPr>
              <w:t>7、软件系统：含符合“中国信息安全测评中心的安全可靠测评”的国产化服务器操作系统、数据库平台软件等软件。</w:t>
            </w:r>
          </w:p>
          <w:p w14:paraId="038C521F">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1E0488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FEE9EDC">
            <w:pPr>
              <w:widowControl w:val="0"/>
              <w:spacing w:line="276" w:lineRule="auto"/>
              <w:jc w:val="center"/>
              <w:rPr>
                <w:rFonts w:ascii="宋体" w:hAnsi="宋体" w:eastAsia="宋体"/>
                <w:szCs w:val="21"/>
              </w:rPr>
            </w:pPr>
            <w:r>
              <w:rPr>
                <w:rFonts w:hint="eastAsia" w:ascii="宋体" w:hAnsi="宋体" w:eastAsia="宋体"/>
                <w:szCs w:val="21"/>
              </w:rPr>
              <w:t>台</w:t>
            </w:r>
          </w:p>
        </w:tc>
      </w:tr>
      <w:tr w14:paraId="66F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F80B917">
            <w:pPr>
              <w:widowControl w:val="0"/>
              <w:spacing w:line="276" w:lineRule="auto"/>
              <w:jc w:val="center"/>
              <w:rPr>
                <w:rFonts w:ascii="宋体" w:hAnsi="宋体" w:eastAsia="宋体"/>
                <w:szCs w:val="21"/>
              </w:rPr>
            </w:pPr>
            <w:r>
              <w:rPr>
                <w:rFonts w:hint="eastAsia" w:ascii="宋体" w:hAnsi="宋体" w:eastAsia="宋体"/>
                <w:szCs w:val="21"/>
              </w:rPr>
              <w:t>3</w:t>
            </w:r>
          </w:p>
        </w:tc>
        <w:tc>
          <w:tcPr>
            <w:tcW w:w="2001" w:type="dxa"/>
            <w:vAlign w:val="center"/>
          </w:tcPr>
          <w:p w14:paraId="5365D2A7">
            <w:pPr>
              <w:widowControl w:val="0"/>
              <w:spacing w:line="276" w:lineRule="auto"/>
              <w:jc w:val="center"/>
              <w:rPr>
                <w:rFonts w:ascii="宋体" w:hAnsi="宋体" w:eastAsia="宋体"/>
                <w:szCs w:val="21"/>
              </w:rPr>
            </w:pPr>
            <w:r>
              <w:rPr>
                <w:rFonts w:hint="eastAsia" w:ascii="宋体" w:hAnsi="宋体" w:eastAsia="宋体"/>
                <w:szCs w:val="21"/>
              </w:rPr>
              <w:t>视频管理服务器</w:t>
            </w:r>
          </w:p>
        </w:tc>
        <w:tc>
          <w:tcPr>
            <w:tcW w:w="4576" w:type="dxa"/>
            <w:vAlign w:val="center"/>
          </w:tcPr>
          <w:p w14:paraId="6616C988">
            <w:pPr>
              <w:widowControl w:val="0"/>
              <w:spacing w:line="276" w:lineRule="auto"/>
              <w:jc w:val="both"/>
              <w:rPr>
                <w:rFonts w:ascii="宋体" w:hAnsi="宋体" w:eastAsia="宋体"/>
                <w:szCs w:val="21"/>
              </w:rPr>
            </w:pPr>
            <w:r>
              <w:rPr>
                <w:rFonts w:hint="eastAsia" w:ascii="宋体" w:hAnsi="宋体" w:eastAsia="宋体"/>
                <w:szCs w:val="21"/>
              </w:rPr>
              <w:t>（参数一、二设备均符合要求，设备均要求采用国产化服务器））</w:t>
            </w:r>
          </w:p>
          <w:p w14:paraId="31DA58D8">
            <w:pPr>
              <w:widowControl w:val="0"/>
              <w:spacing w:line="276" w:lineRule="auto"/>
              <w:jc w:val="both"/>
              <w:rPr>
                <w:rFonts w:ascii="宋体" w:hAnsi="宋体" w:eastAsia="宋体"/>
                <w:szCs w:val="21"/>
              </w:rPr>
            </w:pPr>
            <w:r>
              <w:rPr>
                <w:rFonts w:hint="eastAsia" w:ascii="宋体" w:hAnsi="宋体" w:eastAsia="宋体"/>
                <w:szCs w:val="21"/>
              </w:rPr>
              <w:br w:type="page"/>
            </w: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hint="eastAsia" w:ascii="宋体" w:hAnsi="宋体" w:eastAsia="宋体"/>
                <w:szCs w:val="21"/>
              </w:rPr>
              <w:t>参数一</w:t>
            </w:r>
          </w:p>
          <w:p w14:paraId="7959D07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l、处理器：C86 架构，主频≥2.4GHz，核心数≥24 核64 位，睿频≥3.0GHz；</w:t>
            </w:r>
            <w:r>
              <w:rPr>
                <w:rFonts w:hint="eastAsia" w:ascii="宋体" w:hAnsi="宋体" w:eastAsia="宋体"/>
                <w:szCs w:val="21"/>
              </w:rPr>
              <w:br w:type="page"/>
            </w:r>
          </w:p>
          <w:p w14:paraId="3DA6A823">
            <w:pPr>
              <w:widowControl w:val="0"/>
              <w:spacing w:line="276" w:lineRule="auto"/>
              <w:jc w:val="both"/>
              <w:rPr>
                <w:rFonts w:ascii="宋体" w:hAnsi="宋体" w:eastAsia="宋体"/>
                <w:szCs w:val="21"/>
              </w:rPr>
            </w:pPr>
            <w:r>
              <w:rPr>
                <w:rFonts w:hint="eastAsia" w:ascii="宋体" w:hAnsi="宋体" w:eastAsia="宋体"/>
                <w:szCs w:val="21"/>
              </w:rPr>
              <w:t>2、内存：配置≥256GB ECC DDR5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20D816F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71593F6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26084223">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13E94C27">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p>
          <w:p w14:paraId="2D8F97F3">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7、客户端应用软件：包含国产化系统所需要的客户端应用软件；</w:t>
            </w:r>
          </w:p>
          <w:p w14:paraId="2B7F5F8E">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8、含符合“中国信息安全测评中心的安全可靠测评”的国产正版操作系统；</w:t>
            </w:r>
          </w:p>
          <w:p w14:paraId="70F27D58">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②参数二</w:t>
            </w:r>
          </w:p>
          <w:p w14:paraId="0E5762E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l、处理器：ARM 架构，核心数≥32 核64 位，CPU 基本频率≥2.6GHz；</w:t>
            </w:r>
          </w:p>
          <w:p w14:paraId="0A5F31D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2、内存：配置≥256GB ECC DDR4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6C882A02">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1D49BEE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1B2B95E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6B30F0FB">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p>
          <w:p w14:paraId="4E53F1D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7、含符合“中国信息安全测评中心的安全可靠测评”的国产正版操作系统；</w:t>
            </w:r>
          </w:p>
          <w:p w14:paraId="5DBA04B3">
            <w:pPr>
              <w:widowControl w:val="0"/>
              <w:spacing w:line="276" w:lineRule="auto"/>
              <w:jc w:val="both"/>
              <w:rPr>
                <w:rFonts w:ascii="宋体" w:hAnsi="宋体" w:eastAsia="宋体"/>
                <w:szCs w:val="21"/>
              </w:rPr>
            </w:pPr>
            <w:r>
              <w:rPr>
                <w:rFonts w:hint="eastAsia" w:ascii="宋体" w:hAnsi="宋体" w:eastAsia="宋体"/>
                <w:szCs w:val="21"/>
              </w:rPr>
              <w:t>8、客户端应用软件：包含国产化系统所需要的客户端应用软件。</w:t>
            </w:r>
          </w:p>
          <w:p w14:paraId="686B4C20">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B794F0E">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C1BD2C2">
            <w:pPr>
              <w:widowControl w:val="0"/>
              <w:spacing w:line="276" w:lineRule="auto"/>
              <w:jc w:val="center"/>
              <w:rPr>
                <w:rFonts w:ascii="宋体" w:hAnsi="宋体" w:eastAsia="宋体"/>
                <w:szCs w:val="21"/>
              </w:rPr>
            </w:pPr>
            <w:r>
              <w:rPr>
                <w:rFonts w:hint="eastAsia" w:ascii="宋体" w:hAnsi="宋体" w:eastAsia="宋体"/>
                <w:szCs w:val="21"/>
              </w:rPr>
              <w:t>台</w:t>
            </w:r>
          </w:p>
        </w:tc>
      </w:tr>
      <w:tr w14:paraId="65E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A23FEBC">
            <w:pPr>
              <w:widowControl w:val="0"/>
              <w:spacing w:line="276" w:lineRule="auto"/>
              <w:jc w:val="center"/>
              <w:rPr>
                <w:rFonts w:ascii="宋体" w:hAnsi="宋体" w:eastAsia="宋体"/>
                <w:szCs w:val="21"/>
              </w:rPr>
            </w:pPr>
            <w:r>
              <w:rPr>
                <w:rFonts w:hint="eastAsia" w:ascii="宋体" w:hAnsi="宋体" w:eastAsia="宋体"/>
                <w:szCs w:val="21"/>
              </w:rPr>
              <w:t>4</w:t>
            </w:r>
          </w:p>
        </w:tc>
        <w:tc>
          <w:tcPr>
            <w:tcW w:w="2001" w:type="dxa"/>
            <w:vAlign w:val="center"/>
          </w:tcPr>
          <w:p w14:paraId="4110F6E1">
            <w:pPr>
              <w:widowControl w:val="0"/>
              <w:spacing w:line="276" w:lineRule="auto"/>
              <w:jc w:val="center"/>
              <w:rPr>
                <w:rFonts w:ascii="宋体" w:hAnsi="宋体" w:eastAsia="宋体"/>
                <w:szCs w:val="21"/>
              </w:rPr>
            </w:pPr>
            <w:r>
              <w:rPr>
                <w:rFonts w:hint="eastAsia" w:ascii="宋体" w:hAnsi="宋体" w:eastAsia="宋体"/>
                <w:szCs w:val="21"/>
              </w:rPr>
              <w:t>应用服务器</w:t>
            </w:r>
          </w:p>
        </w:tc>
        <w:tc>
          <w:tcPr>
            <w:tcW w:w="4576" w:type="dxa"/>
            <w:vAlign w:val="center"/>
          </w:tcPr>
          <w:p w14:paraId="652ED036">
            <w:pPr>
              <w:widowControl w:val="0"/>
              <w:spacing w:line="276" w:lineRule="auto"/>
              <w:jc w:val="both"/>
              <w:rPr>
                <w:rFonts w:ascii="宋体" w:hAnsi="宋体" w:eastAsia="宋体"/>
                <w:szCs w:val="21"/>
              </w:rPr>
            </w:pPr>
            <w:r>
              <w:rPr>
                <w:rFonts w:hint="eastAsia" w:ascii="宋体" w:hAnsi="宋体" w:eastAsia="宋体"/>
                <w:szCs w:val="21"/>
              </w:rPr>
              <w:t>（参数一、二设备均符合要求，设备均要求采用国产化服务器）</w:t>
            </w:r>
          </w:p>
          <w:p w14:paraId="71121CFB">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①参数一</w:t>
            </w:r>
          </w:p>
          <w:p w14:paraId="6B8AE4B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l、处理器：C86 架构，主频≥2.4GHz，核心数≥24 核64 位，睿频≥3.0GHz；</w:t>
            </w:r>
            <w:r>
              <w:rPr>
                <w:rFonts w:hint="eastAsia" w:ascii="宋体" w:hAnsi="宋体" w:eastAsia="宋体"/>
                <w:szCs w:val="21"/>
              </w:rPr>
              <w:br w:type="page"/>
            </w:r>
          </w:p>
          <w:p w14:paraId="40976C3C">
            <w:pPr>
              <w:widowControl w:val="0"/>
              <w:spacing w:line="276" w:lineRule="auto"/>
              <w:jc w:val="both"/>
              <w:rPr>
                <w:rFonts w:ascii="宋体" w:hAnsi="宋体" w:eastAsia="宋体"/>
                <w:szCs w:val="21"/>
              </w:rPr>
            </w:pPr>
            <w:r>
              <w:rPr>
                <w:rFonts w:hint="eastAsia" w:ascii="宋体" w:hAnsi="宋体" w:eastAsia="宋体"/>
                <w:szCs w:val="21"/>
              </w:rPr>
              <w:t>2、内存：配置≥128GB ECC DDR5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17F7677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27679CE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22840CC8">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696125EC">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p>
          <w:p w14:paraId="1F05A81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7、软件系统：含符合“中国信息安全测评中心的安全可靠测评”的国产化服务器操作</w:t>
            </w:r>
            <w:r>
              <w:rPr>
                <w:rFonts w:hint="eastAsia" w:ascii="宋体" w:hAnsi="宋体" w:eastAsia="宋体"/>
                <w:szCs w:val="21"/>
              </w:rPr>
              <w:br w:type="page"/>
            </w:r>
            <w:r>
              <w:rPr>
                <w:rFonts w:hint="eastAsia" w:ascii="宋体" w:hAnsi="宋体" w:eastAsia="宋体"/>
                <w:szCs w:val="21"/>
              </w:rPr>
              <w:t>系统、数据库平台软件等软件。</w:t>
            </w:r>
          </w:p>
          <w:p w14:paraId="50B0F5DE">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②参数二</w:t>
            </w:r>
          </w:p>
          <w:p w14:paraId="0CA846C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l、处理器：ARM 架构，核心数≥32 核64 位，CPU 基本频率≥2.6GHz；</w:t>
            </w:r>
            <w:r>
              <w:rPr>
                <w:rFonts w:hint="eastAsia" w:ascii="宋体" w:hAnsi="宋体" w:eastAsia="宋体"/>
                <w:szCs w:val="21"/>
              </w:rPr>
              <w:br w:type="page"/>
            </w:r>
          </w:p>
          <w:p w14:paraId="15AC50A3">
            <w:pPr>
              <w:widowControl w:val="0"/>
              <w:spacing w:line="276" w:lineRule="auto"/>
              <w:jc w:val="both"/>
              <w:rPr>
                <w:rFonts w:ascii="宋体" w:hAnsi="宋体" w:eastAsia="宋体"/>
                <w:szCs w:val="21"/>
              </w:rPr>
            </w:pPr>
            <w:r>
              <w:rPr>
                <w:rFonts w:hint="eastAsia" w:ascii="宋体" w:hAnsi="宋体" w:eastAsia="宋体"/>
                <w:szCs w:val="21"/>
              </w:rPr>
              <w:t>2、内存：配置≥128GB ECC DDR4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7143311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337C3F1C">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787C4FD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3A4802F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r>
              <w:rPr>
                <w:rFonts w:hint="eastAsia" w:ascii="宋体" w:hAnsi="宋体" w:eastAsia="宋体"/>
                <w:szCs w:val="21"/>
              </w:rPr>
              <w:br w:type="page"/>
            </w:r>
            <w:r>
              <w:rPr>
                <w:rFonts w:hint="eastAsia" w:ascii="宋体" w:hAnsi="宋体" w:eastAsia="宋体"/>
                <w:szCs w:val="21"/>
              </w:rPr>
              <w:t>；</w:t>
            </w:r>
          </w:p>
          <w:p w14:paraId="36B8D8C2">
            <w:pPr>
              <w:widowControl w:val="0"/>
              <w:spacing w:line="276" w:lineRule="auto"/>
              <w:jc w:val="both"/>
              <w:rPr>
                <w:rFonts w:ascii="宋体" w:hAnsi="宋体" w:eastAsia="宋体"/>
                <w:szCs w:val="21"/>
              </w:rPr>
            </w:pPr>
            <w:r>
              <w:rPr>
                <w:rFonts w:hint="eastAsia" w:ascii="宋体" w:hAnsi="宋体" w:eastAsia="宋体"/>
                <w:szCs w:val="21"/>
              </w:rPr>
              <w:t>7、软件系统：含符合“中国信息安全测评中心的安全可靠测评”的国产化服务器操作</w:t>
            </w:r>
            <w:r>
              <w:rPr>
                <w:rFonts w:hint="eastAsia" w:ascii="宋体" w:hAnsi="宋体" w:eastAsia="宋体"/>
                <w:szCs w:val="21"/>
              </w:rPr>
              <w:br w:type="page"/>
            </w:r>
            <w:r>
              <w:rPr>
                <w:rFonts w:hint="eastAsia" w:ascii="宋体" w:hAnsi="宋体" w:eastAsia="宋体"/>
                <w:szCs w:val="21"/>
              </w:rPr>
              <w:t>系统、数据库平台软件等软件。</w:t>
            </w:r>
            <w:r>
              <w:rPr>
                <w:rFonts w:hint="eastAsia" w:ascii="宋体" w:hAnsi="宋体" w:eastAsia="宋体"/>
                <w:szCs w:val="21"/>
              </w:rPr>
              <w:br w:type="page"/>
            </w:r>
            <w:r>
              <w:rPr>
                <w:rFonts w:ascii="宋体" w:hAnsi="宋体" w:eastAsia="宋体"/>
                <w:szCs w:val="21"/>
              </w:rPr>
              <w:t xml:space="preserve"> </w:t>
            </w:r>
          </w:p>
          <w:p w14:paraId="26F0EE8D">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1CE8B5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C995E5C">
            <w:pPr>
              <w:widowControl w:val="0"/>
              <w:spacing w:line="276" w:lineRule="auto"/>
              <w:jc w:val="center"/>
              <w:rPr>
                <w:rFonts w:ascii="宋体" w:hAnsi="宋体" w:eastAsia="宋体"/>
                <w:szCs w:val="21"/>
              </w:rPr>
            </w:pPr>
            <w:r>
              <w:rPr>
                <w:rFonts w:hint="eastAsia" w:ascii="宋体" w:hAnsi="宋体" w:eastAsia="宋体"/>
                <w:szCs w:val="21"/>
              </w:rPr>
              <w:t>台</w:t>
            </w:r>
          </w:p>
        </w:tc>
      </w:tr>
      <w:tr w14:paraId="6A97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38BDDAD">
            <w:pPr>
              <w:widowControl w:val="0"/>
              <w:spacing w:line="276" w:lineRule="auto"/>
              <w:jc w:val="center"/>
              <w:rPr>
                <w:rFonts w:ascii="宋体" w:hAnsi="宋体" w:eastAsia="宋体"/>
                <w:szCs w:val="21"/>
              </w:rPr>
            </w:pPr>
            <w:r>
              <w:rPr>
                <w:rFonts w:hint="eastAsia" w:ascii="宋体" w:hAnsi="宋体" w:eastAsia="宋体"/>
                <w:szCs w:val="21"/>
              </w:rPr>
              <w:t>5</w:t>
            </w:r>
          </w:p>
        </w:tc>
        <w:tc>
          <w:tcPr>
            <w:tcW w:w="2001" w:type="dxa"/>
            <w:vAlign w:val="center"/>
          </w:tcPr>
          <w:p w14:paraId="7BD6516D">
            <w:pPr>
              <w:widowControl w:val="0"/>
              <w:spacing w:line="276" w:lineRule="auto"/>
              <w:jc w:val="center"/>
              <w:rPr>
                <w:rFonts w:ascii="宋体" w:hAnsi="宋体" w:eastAsia="宋体"/>
                <w:szCs w:val="21"/>
              </w:rPr>
            </w:pPr>
            <w:r>
              <w:rPr>
                <w:rFonts w:hint="eastAsia" w:ascii="宋体" w:hAnsi="宋体" w:eastAsia="宋体"/>
                <w:szCs w:val="21"/>
              </w:rPr>
              <w:t>视频事件分析服务器（128路含软件）</w:t>
            </w:r>
          </w:p>
        </w:tc>
        <w:tc>
          <w:tcPr>
            <w:tcW w:w="4576" w:type="dxa"/>
            <w:vAlign w:val="center"/>
          </w:tcPr>
          <w:p w14:paraId="1D80CB6C">
            <w:pPr>
              <w:widowControl w:val="0"/>
              <w:spacing w:line="276" w:lineRule="auto"/>
              <w:jc w:val="both"/>
              <w:rPr>
                <w:rFonts w:ascii="宋体" w:hAnsi="宋体" w:eastAsia="宋体"/>
                <w:szCs w:val="21"/>
              </w:rPr>
            </w:pPr>
            <w:r>
              <w:rPr>
                <w:rFonts w:hint="eastAsia" w:ascii="宋体" w:hAnsi="宋体" w:eastAsia="宋体"/>
                <w:szCs w:val="21"/>
              </w:rPr>
              <w:t>1、至少具有4 个RJ45/1000M 自适应网络接口、VGA 接口(1 个)、USB 接口(2 个</w:t>
            </w:r>
            <w:r>
              <w:rPr>
                <w:rFonts w:hint="eastAsia" w:ascii="宋体" w:hAnsi="宋体" w:eastAsia="宋体"/>
                <w:szCs w:val="21"/>
              </w:rPr>
              <w:br w:type="page"/>
            </w:r>
            <w:r>
              <w:rPr>
                <w:rFonts w:hint="eastAsia" w:ascii="宋体" w:hAnsi="宋体" w:eastAsia="宋体"/>
                <w:szCs w:val="21"/>
              </w:rPr>
              <w:t>USB2.0，4 个USB3.0)；</w:t>
            </w:r>
            <w:r>
              <w:rPr>
                <w:rFonts w:hint="eastAsia" w:ascii="宋体" w:hAnsi="宋体" w:eastAsia="宋体"/>
                <w:szCs w:val="21"/>
              </w:rPr>
              <w:br w:type="page"/>
            </w:r>
          </w:p>
          <w:p w14:paraId="1A3D2ABA">
            <w:pPr>
              <w:widowControl w:val="0"/>
              <w:spacing w:line="276" w:lineRule="auto"/>
              <w:jc w:val="both"/>
              <w:rPr>
                <w:rFonts w:ascii="宋体" w:hAnsi="宋体" w:eastAsia="宋体"/>
                <w:szCs w:val="21"/>
              </w:rPr>
            </w:pPr>
            <w:r>
              <w:rPr>
                <w:rFonts w:hint="eastAsia" w:ascii="宋体" w:hAnsi="宋体" w:eastAsia="宋体"/>
                <w:szCs w:val="21"/>
              </w:rPr>
              <w:t>2、可接入不低于32/64/80/128路高清网络摄像机（400W 像素）进行事件检测和交通</w:t>
            </w:r>
            <w:r>
              <w:rPr>
                <w:rFonts w:hint="eastAsia" w:ascii="宋体" w:hAnsi="宋体" w:eastAsia="宋体"/>
                <w:szCs w:val="21"/>
              </w:rPr>
              <w:br w:type="page"/>
            </w:r>
            <w:r>
              <w:rPr>
                <w:rFonts w:hint="eastAsia" w:ascii="宋体" w:hAnsi="宋体" w:eastAsia="宋体"/>
                <w:szCs w:val="21"/>
              </w:rPr>
              <w:t>参数采集，可对接入的每一路视频同时进行多个事件检测和交通参数采集；</w:t>
            </w:r>
          </w:p>
          <w:p w14:paraId="53ECD69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3、设备具有热插拔1+1 冗余电源模块，更换电源不影响设备正常运行；</w:t>
            </w:r>
          </w:p>
          <w:p w14:paraId="2E4C4B4D">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4、可在视频中叠加通道名称、时间、日期等信息，且信息的叠加位置可设置；</w:t>
            </w:r>
          </w:p>
          <w:p w14:paraId="0E136A79">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5、可实现对前端设备的跨网段访问功能；</w:t>
            </w:r>
          </w:p>
          <w:p w14:paraId="404053F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6、能够通过web 或客户端软件对设备各个通道的视频图像进行预览；</w:t>
            </w:r>
          </w:p>
          <w:p w14:paraId="3DB59D1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7、支持交通事件发生后记录对应的事件信息、抓拍图片数据和相关录像片段；</w:t>
            </w:r>
          </w:p>
          <w:p w14:paraId="553D54A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8、可对行人、停车、抛洒物、拥堵、逆行、压线、变道、团雾能见度、占用应急车</w:t>
            </w:r>
            <w:r>
              <w:rPr>
                <w:rFonts w:hint="eastAsia" w:ascii="宋体" w:hAnsi="宋体" w:eastAsia="宋体"/>
                <w:szCs w:val="21"/>
              </w:rPr>
              <w:br w:type="page"/>
            </w:r>
            <w:r>
              <w:rPr>
                <w:rFonts w:hint="eastAsia" w:ascii="宋体" w:hAnsi="宋体" w:eastAsia="宋体"/>
                <w:szCs w:val="21"/>
              </w:rPr>
              <w:t>道、事故检测、抛锚检测等事件进行检测；</w:t>
            </w:r>
          </w:p>
          <w:p w14:paraId="484ED8AD">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9、支持多预置点事件检测，可设置预置点巡航计划，最大支持16 个预置点；</w:t>
            </w:r>
          </w:p>
          <w:p w14:paraId="35F689F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10、支持路障、施工检测；</w:t>
            </w:r>
          </w:p>
          <w:p w14:paraId="5DF9CFD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11、可对检测区域中经过断面的车流量进行统计，支持按照机动车类型区分大中型货</w:t>
            </w:r>
            <w:r>
              <w:rPr>
                <w:rFonts w:hint="eastAsia" w:ascii="宋体" w:hAnsi="宋体" w:eastAsia="宋体"/>
                <w:szCs w:val="21"/>
              </w:rPr>
              <w:br w:type="page"/>
            </w:r>
            <w:r>
              <w:rPr>
                <w:rFonts w:hint="eastAsia" w:ascii="宋体" w:hAnsi="宋体" w:eastAsia="宋体"/>
                <w:szCs w:val="21"/>
              </w:rPr>
              <w:t>车、小型货车和轿车；</w:t>
            </w:r>
            <w:r>
              <w:rPr>
                <w:rFonts w:hint="eastAsia" w:ascii="宋体" w:hAnsi="宋体" w:eastAsia="宋体"/>
                <w:szCs w:val="21"/>
              </w:rPr>
              <w:br w:type="page"/>
            </w:r>
          </w:p>
          <w:p w14:paraId="2AF69D27">
            <w:pPr>
              <w:widowControl w:val="0"/>
              <w:spacing w:line="276" w:lineRule="auto"/>
              <w:jc w:val="both"/>
              <w:rPr>
                <w:rFonts w:ascii="宋体" w:hAnsi="宋体" w:eastAsia="宋体"/>
                <w:szCs w:val="21"/>
              </w:rPr>
            </w:pPr>
            <w:r>
              <w:rPr>
                <w:rFonts w:hint="eastAsia" w:ascii="宋体" w:hAnsi="宋体" w:eastAsia="宋体"/>
                <w:szCs w:val="21"/>
              </w:rPr>
              <w:t>12、支持平均速度、车头时距、车头间距、车道占有率、排队长度统计；</w:t>
            </w:r>
          </w:p>
          <w:p w14:paraId="50EFCC9A">
            <w:pPr>
              <w:widowControl w:val="0"/>
              <w:spacing w:line="276" w:lineRule="auto"/>
              <w:jc w:val="both"/>
              <w:rPr>
                <w:rFonts w:ascii="宋体" w:hAnsi="宋体" w:eastAsia="宋体"/>
                <w:color w:val="auto"/>
                <w:szCs w:val="21"/>
              </w:rPr>
            </w:pPr>
            <w:r>
              <w:rPr>
                <w:rFonts w:hint="eastAsia" w:ascii="宋体" w:hAnsi="宋体" w:eastAsia="宋体"/>
                <w:szCs w:val="21"/>
              </w:rPr>
              <w:br w:type="page"/>
            </w:r>
            <w:r>
              <w:rPr>
                <w:rFonts w:hint="eastAsia" w:ascii="宋体" w:hAnsi="宋体" w:eastAsia="宋体"/>
                <w:szCs w:val="21"/>
              </w:rPr>
              <w:t>13、根据交通参数采集和统计数据，分析交通道路通行状态，包含畅通、缓慢及拥堵</w:t>
            </w:r>
            <w:r>
              <w:rPr>
                <w:rFonts w:hint="eastAsia" w:ascii="宋体" w:hAnsi="宋体" w:eastAsia="宋体"/>
                <w:szCs w:val="21"/>
              </w:rPr>
              <w:br w:type="page"/>
            </w:r>
            <w:r>
              <w:rPr>
                <w:rFonts w:hint="eastAsia" w:ascii="宋体" w:hAnsi="宋体" w:eastAsia="宋体"/>
                <w:szCs w:val="21"/>
              </w:rPr>
              <w:t>三种状态；</w:t>
            </w:r>
            <w:r>
              <w:rPr>
                <w:rFonts w:hint="eastAsia" w:ascii="宋体" w:hAnsi="宋体" w:eastAsia="宋体"/>
                <w:szCs w:val="21"/>
              </w:rPr>
              <w:br w:type="page"/>
            </w:r>
            <w:r>
              <w:rPr>
                <w:rFonts w:hint="eastAsia" w:ascii="宋体" w:hAnsi="宋体" w:eastAsia="宋体"/>
                <w:szCs w:val="21"/>
              </w:rPr>
              <w:t>14、具备根据实际使用场景选择事件类别进行复核功能，并对各复核参数进行精细化</w:t>
            </w:r>
            <w:r>
              <w:rPr>
                <w:rFonts w:hint="eastAsia" w:ascii="宋体" w:hAnsi="宋体" w:eastAsia="宋体"/>
                <w:szCs w:val="21"/>
              </w:rPr>
              <w:br w:type="page"/>
            </w:r>
            <w:r>
              <w:rPr>
                <w:rFonts w:hint="eastAsia" w:ascii="宋体" w:hAnsi="宋体" w:eastAsia="宋体"/>
                <w:szCs w:val="21"/>
              </w:rPr>
              <w:t>配置。结合事件检测复核规则，过滤误报事件；结合历史事件，对短时间内的重</w:t>
            </w:r>
            <w:r>
              <w:rPr>
                <w:rFonts w:hint="eastAsia" w:ascii="宋体" w:hAnsi="宋体" w:eastAsia="宋体"/>
                <w:szCs w:val="21"/>
              </w:rPr>
              <w:br w:type="page"/>
            </w:r>
            <w:r>
              <w:rPr>
                <w:rFonts w:hint="eastAsia" w:ascii="宋体" w:hAnsi="宋体" w:eastAsia="宋体"/>
                <w:szCs w:val="21"/>
              </w:rPr>
              <w:t>复报警进行过滤，提升报警</w:t>
            </w:r>
            <w:r>
              <w:rPr>
                <w:rFonts w:hint="eastAsia" w:ascii="宋体" w:hAnsi="宋体" w:eastAsia="宋体"/>
                <w:color w:val="auto"/>
                <w:szCs w:val="21"/>
              </w:rPr>
              <w:t>的精准度。</w:t>
            </w:r>
          </w:p>
          <w:p w14:paraId="73ADC6DA">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26C988C">
            <w:pPr>
              <w:widowControl w:val="0"/>
              <w:spacing w:line="276" w:lineRule="auto"/>
              <w:jc w:val="center"/>
              <w:rPr>
                <w:rFonts w:ascii="宋体" w:hAnsi="宋体" w:eastAsia="宋体"/>
                <w:szCs w:val="21"/>
              </w:rPr>
            </w:pPr>
            <w:r>
              <w:rPr>
                <w:rFonts w:ascii="宋体" w:hAnsi="宋体" w:eastAsia="宋体"/>
                <w:szCs w:val="21"/>
              </w:rPr>
              <w:t>2</w:t>
            </w:r>
          </w:p>
        </w:tc>
        <w:tc>
          <w:tcPr>
            <w:tcW w:w="499" w:type="dxa"/>
            <w:vAlign w:val="center"/>
          </w:tcPr>
          <w:p w14:paraId="7C407E7B">
            <w:pPr>
              <w:widowControl w:val="0"/>
              <w:spacing w:line="276" w:lineRule="auto"/>
              <w:jc w:val="center"/>
              <w:rPr>
                <w:rFonts w:ascii="宋体" w:hAnsi="宋体" w:eastAsia="宋体"/>
                <w:szCs w:val="21"/>
              </w:rPr>
            </w:pPr>
            <w:r>
              <w:rPr>
                <w:rFonts w:hint="eastAsia" w:ascii="宋体" w:hAnsi="宋体" w:eastAsia="宋体"/>
                <w:szCs w:val="21"/>
              </w:rPr>
              <w:t>台</w:t>
            </w:r>
          </w:p>
        </w:tc>
      </w:tr>
      <w:tr w14:paraId="1A89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7DF38474">
            <w:pPr>
              <w:widowControl w:val="0"/>
              <w:spacing w:line="276" w:lineRule="auto"/>
              <w:jc w:val="center"/>
              <w:rPr>
                <w:rFonts w:ascii="宋体" w:hAnsi="宋体" w:eastAsia="宋体"/>
                <w:szCs w:val="21"/>
              </w:rPr>
            </w:pPr>
            <w:r>
              <w:rPr>
                <w:rFonts w:hint="eastAsia" w:ascii="宋体" w:hAnsi="宋体" w:eastAsia="宋体"/>
                <w:szCs w:val="21"/>
              </w:rPr>
              <w:t>6</w:t>
            </w:r>
          </w:p>
        </w:tc>
        <w:tc>
          <w:tcPr>
            <w:tcW w:w="2001" w:type="dxa"/>
            <w:vAlign w:val="center"/>
          </w:tcPr>
          <w:p w14:paraId="54C0148C">
            <w:pPr>
              <w:widowControl w:val="0"/>
              <w:spacing w:line="276" w:lineRule="auto"/>
              <w:jc w:val="center"/>
              <w:rPr>
                <w:rFonts w:ascii="宋体" w:hAnsi="宋体" w:eastAsia="宋体"/>
                <w:szCs w:val="21"/>
              </w:rPr>
            </w:pPr>
            <w:r>
              <w:rPr>
                <w:rFonts w:hint="eastAsia" w:ascii="宋体" w:hAnsi="宋体" w:eastAsia="宋体"/>
                <w:szCs w:val="21"/>
              </w:rPr>
              <w:t>硬盘（2*8T)</w:t>
            </w:r>
          </w:p>
        </w:tc>
        <w:tc>
          <w:tcPr>
            <w:tcW w:w="4576" w:type="dxa"/>
            <w:vAlign w:val="center"/>
          </w:tcPr>
          <w:p w14:paraId="7C7115C3">
            <w:pPr>
              <w:widowControl w:val="0"/>
              <w:spacing w:line="276" w:lineRule="auto"/>
              <w:jc w:val="both"/>
              <w:rPr>
                <w:rFonts w:ascii="宋体" w:hAnsi="宋体" w:eastAsia="宋体"/>
                <w:szCs w:val="21"/>
              </w:rPr>
            </w:pPr>
            <w:r>
              <w:rPr>
                <w:rFonts w:hint="eastAsia" w:ascii="宋体" w:hAnsi="宋体" w:eastAsia="宋体"/>
                <w:szCs w:val="21"/>
              </w:rPr>
              <w:t>内存2*8T</w:t>
            </w:r>
          </w:p>
        </w:tc>
        <w:tc>
          <w:tcPr>
            <w:tcW w:w="960" w:type="dxa"/>
            <w:vAlign w:val="center"/>
          </w:tcPr>
          <w:p w14:paraId="40CDF82C">
            <w:pPr>
              <w:widowControl w:val="0"/>
              <w:spacing w:line="276" w:lineRule="auto"/>
              <w:jc w:val="center"/>
              <w:rPr>
                <w:rFonts w:ascii="宋体" w:hAnsi="宋体" w:eastAsia="宋体"/>
                <w:szCs w:val="21"/>
              </w:rPr>
            </w:pPr>
            <w:r>
              <w:rPr>
                <w:rFonts w:ascii="宋体" w:hAnsi="宋体" w:eastAsia="宋体"/>
                <w:szCs w:val="21"/>
              </w:rPr>
              <w:t>53</w:t>
            </w:r>
          </w:p>
        </w:tc>
        <w:tc>
          <w:tcPr>
            <w:tcW w:w="499" w:type="dxa"/>
            <w:vAlign w:val="center"/>
          </w:tcPr>
          <w:p w14:paraId="7CE32750">
            <w:pPr>
              <w:widowControl w:val="0"/>
              <w:spacing w:line="276" w:lineRule="auto"/>
              <w:jc w:val="center"/>
              <w:rPr>
                <w:rFonts w:ascii="宋体" w:hAnsi="宋体" w:eastAsia="宋体"/>
                <w:szCs w:val="21"/>
              </w:rPr>
            </w:pPr>
            <w:r>
              <w:rPr>
                <w:rFonts w:hint="eastAsia" w:ascii="宋体" w:hAnsi="宋体" w:eastAsia="宋体"/>
                <w:szCs w:val="21"/>
              </w:rPr>
              <w:t>台</w:t>
            </w:r>
          </w:p>
        </w:tc>
      </w:tr>
      <w:tr w14:paraId="245E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6B6902C">
            <w:pPr>
              <w:widowControl w:val="0"/>
              <w:spacing w:line="276" w:lineRule="auto"/>
              <w:jc w:val="center"/>
              <w:rPr>
                <w:rFonts w:ascii="宋体" w:hAnsi="宋体" w:eastAsia="宋体"/>
                <w:szCs w:val="21"/>
              </w:rPr>
            </w:pPr>
            <w:r>
              <w:rPr>
                <w:rFonts w:hint="eastAsia" w:ascii="宋体" w:hAnsi="宋体" w:eastAsia="宋体"/>
                <w:szCs w:val="21"/>
              </w:rPr>
              <w:t>7</w:t>
            </w:r>
          </w:p>
        </w:tc>
        <w:tc>
          <w:tcPr>
            <w:tcW w:w="2001" w:type="dxa"/>
            <w:vAlign w:val="center"/>
          </w:tcPr>
          <w:p w14:paraId="07309346">
            <w:pPr>
              <w:widowControl w:val="0"/>
              <w:spacing w:line="276" w:lineRule="auto"/>
              <w:jc w:val="center"/>
              <w:rPr>
                <w:rFonts w:ascii="宋体" w:hAnsi="宋体" w:eastAsia="宋体"/>
                <w:szCs w:val="21"/>
              </w:rPr>
            </w:pPr>
            <w:r>
              <w:rPr>
                <w:rFonts w:hint="eastAsia" w:ascii="宋体" w:hAnsi="宋体" w:eastAsia="宋体"/>
                <w:szCs w:val="21"/>
              </w:rPr>
              <w:t>硬盘（2*10T)</w:t>
            </w:r>
          </w:p>
        </w:tc>
        <w:tc>
          <w:tcPr>
            <w:tcW w:w="4576" w:type="dxa"/>
            <w:vAlign w:val="center"/>
          </w:tcPr>
          <w:p w14:paraId="44730BFA">
            <w:pPr>
              <w:widowControl w:val="0"/>
              <w:spacing w:line="276" w:lineRule="auto"/>
              <w:jc w:val="both"/>
              <w:rPr>
                <w:rFonts w:ascii="宋体" w:hAnsi="宋体" w:eastAsia="宋体"/>
                <w:szCs w:val="21"/>
              </w:rPr>
            </w:pPr>
            <w:r>
              <w:rPr>
                <w:rFonts w:hint="eastAsia" w:ascii="宋体" w:hAnsi="宋体" w:eastAsia="宋体"/>
                <w:szCs w:val="21"/>
              </w:rPr>
              <w:t>内存2*10T</w:t>
            </w:r>
          </w:p>
        </w:tc>
        <w:tc>
          <w:tcPr>
            <w:tcW w:w="960" w:type="dxa"/>
            <w:vAlign w:val="center"/>
          </w:tcPr>
          <w:p w14:paraId="25C425D0">
            <w:pPr>
              <w:widowControl w:val="0"/>
              <w:spacing w:line="276" w:lineRule="auto"/>
              <w:jc w:val="center"/>
              <w:rPr>
                <w:rFonts w:ascii="宋体" w:hAnsi="宋体" w:eastAsia="宋体"/>
                <w:szCs w:val="21"/>
              </w:rPr>
            </w:pPr>
            <w:r>
              <w:rPr>
                <w:rFonts w:ascii="宋体" w:hAnsi="宋体" w:eastAsia="宋体"/>
                <w:szCs w:val="21"/>
              </w:rPr>
              <w:t>4</w:t>
            </w:r>
          </w:p>
        </w:tc>
        <w:tc>
          <w:tcPr>
            <w:tcW w:w="499" w:type="dxa"/>
            <w:vAlign w:val="center"/>
          </w:tcPr>
          <w:p w14:paraId="598A35F6">
            <w:pPr>
              <w:widowControl w:val="0"/>
              <w:spacing w:line="276" w:lineRule="auto"/>
              <w:jc w:val="center"/>
              <w:rPr>
                <w:rFonts w:ascii="宋体" w:hAnsi="宋体" w:eastAsia="宋体"/>
                <w:szCs w:val="21"/>
              </w:rPr>
            </w:pPr>
            <w:r>
              <w:rPr>
                <w:rFonts w:hint="eastAsia" w:ascii="宋体" w:hAnsi="宋体" w:eastAsia="宋体"/>
                <w:szCs w:val="21"/>
              </w:rPr>
              <w:t>台</w:t>
            </w:r>
          </w:p>
        </w:tc>
      </w:tr>
      <w:tr w14:paraId="352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A555440">
            <w:pPr>
              <w:widowControl w:val="0"/>
              <w:spacing w:line="276" w:lineRule="auto"/>
              <w:jc w:val="center"/>
              <w:rPr>
                <w:rFonts w:ascii="宋体" w:hAnsi="宋体" w:eastAsia="宋体"/>
                <w:szCs w:val="21"/>
              </w:rPr>
            </w:pPr>
            <w:r>
              <w:rPr>
                <w:rFonts w:hint="eastAsia" w:ascii="宋体" w:hAnsi="宋体" w:eastAsia="宋体"/>
                <w:szCs w:val="21"/>
              </w:rPr>
              <w:t>8</w:t>
            </w:r>
          </w:p>
        </w:tc>
        <w:tc>
          <w:tcPr>
            <w:tcW w:w="2001" w:type="dxa"/>
            <w:vAlign w:val="center"/>
          </w:tcPr>
          <w:p w14:paraId="381136DF">
            <w:pPr>
              <w:widowControl w:val="0"/>
              <w:spacing w:line="276" w:lineRule="auto"/>
              <w:jc w:val="center"/>
              <w:rPr>
                <w:rFonts w:ascii="宋体" w:hAnsi="宋体" w:eastAsia="宋体"/>
                <w:szCs w:val="21"/>
              </w:rPr>
            </w:pPr>
            <w:r>
              <w:rPr>
                <w:rFonts w:hint="eastAsia" w:ascii="宋体" w:hAnsi="宋体" w:eastAsia="宋体"/>
                <w:szCs w:val="21"/>
              </w:rPr>
              <w:t>硬盘（3*10T)</w:t>
            </w:r>
          </w:p>
        </w:tc>
        <w:tc>
          <w:tcPr>
            <w:tcW w:w="4576" w:type="dxa"/>
            <w:vAlign w:val="center"/>
          </w:tcPr>
          <w:p w14:paraId="2305F181">
            <w:pPr>
              <w:widowControl w:val="0"/>
              <w:spacing w:line="276" w:lineRule="auto"/>
              <w:jc w:val="both"/>
              <w:rPr>
                <w:rFonts w:ascii="宋体" w:hAnsi="宋体" w:eastAsia="宋体"/>
                <w:szCs w:val="21"/>
              </w:rPr>
            </w:pPr>
            <w:r>
              <w:rPr>
                <w:rFonts w:hint="eastAsia" w:ascii="宋体" w:hAnsi="宋体" w:eastAsia="宋体"/>
                <w:szCs w:val="21"/>
              </w:rPr>
              <w:t>内存3*10T</w:t>
            </w:r>
          </w:p>
        </w:tc>
        <w:tc>
          <w:tcPr>
            <w:tcW w:w="960" w:type="dxa"/>
            <w:vAlign w:val="center"/>
          </w:tcPr>
          <w:p w14:paraId="57877E93">
            <w:pPr>
              <w:widowControl w:val="0"/>
              <w:spacing w:line="276" w:lineRule="auto"/>
              <w:jc w:val="center"/>
              <w:rPr>
                <w:rFonts w:ascii="宋体" w:hAnsi="宋体" w:eastAsia="宋体"/>
                <w:szCs w:val="21"/>
              </w:rPr>
            </w:pPr>
            <w:r>
              <w:rPr>
                <w:rFonts w:ascii="宋体" w:hAnsi="宋体" w:eastAsia="宋体"/>
                <w:szCs w:val="21"/>
              </w:rPr>
              <w:t>2</w:t>
            </w:r>
          </w:p>
        </w:tc>
        <w:tc>
          <w:tcPr>
            <w:tcW w:w="499" w:type="dxa"/>
            <w:vAlign w:val="center"/>
          </w:tcPr>
          <w:p w14:paraId="21C5565A">
            <w:pPr>
              <w:widowControl w:val="0"/>
              <w:spacing w:line="276" w:lineRule="auto"/>
              <w:jc w:val="center"/>
              <w:rPr>
                <w:rFonts w:ascii="宋体" w:hAnsi="宋体" w:eastAsia="宋体"/>
                <w:szCs w:val="21"/>
              </w:rPr>
            </w:pPr>
            <w:r>
              <w:rPr>
                <w:rFonts w:hint="eastAsia" w:ascii="宋体" w:hAnsi="宋体" w:eastAsia="宋体"/>
                <w:szCs w:val="21"/>
              </w:rPr>
              <w:t>台</w:t>
            </w:r>
          </w:p>
        </w:tc>
      </w:tr>
      <w:tr w14:paraId="1172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BFFBEDC">
            <w:pPr>
              <w:widowControl w:val="0"/>
              <w:spacing w:line="276" w:lineRule="auto"/>
              <w:jc w:val="center"/>
              <w:rPr>
                <w:rFonts w:ascii="宋体" w:hAnsi="宋体" w:eastAsia="宋体"/>
                <w:szCs w:val="21"/>
              </w:rPr>
            </w:pPr>
            <w:r>
              <w:rPr>
                <w:rFonts w:hint="eastAsia" w:ascii="宋体" w:hAnsi="宋体" w:eastAsia="宋体"/>
                <w:szCs w:val="21"/>
              </w:rPr>
              <w:t>9</w:t>
            </w:r>
          </w:p>
        </w:tc>
        <w:tc>
          <w:tcPr>
            <w:tcW w:w="2001" w:type="dxa"/>
            <w:vAlign w:val="center"/>
          </w:tcPr>
          <w:p w14:paraId="268DDC84">
            <w:pPr>
              <w:widowControl w:val="0"/>
              <w:spacing w:line="276" w:lineRule="auto"/>
              <w:jc w:val="center"/>
              <w:rPr>
                <w:rFonts w:ascii="宋体" w:hAnsi="宋体" w:eastAsia="宋体"/>
                <w:szCs w:val="21"/>
              </w:rPr>
            </w:pPr>
            <w:r>
              <w:rPr>
                <w:rFonts w:hint="eastAsia" w:ascii="宋体" w:hAnsi="宋体" w:eastAsia="宋体"/>
                <w:szCs w:val="21"/>
              </w:rPr>
              <w:t>网络存储服务器（48盘位 满配8T硬盘）</w:t>
            </w:r>
          </w:p>
        </w:tc>
        <w:tc>
          <w:tcPr>
            <w:tcW w:w="4576" w:type="dxa"/>
            <w:vAlign w:val="center"/>
          </w:tcPr>
          <w:p w14:paraId="7ECA335E">
            <w:pPr>
              <w:widowControl w:val="0"/>
              <w:spacing w:line="276" w:lineRule="auto"/>
              <w:jc w:val="both"/>
              <w:rPr>
                <w:rFonts w:ascii="宋体" w:hAnsi="宋体" w:eastAsia="宋体"/>
                <w:szCs w:val="21"/>
              </w:rPr>
            </w:pPr>
            <w:r>
              <w:rPr>
                <w:rFonts w:hint="eastAsia" w:ascii="宋体" w:hAnsi="宋体" w:eastAsia="宋体"/>
                <w:szCs w:val="21"/>
              </w:rPr>
              <w:t>1、64 位处理器（可扩展双处理器），16GB 高速缓存（可扩展至64G），磁盘数量</w:t>
            </w:r>
            <w:r>
              <w:rPr>
                <w:rFonts w:hint="eastAsia" w:ascii="宋体" w:hAnsi="宋体" w:eastAsia="宋体"/>
                <w:szCs w:val="21"/>
              </w:rPr>
              <w:br w:type="page"/>
            </w:r>
            <w:r>
              <w:rPr>
                <w:rFonts w:hint="eastAsia" w:ascii="宋体" w:hAnsi="宋体" w:eastAsia="宋体"/>
                <w:szCs w:val="21"/>
              </w:rPr>
              <w:t>48 盘位，磁盘接口：企业级SAS /1T,2T,3T,4T，6T,8T,10T（SSD 可选）；</w:t>
            </w:r>
          </w:p>
          <w:p w14:paraId="22B7C32D">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2、支持：热插拔磁盘，RAID 0、1、5、6、10、50；</w:t>
            </w:r>
          </w:p>
          <w:p w14:paraId="5008524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3、双控制器，支持控制器切换，并在30 秒内接管另一控制器业务；</w:t>
            </w:r>
          </w:p>
          <w:p w14:paraId="3E823049">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4、支持不低于8 个GE和2 个万兆接口，支持端口链路聚合、负载均衡及多网络IP</w:t>
            </w:r>
            <w:r>
              <w:rPr>
                <w:rFonts w:hint="eastAsia" w:ascii="宋体" w:hAnsi="宋体" w:eastAsia="宋体"/>
                <w:szCs w:val="21"/>
              </w:rPr>
              <w:br w:type="page"/>
            </w:r>
            <w:r>
              <w:rPr>
                <w:rFonts w:hint="eastAsia" w:ascii="宋体" w:hAnsi="宋体" w:eastAsia="宋体"/>
                <w:szCs w:val="21"/>
              </w:rPr>
              <w:t>设定等应用；</w:t>
            </w:r>
          </w:p>
          <w:p w14:paraId="6917FE57">
            <w:pPr>
              <w:widowControl w:val="0"/>
              <w:spacing w:line="276" w:lineRule="auto"/>
              <w:jc w:val="both"/>
              <w:rPr>
                <w:rFonts w:ascii="宋体" w:hAnsi="宋体" w:eastAsia="宋体"/>
                <w:szCs w:val="21"/>
              </w:rPr>
            </w:pPr>
            <w:r>
              <w:rPr>
                <w:rFonts w:hint="eastAsia" w:ascii="宋体" w:hAnsi="宋体" w:eastAsia="宋体"/>
                <w:szCs w:val="21"/>
              </w:rPr>
              <w:t>5、电池、风扇、电源模块、硬盘RAID 等关键部件为双冗余结构设计，支持电源自</w:t>
            </w:r>
            <w:r>
              <w:rPr>
                <w:rFonts w:hint="eastAsia" w:ascii="宋体" w:hAnsi="宋体" w:eastAsia="宋体"/>
                <w:szCs w:val="21"/>
              </w:rPr>
              <w:br w:type="page"/>
            </w:r>
            <w:r>
              <w:rPr>
                <w:rFonts w:hint="eastAsia" w:ascii="宋体" w:hAnsi="宋体" w:eastAsia="宋体"/>
                <w:szCs w:val="21"/>
              </w:rPr>
              <w:t>动故障切换和在线故障电源的更换。</w:t>
            </w:r>
            <w:r>
              <w:rPr>
                <w:rFonts w:hint="eastAsia" w:ascii="宋体" w:hAnsi="宋体" w:eastAsia="宋体"/>
                <w:szCs w:val="21"/>
              </w:rPr>
              <w:br w:type="page"/>
            </w:r>
          </w:p>
          <w:p w14:paraId="0D0F99F9">
            <w:pPr>
              <w:widowControl w:val="0"/>
              <w:spacing w:line="276" w:lineRule="auto"/>
              <w:jc w:val="both"/>
              <w:rPr>
                <w:rFonts w:ascii="宋体" w:hAnsi="宋体" w:eastAsia="宋体"/>
                <w:szCs w:val="21"/>
              </w:rPr>
            </w:pPr>
            <w:r>
              <w:rPr>
                <w:rFonts w:hint="eastAsia" w:ascii="宋体" w:hAnsi="宋体" w:eastAsia="宋体"/>
                <w:szCs w:val="21"/>
              </w:rPr>
              <w:t>6、支持磁盘热插拔及在线更换故障磁盘，启动时磁盘顺序加电和磁盘电源短路保护；</w:t>
            </w:r>
          </w:p>
          <w:p w14:paraId="526FCF4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7、系统内部磁盘可以任意的更换位置，而磁盘内部的阵列配置信息和数据完全不会</w:t>
            </w:r>
            <w:r>
              <w:rPr>
                <w:rFonts w:hint="eastAsia" w:ascii="宋体" w:hAnsi="宋体" w:eastAsia="宋体"/>
                <w:szCs w:val="21"/>
              </w:rPr>
              <w:br w:type="page"/>
            </w:r>
            <w:r>
              <w:rPr>
                <w:rFonts w:hint="eastAsia" w:ascii="宋体" w:hAnsi="宋体" w:eastAsia="宋体"/>
                <w:szCs w:val="21"/>
              </w:rPr>
              <w:t>改变或丢失，可避免由于磁盘被错误插拔而导致的数据丢失；</w:t>
            </w:r>
          </w:p>
          <w:p w14:paraId="51B3D8B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8、支持RAID 0、1、5、6、10 等RAID 级别；</w:t>
            </w:r>
          </w:p>
          <w:p w14:paraId="0F553A4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9、通过标准ONVIF 协议，并支持基于ONVIF协议进行iSCSI 块直存；</w:t>
            </w:r>
          </w:p>
          <w:p w14:paraId="55E850E9">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10、通过时间轴进行录像检索，可精确到秒；</w:t>
            </w:r>
          </w:p>
          <w:p w14:paraId="20A24F1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11、支持网口链路聚合和故障自动切换功能；</w:t>
            </w:r>
          </w:p>
          <w:p w14:paraId="110E75CA">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12、支持录像空间的无缝扩容；</w:t>
            </w:r>
          </w:p>
          <w:p w14:paraId="083AC10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13、支持录像的本地或异地备份；</w:t>
            </w:r>
          </w:p>
          <w:p w14:paraId="0C60C55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14、路段监控视频存储要求采用H.264/H.265 编码、D1 格式、25 帧/s、定码流（1.5～</w:t>
            </w:r>
            <w:r>
              <w:rPr>
                <w:rFonts w:hint="eastAsia" w:ascii="宋体" w:hAnsi="宋体" w:eastAsia="宋体"/>
                <w:szCs w:val="21"/>
              </w:rPr>
              <w:br w:type="page"/>
            </w:r>
            <w:r>
              <w:rPr>
                <w:rFonts w:hint="eastAsia" w:ascii="宋体" w:hAnsi="宋体" w:eastAsia="宋体"/>
                <w:szCs w:val="21"/>
              </w:rPr>
              <w:t>2M 带宽）、存储时间为30 天；磁盘的富余容量不小于磁盘总容量的20%；</w:t>
            </w:r>
          </w:p>
          <w:p w14:paraId="20770627">
            <w:pPr>
              <w:widowControl w:val="0"/>
              <w:spacing w:line="276" w:lineRule="auto"/>
              <w:jc w:val="both"/>
              <w:rPr>
                <w:rFonts w:ascii="宋体" w:hAnsi="宋体" w:eastAsia="宋体"/>
                <w:color w:val="auto"/>
                <w:szCs w:val="21"/>
              </w:rPr>
            </w:pPr>
            <w:r>
              <w:rPr>
                <w:rFonts w:hint="eastAsia" w:ascii="宋体" w:hAnsi="宋体" w:eastAsia="宋体"/>
                <w:szCs w:val="21"/>
              </w:rPr>
              <w:br w:type="page"/>
            </w:r>
            <w:r>
              <w:rPr>
                <w:rFonts w:hint="eastAsia" w:ascii="宋体" w:hAnsi="宋体" w:eastAsia="宋体"/>
                <w:szCs w:val="21"/>
              </w:rPr>
              <w:t>15、存储磁盘可根据实际情况选用选用4TB、6T、8T 等多种型号的SAS 企业级视频</w:t>
            </w:r>
            <w:r>
              <w:rPr>
                <w:rFonts w:hint="eastAsia" w:ascii="宋体" w:hAnsi="宋体" w:eastAsia="宋体"/>
                <w:szCs w:val="21"/>
              </w:rPr>
              <w:br w:type="page"/>
            </w:r>
            <w:r>
              <w:rPr>
                <w:rFonts w:hint="eastAsia" w:ascii="宋体" w:hAnsi="宋体" w:eastAsia="宋体"/>
                <w:szCs w:val="21"/>
              </w:rPr>
              <w:t>专用磁盘；</w:t>
            </w:r>
            <w:r>
              <w:rPr>
                <w:rFonts w:hint="eastAsia" w:ascii="宋体" w:hAnsi="宋体" w:eastAsia="宋体"/>
                <w:szCs w:val="21"/>
              </w:rPr>
              <w:br w:type="page"/>
            </w:r>
            <w:r>
              <w:rPr>
                <w:rFonts w:hint="eastAsia" w:ascii="宋体" w:hAnsi="宋体" w:eastAsia="宋体"/>
                <w:szCs w:val="21"/>
              </w:rPr>
              <w:t>16、当磁盘阵列内置磁盘配置无法满足要求时，需配置磁盘扩展柜，磁盘扩展柜及其</w:t>
            </w:r>
            <w:r>
              <w:rPr>
                <w:rFonts w:hint="eastAsia" w:ascii="宋体" w:hAnsi="宋体" w:eastAsia="宋体"/>
                <w:szCs w:val="21"/>
              </w:rPr>
              <w:br w:type="page"/>
            </w:r>
            <w:r>
              <w:rPr>
                <w:rFonts w:hint="eastAsia" w:ascii="宋体" w:hAnsi="宋体" w:eastAsia="宋体"/>
                <w:szCs w:val="21"/>
              </w:rPr>
              <w:t>联接线缆的费用包含在磁盘阵列主机中。</w:t>
            </w:r>
          </w:p>
          <w:p w14:paraId="0EE2C27E">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A97A18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D061B8B">
            <w:pPr>
              <w:widowControl w:val="0"/>
              <w:spacing w:line="276" w:lineRule="auto"/>
              <w:jc w:val="center"/>
              <w:rPr>
                <w:rFonts w:ascii="宋体" w:hAnsi="宋体" w:eastAsia="宋体"/>
                <w:szCs w:val="21"/>
              </w:rPr>
            </w:pPr>
            <w:r>
              <w:rPr>
                <w:rFonts w:hint="eastAsia" w:ascii="宋体" w:hAnsi="宋体" w:eastAsia="宋体"/>
                <w:szCs w:val="21"/>
              </w:rPr>
              <w:t>台</w:t>
            </w:r>
          </w:p>
        </w:tc>
      </w:tr>
      <w:tr w14:paraId="482B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B27B5AB">
            <w:pPr>
              <w:widowControl w:val="0"/>
              <w:spacing w:line="276" w:lineRule="auto"/>
              <w:jc w:val="center"/>
              <w:rPr>
                <w:rFonts w:ascii="宋体" w:hAnsi="宋体" w:eastAsia="宋体"/>
                <w:szCs w:val="21"/>
              </w:rPr>
            </w:pPr>
            <w:r>
              <w:rPr>
                <w:rFonts w:hint="eastAsia" w:ascii="宋体" w:hAnsi="宋体" w:eastAsia="宋体"/>
                <w:szCs w:val="21"/>
              </w:rPr>
              <w:t>10</w:t>
            </w:r>
          </w:p>
        </w:tc>
        <w:tc>
          <w:tcPr>
            <w:tcW w:w="2001" w:type="dxa"/>
            <w:vAlign w:val="center"/>
          </w:tcPr>
          <w:p w14:paraId="6778AFD4">
            <w:pPr>
              <w:widowControl w:val="0"/>
              <w:spacing w:line="276" w:lineRule="auto"/>
              <w:jc w:val="center"/>
              <w:rPr>
                <w:rFonts w:ascii="宋体" w:hAnsi="宋体" w:eastAsia="宋体"/>
                <w:szCs w:val="21"/>
              </w:rPr>
            </w:pPr>
            <w:r>
              <w:rPr>
                <w:rFonts w:hint="eastAsia" w:ascii="宋体" w:hAnsi="宋体" w:eastAsia="宋体"/>
                <w:szCs w:val="21"/>
              </w:rPr>
              <w:t>存储服务器（配置36块10T硬盘）</w:t>
            </w:r>
          </w:p>
        </w:tc>
        <w:tc>
          <w:tcPr>
            <w:tcW w:w="4576" w:type="dxa"/>
            <w:vAlign w:val="center"/>
          </w:tcPr>
          <w:p w14:paraId="5276A1A6">
            <w:pPr>
              <w:widowControl w:val="0"/>
              <w:spacing w:line="276" w:lineRule="auto"/>
              <w:jc w:val="both"/>
              <w:rPr>
                <w:rFonts w:hint="eastAsia" w:ascii="宋体" w:hAnsi="宋体" w:eastAsia="宋体"/>
                <w:szCs w:val="21"/>
              </w:rPr>
            </w:pPr>
            <w:r>
              <w:rPr>
                <w:rFonts w:hint="eastAsia" w:ascii="宋体" w:hAnsi="宋体" w:eastAsia="宋体"/>
                <w:szCs w:val="21"/>
              </w:rPr>
              <w:t>配置36块10T硬盘。</w:t>
            </w:r>
          </w:p>
          <w:p w14:paraId="50771F89">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92E299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4A2BC00">
            <w:pPr>
              <w:widowControl w:val="0"/>
              <w:spacing w:line="276" w:lineRule="auto"/>
              <w:jc w:val="center"/>
              <w:rPr>
                <w:rFonts w:ascii="宋体" w:hAnsi="宋体" w:eastAsia="宋体"/>
                <w:szCs w:val="21"/>
              </w:rPr>
            </w:pPr>
            <w:r>
              <w:rPr>
                <w:rFonts w:hint="eastAsia" w:ascii="宋体" w:hAnsi="宋体" w:eastAsia="宋体"/>
                <w:szCs w:val="21"/>
              </w:rPr>
              <w:t>台</w:t>
            </w:r>
          </w:p>
        </w:tc>
      </w:tr>
      <w:tr w14:paraId="75E9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91E0ECB">
            <w:pPr>
              <w:widowControl w:val="0"/>
              <w:spacing w:line="276" w:lineRule="auto"/>
              <w:jc w:val="center"/>
              <w:rPr>
                <w:rFonts w:ascii="宋体" w:hAnsi="宋体" w:eastAsia="宋体"/>
                <w:szCs w:val="21"/>
              </w:rPr>
            </w:pPr>
            <w:r>
              <w:rPr>
                <w:rFonts w:hint="eastAsia" w:ascii="宋体" w:hAnsi="宋体" w:eastAsia="宋体"/>
                <w:szCs w:val="21"/>
              </w:rPr>
              <w:t>11</w:t>
            </w:r>
          </w:p>
        </w:tc>
        <w:tc>
          <w:tcPr>
            <w:tcW w:w="2001" w:type="dxa"/>
            <w:vAlign w:val="center"/>
          </w:tcPr>
          <w:p w14:paraId="4C4ACFF6">
            <w:pPr>
              <w:widowControl w:val="0"/>
              <w:spacing w:line="276" w:lineRule="auto"/>
              <w:jc w:val="center"/>
              <w:rPr>
                <w:rFonts w:hint="eastAsia" w:ascii="宋体" w:hAnsi="宋体" w:eastAsia="宋体"/>
                <w:szCs w:val="21"/>
              </w:rPr>
            </w:pPr>
            <w:r>
              <w:rPr>
                <w:rFonts w:ascii="宋体" w:hAnsi="宋体" w:eastAsia="宋体"/>
                <w:color w:val="auto"/>
                <w:szCs w:val="21"/>
              </w:rPr>
              <w:t>★</w:t>
            </w:r>
            <w:r>
              <w:rPr>
                <w:rFonts w:hint="eastAsia" w:ascii="宋体" w:hAnsi="宋体" w:eastAsia="宋体"/>
                <w:szCs w:val="21"/>
              </w:rPr>
              <w:t>台式计算机</w:t>
            </w:r>
          </w:p>
          <w:p w14:paraId="1A8BC09C">
            <w:pPr>
              <w:widowControl w:val="0"/>
              <w:spacing w:line="276" w:lineRule="auto"/>
              <w:jc w:val="center"/>
              <w:rPr>
                <w:rFonts w:ascii="宋体" w:hAnsi="宋体" w:eastAsia="宋体"/>
                <w:szCs w:val="21"/>
              </w:rPr>
            </w:pPr>
            <w:r>
              <w:rPr>
                <w:rFonts w:hint="eastAsia" w:ascii="宋体" w:hAnsi="宋体" w:eastAsia="宋体"/>
                <w:szCs w:val="21"/>
              </w:rPr>
              <w:t>（交通监控管理计算机1台；通信计算机1台；图像管理计算机</w:t>
            </w:r>
            <w:r>
              <w:rPr>
                <w:rFonts w:ascii="宋体" w:hAnsi="宋体" w:eastAsia="宋体"/>
                <w:szCs w:val="21"/>
              </w:rPr>
              <w:t>2</w:t>
            </w:r>
            <w:r>
              <w:rPr>
                <w:rFonts w:hint="eastAsia" w:ascii="宋体" w:hAnsi="宋体" w:eastAsia="宋体"/>
                <w:szCs w:val="21"/>
              </w:rPr>
              <w:t>台；情报板管理计算机1台；机电运维工作站含软件1台）</w:t>
            </w:r>
          </w:p>
        </w:tc>
        <w:tc>
          <w:tcPr>
            <w:tcW w:w="4576" w:type="dxa"/>
            <w:vAlign w:val="center"/>
          </w:tcPr>
          <w:p w14:paraId="686CEF4C">
            <w:pPr>
              <w:widowControl w:val="0"/>
              <w:spacing w:line="276" w:lineRule="auto"/>
              <w:jc w:val="both"/>
              <w:rPr>
                <w:rFonts w:ascii="宋体" w:hAnsi="宋体" w:eastAsia="宋体" w:cs="仿宋"/>
                <w:szCs w:val="21"/>
              </w:rPr>
            </w:pPr>
            <w:r>
              <w:rPr>
                <w:rFonts w:hint="eastAsia" w:ascii="宋体" w:hAnsi="宋体" w:eastAsia="宋体" w:cs="仿宋"/>
                <w:szCs w:val="21"/>
              </w:rPr>
              <w:t>一、产品规格</w:t>
            </w:r>
          </w:p>
          <w:p w14:paraId="29E77790">
            <w:pPr>
              <w:widowControl w:val="0"/>
              <w:spacing w:line="276" w:lineRule="auto"/>
              <w:jc w:val="both"/>
              <w:rPr>
                <w:rFonts w:ascii="宋体" w:hAnsi="宋体" w:eastAsia="宋体" w:cs="仿宋"/>
                <w:szCs w:val="21"/>
              </w:rPr>
            </w:pPr>
            <w:r>
              <w:rPr>
                <w:rFonts w:hint="eastAsia" w:ascii="宋体" w:hAnsi="宋体" w:eastAsia="宋体" w:cs="仿宋"/>
                <w:szCs w:val="21"/>
              </w:rPr>
              <w:t>1. CPU 规格</w:t>
            </w:r>
          </w:p>
          <w:p w14:paraId="5E45FA76">
            <w:pPr>
              <w:widowControl w:val="0"/>
              <w:spacing w:line="276" w:lineRule="auto"/>
              <w:jc w:val="both"/>
              <w:rPr>
                <w:rFonts w:ascii="宋体" w:hAnsi="宋体" w:eastAsia="宋体" w:cs="仿宋"/>
                <w:szCs w:val="21"/>
              </w:rPr>
            </w:pPr>
            <w:r>
              <w:rPr>
                <w:rFonts w:hint="eastAsia" w:ascii="宋体" w:hAnsi="宋体" w:eastAsia="宋体" w:cs="仿宋"/>
                <w:szCs w:val="21"/>
              </w:rPr>
              <w:t xml:space="preserve"> 须用C86架构国产芯片</w:t>
            </w:r>
          </w:p>
          <w:p w14:paraId="60C23C42">
            <w:pPr>
              <w:widowControl w:val="0"/>
              <w:spacing w:line="276" w:lineRule="auto"/>
              <w:jc w:val="both"/>
              <w:rPr>
                <w:rFonts w:ascii="宋体" w:hAnsi="宋体" w:eastAsia="宋体" w:cs="仿宋"/>
                <w:szCs w:val="21"/>
              </w:rPr>
            </w:pPr>
            <w:r>
              <w:rPr>
                <w:rFonts w:hint="eastAsia" w:ascii="宋体" w:hAnsi="宋体" w:eastAsia="宋体" w:cs="仿宋"/>
                <w:szCs w:val="21"/>
              </w:rPr>
              <w:t>物理核心数：≥8</w:t>
            </w:r>
          </w:p>
          <w:p w14:paraId="57F88148">
            <w:pPr>
              <w:widowControl w:val="0"/>
              <w:spacing w:line="276" w:lineRule="auto"/>
              <w:jc w:val="both"/>
              <w:rPr>
                <w:rFonts w:ascii="宋体" w:hAnsi="宋体" w:eastAsia="宋体" w:cs="仿宋"/>
                <w:szCs w:val="21"/>
              </w:rPr>
            </w:pPr>
            <w:r>
              <w:rPr>
                <w:rFonts w:hint="eastAsia" w:ascii="宋体" w:hAnsi="宋体" w:eastAsia="宋体" w:cs="仿宋"/>
                <w:szCs w:val="21"/>
              </w:rPr>
              <w:t>主频：≥3.0GHz</w:t>
            </w:r>
          </w:p>
          <w:p w14:paraId="26E55947">
            <w:pPr>
              <w:widowControl w:val="0"/>
              <w:spacing w:line="276" w:lineRule="auto"/>
              <w:jc w:val="both"/>
              <w:rPr>
                <w:rFonts w:ascii="宋体" w:hAnsi="宋体" w:eastAsia="宋体" w:cs="仿宋"/>
                <w:szCs w:val="21"/>
              </w:rPr>
            </w:pPr>
            <w:r>
              <w:rPr>
                <w:rFonts w:hint="eastAsia" w:ascii="宋体" w:hAnsi="宋体" w:eastAsia="宋体" w:cs="仿宋"/>
                <w:szCs w:val="21"/>
              </w:rPr>
              <w:t>末级缓存容量：≥16MB</w:t>
            </w:r>
          </w:p>
          <w:p w14:paraId="42C0B56A">
            <w:pPr>
              <w:widowControl w:val="0"/>
              <w:spacing w:line="276" w:lineRule="auto"/>
              <w:jc w:val="both"/>
              <w:rPr>
                <w:rFonts w:ascii="宋体" w:hAnsi="宋体" w:eastAsia="宋体" w:cs="仿宋"/>
                <w:szCs w:val="21"/>
              </w:rPr>
            </w:pPr>
            <w:r>
              <w:rPr>
                <w:rFonts w:hint="eastAsia" w:ascii="宋体" w:hAnsi="宋体" w:eastAsia="宋体" w:cs="仿宋"/>
                <w:szCs w:val="21"/>
              </w:rPr>
              <w:t>线程数：≥16</w:t>
            </w:r>
          </w:p>
          <w:p w14:paraId="75337243">
            <w:pPr>
              <w:widowControl w:val="0"/>
              <w:spacing w:line="276" w:lineRule="auto"/>
              <w:jc w:val="both"/>
              <w:rPr>
                <w:rFonts w:ascii="宋体" w:hAnsi="宋体" w:eastAsia="宋体" w:cs="仿宋"/>
                <w:szCs w:val="21"/>
              </w:rPr>
            </w:pPr>
            <w:r>
              <w:rPr>
                <w:rFonts w:hint="eastAsia" w:ascii="宋体" w:hAnsi="宋体" w:eastAsia="宋体" w:cs="仿宋"/>
                <w:szCs w:val="21"/>
              </w:rPr>
              <w:t>热设计功耗：≥65W</w:t>
            </w:r>
          </w:p>
          <w:p w14:paraId="4404CA66">
            <w:pPr>
              <w:widowControl w:val="0"/>
              <w:spacing w:line="276" w:lineRule="auto"/>
              <w:jc w:val="both"/>
              <w:rPr>
                <w:rFonts w:ascii="宋体" w:hAnsi="宋体" w:eastAsia="宋体" w:cs="仿宋"/>
                <w:szCs w:val="21"/>
              </w:rPr>
            </w:pPr>
            <w:r>
              <w:rPr>
                <w:rFonts w:hint="eastAsia" w:ascii="宋体" w:hAnsi="宋体" w:eastAsia="宋体" w:cs="仿宋"/>
                <w:szCs w:val="21"/>
              </w:rPr>
              <w:t>支持内存的最高速率：≥3200MT/s</w:t>
            </w:r>
          </w:p>
          <w:p w14:paraId="2A9E2CA2">
            <w:pPr>
              <w:widowControl w:val="0"/>
              <w:spacing w:line="276" w:lineRule="auto"/>
              <w:jc w:val="both"/>
              <w:rPr>
                <w:rFonts w:ascii="宋体" w:hAnsi="宋体" w:eastAsia="宋体" w:cs="仿宋"/>
                <w:szCs w:val="21"/>
              </w:rPr>
            </w:pPr>
            <w:r>
              <w:rPr>
                <w:rFonts w:hint="eastAsia" w:ascii="宋体" w:hAnsi="宋体" w:eastAsia="宋体" w:cs="仿宋"/>
                <w:szCs w:val="21"/>
              </w:rPr>
              <w:t>通道数：≥2</w:t>
            </w:r>
          </w:p>
          <w:p w14:paraId="2D2F298A">
            <w:pPr>
              <w:widowControl w:val="0"/>
              <w:spacing w:line="276" w:lineRule="auto"/>
              <w:jc w:val="both"/>
              <w:rPr>
                <w:rFonts w:ascii="宋体" w:hAnsi="宋体" w:eastAsia="宋体" w:cs="仿宋"/>
                <w:szCs w:val="21"/>
              </w:rPr>
            </w:pPr>
            <w:r>
              <w:rPr>
                <w:rFonts w:hint="eastAsia" w:ascii="宋体" w:hAnsi="宋体" w:eastAsia="宋体" w:cs="仿宋"/>
                <w:szCs w:val="21"/>
              </w:rPr>
              <w:t>位宽：≥64位</w:t>
            </w:r>
          </w:p>
          <w:p w14:paraId="3549FD52">
            <w:pPr>
              <w:widowControl w:val="0"/>
              <w:spacing w:line="276" w:lineRule="auto"/>
              <w:jc w:val="both"/>
              <w:rPr>
                <w:rFonts w:ascii="宋体" w:hAnsi="宋体" w:eastAsia="宋体" w:cs="仿宋"/>
                <w:szCs w:val="21"/>
              </w:rPr>
            </w:pPr>
            <w:r>
              <w:rPr>
                <w:rFonts w:hint="eastAsia" w:ascii="宋体" w:hAnsi="宋体" w:eastAsia="宋体" w:cs="仿宋"/>
                <w:szCs w:val="21"/>
              </w:rPr>
              <w:t>2. 内存规格</w:t>
            </w:r>
          </w:p>
          <w:p w14:paraId="5017C8B0">
            <w:pPr>
              <w:widowControl w:val="0"/>
              <w:spacing w:line="276" w:lineRule="auto"/>
              <w:jc w:val="both"/>
              <w:rPr>
                <w:rFonts w:ascii="宋体" w:hAnsi="宋体" w:eastAsia="宋体" w:cs="仿宋"/>
                <w:szCs w:val="21"/>
              </w:rPr>
            </w:pPr>
            <w:r>
              <w:rPr>
                <w:rFonts w:hint="eastAsia" w:ascii="宋体" w:hAnsi="宋体" w:eastAsia="宋体" w:cs="仿宋"/>
                <w:szCs w:val="21"/>
              </w:rPr>
              <w:t>内存配置容量：≥</w:t>
            </w:r>
            <w:r>
              <w:rPr>
                <w:rFonts w:ascii="宋体" w:hAnsi="宋体" w:eastAsia="宋体" w:cs="仿宋"/>
                <w:szCs w:val="21"/>
              </w:rPr>
              <w:t>32</w:t>
            </w:r>
            <w:r>
              <w:rPr>
                <w:rFonts w:hint="eastAsia" w:ascii="宋体" w:hAnsi="宋体" w:eastAsia="宋体" w:cs="仿宋"/>
                <w:szCs w:val="21"/>
              </w:rPr>
              <w:t>GB</w:t>
            </w:r>
          </w:p>
          <w:p w14:paraId="19B9B6A9">
            <w:pPr>
              <w:widowControl w:val="0"/>
              <w:spacing w:line="276" w:lineRule="auto"/>
              <w:jc w:val="both"/>
              <w:rPr>
                <w:rFonts w:ascii="宋体" w:hAnsi="宋体" w:eastAsia="宋体" w:cs="仿宋"/>
                <w:szCs w:val="21"/>
              </w:rPr>
            </w:pPr>
            <w:r>
              <w:rPr>
                <w:rFonts w:hint="eastAsia" w:ascii="宋体" w:hAnsi="宋体" w:eastAsia="宋体" w:cs="仿宋"/>
                <w:szCs w:val="21"/>
              </w:rPr>
              <w:t>内存类型：支持DDR4以上内存类型</w:t>
            </w:r>
          </w:p>
          <w:p w14:paraId="0E251C14">
            <w:pPr>
              <w:widowControl w:val="0"/>
              <w:spacing w:line="276" w:lineRule="auto"/>
              <w:jc w:val="both"/>
              <w:rPr>
                <w:rFonts w:ascii="宋体" w:hAnsi="宋体" w:eastAsia="宋体" w:cs="仿宋"/>
                <w:szCs w:val="21"/>
              </w:rPr>
            </w:pPr>
            <w:r>
              <w:rPr>
                <w:rFonts w:hint="eastAsia" w:ascii="宋体" w:hAnsi="宋体" w:eastAsia="宋体" w:cs="仿宋"/>
                <w:szCs w:val="21"/>
              </w:rPr>
              <w:t>内存条配置数量：≥2</w:t>
            </w:r>
          </w:p>
          <w:p w14:paraId="4FD1E8C5">
            <w:pPr>
              <w:widowControl w:val="0"/>
              <w:spacing w:line="276" w:lineRule="auto"/>
              <w:jc w:val="both"/>
              <w:rPr>
                <w:rFonts w:ascii="宋体" w:hAnsi="宋体" w:eastAsia="宋体" w:cs="仿宋"/>
                <w:szCs w:val="21"/>
              </w:rPr>
            </w:pPr>
            <w:r>
              <w:rPr>
                <w:rFonts w:hint="eastAsia" w:ascii="宋体" w:hAnsi="宋体" w:eastAsia="宋体" w:cs="仿宋"/>
                <w:szCs w:val="21"/>
              </w:rPr>
              <w:t>单内存插槽最大可支持容量≥</w:t>
            </w:r>
            <w:r>
              <w:rPr>
                <w:rFonts w:ascii="宋体" w:hAnsi="宋体" w:eastAsia="宋体" w:cs="仿宋"/>
                <w:szCs w:val="21"/>
              </w:rPr>
              <w:t>16</w:t>
            </w:r>
            <w:r>
              <w:rPr>
                <w:rFonts w:hint="eastAsia" w:ascii="宋体" w:hAnsi="宋体" w:eastAsia="宋体" w:cs="仿宋"/>
                <w:szCs w:val="21"/>
              </w:rPr>
              <w:t>GB</w:t>
            </w:r>
          </w:p>
          <w:p w14:paraId="790191FE">
            <w:pPr>
              <w:widowControl w:val="0"/>
              <w:spacing w:line="276" w:lineRule="auto"/>
              <w:jc w:val="both"/>
              <w:rPr>
                <w:rFonts w:ascii="宋体" w:hAnsi="宋体" w:eastAsia="宋体" w:cs="仿宋"/>
                <w:szCs w:val="21"/>
              </w:rPr>
            </w:pPr>
            <w:r>
              <w:rPr>
                <w:rFonts w:hint="eastAsia" w:ascii="宋体" w:hAnsi="宋体" w:eastAsia="宋体" w:cs="仿宋"/>
                <w:szCs w:val="21"/>
              </w:rPr>
              <w:t>内存插槽满配时最高内存总容量：≥32GB</w:t>
            </w:r>
          </w:p>
          <w:p w14:paraId="7A41F2DA">
            <w:pPr>
              <w:widowControl w:val="0"/>
              <w:spacing w:line="276" w:lineRule="auto"/>
              <w:jc w:val="both"/>
              <w:rPr>
                <w:rFonts w:ascii="宋体" w:hAnsi="宋体" w:eastAsia="宋体" w:cs="仿宋"/>
                <w:szCs w:val="21"/>
              </w:rPr>
            </w:pPr>
            <w:r>
              <w:rPr>
                <w:rFonts w:hint="eastAsia" w:ascii="宋体" w:hAnsi="宋体" w:eastAsia="宋体" w:cs="仿宋"/>
                <w:szCs w:val="21"/>
              </w:rPr>
              <w:t>3. 主板规格</w:t>
            </w:r>
          </w:p>
          <w:p w14:paraId="4AA9D358">
            <w:pPr>
              <w:widowControl w:val="0"/>
              <w:spacing w:line="276" w:lineRule="auto"/>
              <w:jc w:val="both"/>
              <w:rPr>
                <w:rFonts w:ascii="宋体" w:hAnsi="宋体" w:eastAsia="宋体" w:cs="仿宋"/>
                <w:szCs w:val="21"/>
              </w:rPr>
            </w:pPr>
            <w:r>
              <w:rPr>
                <w:rFonts w:hint="eastAsia" w:ascii="宋体" w:hAnsi="宋体" w:eastAsia="宋体" w:cs="仿宋"/>
                <w:szCs w:val="21"/>
              </w:rPr>
              <w:t>主板集成模块：集成资源扩展模块、计算处理模块、音频扩展模块等，主板的互联拓扑可通过处理器或交换电路实现</w:t>
            </w:r>
          </w:p>
          <w:p w14:paraId="554CFB72">
            <w:pPr>
              <w:widowControl w:val="0"/>
              <w:spacing w:line="276" w:lineRule="auto"/>
              <w:jc w:val="both"/>
              <w:rPr>
                <w:rFonts w:ascii="宋体" w:hAnsi="宋体" w:eastAsia="宋体" w:cs="仿宋"/>
                <w:szCs w:val="21"/>
              </w:rPr>
            </w:pPr>
            <w:r>
              <w:rPr>
                <w:rFonts w:hint="eastAsia" w:ascii="宋体" w:hAnsi="宋体" w:eastAsia="宋体" w:cs="仿宋"/>
                <w:szCs w:val="21"/>
              </w:rPr>
              <w:t>4. 存储设备规格</w:t>
            </w:r>
          </w:p>
          <w:p w14:paraId="6C1EE343">
            <w:pPr>
              <w:widowControl w:val="0"/>
              <w:spacing w:line="276" w:lineRule="auto"/>
              <w:jc w:val="both"/>
              <w:rPr>
                <w:rFonts w:ascii="宋体" w:hAnsi="宋体" w:eastAsia="宋体" w:cs="仿宋"/>
                <w:szCs w:val="21"/>
              </w:rPr>
            </w:pPr>
            <w:r>
              <w:rPr>
                <w:rFonts w:hint="eastAsia" w:ascii="宋体" w:hAnsi="宋体" w:eastAsia="宋体" w:cs="仿宋"/>
                <w:szCs w:val="21"/>
              </w:rPr>
              <w:t>固态盘数量：≥1个</w:t>
            </w:r>
          </w:p>
          <w:p w14:paraId="113A5A57">
            <w:pPr>
              <w:widowControl w:val="0"/>
              <w:spacing w:line="276" w:lineRule="auto"/>
              <w:jc w:val="both"/>
              <w:rPr>
                <w:rFonts w:ascii="宋体" w:hAnsi="宋体" w:eastAsia="宋体" w:cs="仿宋"/>
                <w:szCs w:val="21"/>
              </w:rPr>
            </w:pPr>
            <w:r>
              <w:rPr>
                <w:rFonts w:hint="eastAsia" w:ascii="宋体" w:hAnsi="宋体" w:eastAsia="宋体" w:cs="仿宋"/>
                <w:szCs w:val="21"/>
              </w:rPr>
              <w:t>固态存储容量：≥</w:t>
            </w:r>
            <w:r>
              <w:rPr>
                <w:rFonts w:ascii="宋体" w:hAnsi="宋体" w:eastAsia="宋体" w:cs="仿宋"/>
                <w:szCs w:val="21"/>
              </w:rPr>
              <w:t>512GB</w:t>
            </w:r>
          </w:p>
          <w:p w14:paraId="4C7F0528">
            <w:pPr>
              <w:widowControl w:val="0"/>
              <w:spacing w:line="276" w:lineRule="auto"/>
              <w:jc w:val="both"/>
              <w:rPr>
                <w:rFonts w:ascii="宋体" w:hAnsi="宋体" w:eastAsia="宋体" w:cs="仿宋"/>
                <w:szCs w:val="21"/>
              </w:rPr>
            </w:pPr>
            <w:r>
              <w:rPr>
                <w:rFonts w:hint="eastAsia" w:ascii="宋体" w:hAnsi="宋体" w:eastAsia="宋体" w:cs="仿宋"/>
                <w:szCs w:val="21"/>
              </w:rPr>
              <w:t>机械硬盘数量：≥1个</w:t>
            </w:r>
          </w:p>
          <w:p w14:paraId="22EF1CAD">
            <w:pPr>
              <w:widowControl w:val="0"/>
              <w:spacing w:line="276" w:lineRule="auto"/>
              <w:jc w:val="both"/>
              <w:rPr>
                <w:rFonts w:ascii="宋体" w:hAnsi="宋体" w:eastAsia="宋体" w:cs="仿宋"/>
                <w:szCs w:val="21"/>
              </w:rPr>
            </w:pPr>
            <w:r>
              <w:rPr>
                <w:rFonts w:hint="eastAsia" w:ascii="宋体" w:hAnsi="宋体" w:eastAsia="宋体" w:cs="仿宋"/>
                <w:szCs w:val="21"/>
              </w:rPr>
              <w:t>机械硬盘总容量：≥1</w:t>
            </w:r>
            <w:r>
              <w:rPr>
                <w:rFonts w:ascii="宋体" w:hAnsi="宋体" w:eastAsia="宋体" w:cs="仿宋"/>
                <w:szCs w:val="21"/>
              </w:rPr>
              <w:t>TB</w:t>
            </w:r>
          </w:p>
          <w:p w14:paraId="0379338A">
            <w:pPr>
              <w:widowControl w:val="0"/>
              <w:spacing w:line="276" w:lineRule="auto"/>
              <w:jc w:val="both"/>
              <w:rPr>
                <w:rFonts w:ascii="宋体" w:hAnsi="宋体" w:eastAsia="宋体" w:cs="仿宋"/>
                <w:szCs w:val="21"/>
              </w:rPr>
            </w:pPr>
            <w:r>
              <w:rPr>
                <w:rFonts w:hint="eastAsia" w:ascii="宋体" w:hAnsi="宋体" w:eastAsia="宋体" w:cs="仿宋"/>
                <w:szCs w:val="21"/>
              </w:rPr>
              <w:t>机械硬盘转速≥5</w:t>
            </w:r>
            <w:r>
              <w:rPr>
                <w:rFonts w:ascii="宋体" w:hAnsi="宋体" w:eastAsia="宋体" w:cs="仿宋"/>
                <w:szCs w:val="21"/>
              </w:rPr>
              <w:t>400rpm</w:t>
            </w:r>
          </w:p>
          <w:p w14:paraId="555BC201">
            <w:pPr>
              <w:widowControl w:val="0"/>
              <w:spacing w:line="276" w:lineRule="auto"/>
              <w:jc w:val="both"/>
              <w:rPr>
                <w:rFonts w:ascii="宋体" w:hAnsi="宋体" w:eastAsia="宋体" w:cs="仿宋"/>
                <w:szCs w:val="21"/>
              </w:rPr>
            </w:pPr>
            <w:r>
              <w:rPr>
                <w:rFonts w:hint="eastAsia" w:ascii="宋体" w:hAnsi="宋体" w:eastAsia="宋体" w:cs="仿宋"/>
                <w:szCs w:val="21"/>
              </w:rPr>
              <w:t>机械硬盘形态：3</w:t>
            </w:r>
            <w:r>
              <w:rPr>
                <w:rFonts w:ascii="宋体" w:hAnsi="宋体" w:eastAsia="宋体" w:cs="仿宋"/>
                <w:szCs w:val="21"/>
              </w:rPr>
              <w:t>.5</w:t>
            </w:r>
            <w:r>
              <w:rPr>
                <w:rFonts w:hint="eastAsia" w:ascii="宋体" w:hAnsi="宋体" w:eastAsia="宋体" w:cs="仿宋"/>
                <w:szCs w:val="21"/>
              </w:rPr>
              <w:t>英寸</w:t>
            </w:r>
          </w:p>
          <w:p w14:paraId="7E5247DA">
            <w:pPr>
              <w:widowControl w:val="0"/>
              <w:spacing w:line="276" w:lineRule="auto"/>
              <w:jc w:val="both"/>
              <w:rPr>
                <w:rFonts w:ascii="宋体" w:hAnsi="宋体" w:eastAsia="宋体" w:cs="仿宋"/>
                <w:szCs w:val="21"/>
              </w:rPr>
            </w:pPr>
            <w:r>
              <w:rPr>
                <w:rFonts w:hint="eastAsia" w:ascii="宋体" w:hAnsi="宋体" w:eastAsia="宋体" w:cs="仿宋"/>
                <w:szCs w:val="21"/>
              </w:rPr>
              <w:t>固态存储形态：采用插卡或板载等形态，可选用M.2或mSATA等标准的插卡形态</w:t>
            </w:r>
          </w:p>
          <w:p w14:paraId="2799319A">
            <w:pPr>
              <w:widowControl w:val="0"/>
              <w:spacing w:line="276" w:lineRule="auto"/>
              <w:jc w:val="both"/>
              <w:rPr>
                <w:rFonts w:ascii="宋体" w:hAnsi="宋体" w:eastAsia="宋体" w:cs="仿宋"/>
                <w:szCs w:val="21"/>
              </w:rPr>
            </w:pPr>
            <w:r>
              <w:rPr>
                <w:rFonts w:hint="eastAsia" w:ascii="宋体" w:hAnsi="宋体" w:eastAsia="宋体" w:cs="仿宋"/>
                <w:szCs w:val="21"/>
              </w:rPr>
              <w:t>存储设备扩展盘位：≥1</w:t>
            </w:r>
          </w:p>
          <w:p w14:paraId="49480CF2">
            <w:pPr>
              <w:widowControl w:val="0"/>
              <w:spacing w:line="276" w:lineRule="auto"/>
              <w:jc w:val="both"/>
              <w:rPr>
                <w:rFonts w:ascii="宋体" w:hAnsi="宋体" w:eastAsia="宋体" w:cs="仿宋"/>
                <w:szCs w:val="21"/>
              </w:rPr>
            </w:pPr>
            <w:r>
              <w:rPr>
                <w:rFonts w:hint="eastAsia" w:ascii="宋体" w:hAnsi="宋体" w:eastAsia="宋体" w:cs="仿宋"/>
                <w:szCs w:val="21"/>
              </w:rPr>
              <w:t>存储设备其他参数要求：</w:t>
            </w:r>
          </w:p>
          <w:p w14:paraId="127BD517">
            <w:pPr>
              <w:widowControl w:val="0"/>
              <w:spacing w:line="276" w:lineRule="auto"/>
              <w:jc w:val="both"/>
              <w:rPr>
                <w:rFonts w:ascii="宋体" w:hAnsi="宋体" w:eastAsia="宋体" w:cs="仿宋"/>
                <w:szCs w:val="21"/>
              </w:rPr>
            </w:pPr>
            <w:r>
              <w:rPr>
                <w:rFonts w:hint="eastAsia" w:ascii="宋体" w:hAnsi="宋体" w:eastAsia="宋体" w:cs="仿宋"/>
                <w:szCs w:val="21"/>
              </w:rPr>
              <w:t>a) 固态盘应符合SJ/T11654相关规定</w:t>
            </w:r>
          </w:p>
          <w:p w14:paraId="27770DAD">
            <w:pPr>
              <w:widowControl w:val="0"/>
              <w:spacing w:line="276" w:lineRule="auto"/>
              <w:jc w:val="both"/>
              <w:rPr>
                <w:rFonts w:ascii="宋体" w:hAnsi="宋体" w:eastAsia="宋体" w:cs="仿宋"/>
                <w:szCs w:val="21"/>
              </w:rPr>
            </w:pPr>
            <w:r>
              <w:rPr>
                <w:rFonts w:hint="eastAsia" w:ascii="宋体" w:hAnsi="宋体" w:eastAsia="宋体" w:cs="仿宋"/>
                <w:szCs w:val="21"/>
              </w:rPr>
              <w:t>b) 机械硬盘准备时间应不大于30s；侧面固定螺丝孔数量可为4孔或6孔；工作状态环境温度应满足5℃~55℃；其它参数应符合GB/T 12628的相关规定</w:t>
            </w:r>
          </w:p>
          <w:p w14:paraId="29A25A78">
            <w:pPr>
              <w:widowControl w:val="0"/>
              <w:spacing w:line="276" w:lineRule="auto"/>
              <w:jc w:val="both"/>
              <w:rPr>
                <w:rFonts w:ascii="宋体" w:hAnsi="宋体" w:eastAsia="宋体" w:cs="仿宋"/>
                <w:szCs w:val="21"/>
              </w:rPr>
            </w:pPr>
            <w:r>
              <w:rPr>
                <w:rFonts w:hint="eastAsia" w:ascii="宋体" w:hAnsi="宋体" w:eastAsia="宋体" w:cs="仿宋"/>
                <w:szCs w:val="21"/>
              </w:rPr>
              <w:t>5. 显卡规格</w:t>
            </w:r>
          </w:p>
          <w:p w14:paraId="26DA2092">
            <w:pPr>
              <w:widowControl w:val="0"/>
              <w:spacing w:line="276" w:lineRule="auto"/>
              <w:jc w:val="both"/>
              <w:rPr>
                <w:rFonts w:ascii="宋体" w:hAnsi="宋体" w:eastAsia="宋体" w:cs="仿宋"/>
                <w:szCs w:val="21"/>
              </w:rPr>
            </w:pPr>
            <w:r>
              <w:rPr>
                <w:rFonts w:hint="eastAsia" w:ascii="宋体" w:hAnsi="宋体" w:eastAsia="宋体" w:cs="仿宋"/>
                <w:szCs w:val="21"/>
              </w:rPr>
              <w:t>显卡类型：独立显卡</w:t>
            </w:r>
          </w:p>
          <w:p w14:paraId="10812F18">
            <w:pPr>
              <w:widowControl w:val="0"/>
              <w:spacing w:line="276" w:lineRule="auto"/>
              <w:jc w:val="both"/>
              <w:rPr>
                <w:rFonts w:ascii="宋体" w:hAnsi="宋体" w:eastAsia="宋体" w:cs="仿宋"/>
                <w:szCs w:val="21"/>
              </w:rPr>
            </w:pPr>
            <w:r>
              <w:rPr>
                <w:rFonts w:hint="eastAsia" w:ascii="宋体" w:hAnsi="宋体" w:eastAsia="宋体" w:cs="仿宋"/>
                <w:szCs w:val="21"/>
              </w:rPr>
              <w:t>独立显卡显存类型：DDR3及以上</w:t>
            </w:r>
          </w:p>
          <w:p w14:paraId="69548A36">
            <w:pPr>
              <w:widowControl w:val="0"/>
              <w:spacing w:line="276" w:lineRule="auto"/>
              <w:jc w:val="both"/>
              <w:rPr>
                <w:rFonts w:ascii="宋体" w:hAnsi="宋体" w:eastAsia="宋体" w:cs="仿宋"/>
                <w:szCs w:val="21"/>
              </w:rPr>
            </w:pPr>
            <w:r>
              <w:rPr>
                <w:rFonts w:hint="eastAsia" w:ascii="宋体" w:hAnsi="宋体" w:eastAsia="宋体" w:cs="仿宋"/>
                <w:szCs w:val="21"/>
              </w:rPr>
              <w:t>独立显卡显存位宽：≥64位</w:t>
            </w:r>
          </w:p>
          <w:p w14:paraId="664DE131">
            <w:pPr>
              <w:widowControl w:val="0"/>
              <w:spacing w:line="276" w:lineRule="auto"/>
              <w:jc w:val="both"/>
              <w:rPr>
                <w:rFonts w:ascii="宋体" w:hAnsi="宋体" w:eastAsia="宋体" w:cs="仿宋"/>
                <w:szCs w:val="21"/>
              </w:rPr>
            </w:pPr>
            <w:r>
              <w:rPr>
                <w:rFonts w:hint="eastAsia" w:ascii="宋体" w:hAnsi="宋体" w:eastAsia="宋体" w:cs="仿宋"/>
                <w:szCs w:val="21"/>
              </w:rPr>
              <w:t>独立显卡显存容量：≥2GB</w:t>
            </w:r>
          </w:p>
          <w:p w14:paraId="22611F5B">
            <w:pPr>
              <w:widowControl w:val="0"/>
              <w:spacing w:line="276" w:lineRule="auto"/>
              <w:jc w:val="both"/>
              <w:rPr>
                <w:rFonts w:ascii="宋体" w:hAnsi="宋体" w:eastAsia="宋体" w:cs="仿宋"/>
                <w:szCs w:val="21"/>
              </w:rPr>
            </w:pPr>
            <w:r>
              <w:rPr>
                <w:rFonts w:hint="eastAsia" w:ascii="宋体" w:hAnsi="宋体" w:eastAsia="宋体" w:cs="仿宋"/>
                <w:szCs w:val="21"/>
              </w:rPr>
              <w:t>6. 显示设备规格</w:t>
            </w:r>
          </w:p>
          <w:p w14:paraId="14659EEE">
            <w:pPr>
              <w:widowControl w:val="0"/>
              <w:spacing w:line="276" w:lineRule="auto"/>
              <w:jc w:val="both"/>
              <w:rPr>
                <w:rFonts w:ascii="宋体" w:hAnsi="宋体" w:eastAsia="宋体" w:cs="仿宋"/>
                <w:szCs w:val="21"/>
              </w:rPr>
            </w:pPr>
            <w:r>
              <w:rPr>
                <w:rFonts w:hint="eastAsia" w:ascii="宋体" w:hAnsi="宋体" w:eastAsia="宋体" w:cs="仿宋"/>
                <w:szCs w:val="21"/>
              </w:rPr>
              <w:t>显示屏屏占比：≥90%</w:t>
            </w:r>
          </w:p>
          <w:p w14:paraId="48D79027">
            <w:pPr>
              <w:widowControl w:val="0"/>
              <w:spacing w:line="276" w:lineRule="auto"/>
              <w:jc w:val="both"/>
              <w:rPr>
                <w:rFonts w:ascii="宋体" w:hAnsi="宋体" w:eastAsia="宋体" w:cs="仿宋"/>
                <w:szCs w:val="21"/>
              </w:rPr>
            </w:pPr>
            <w:r>
              <w:rPr>
                <w:rFonts w:hint="eastAsia" w:ascii="宋体" w:hAnsi="宋体" w:eastAsia="宋体" w:cs="仿宋"/>
                <w:szCs w:val="21"/>
              </w:rPr>
              <w:t>显示屏分辨率：≥1920x1080</w:t>
            </w:r>
          </w:p>
          <w:p w14:paraId="48587CD5">
            <w:pPr>
              <w:widowControl w:val="0"/>
              <w:spacing w:line="276" w:lineRule="auto"/>
              <w:jc w:val="both"/>
              <w:rPr>
                <w:rFonts w:ascii="宋体" w:hAnsi="宋体" w:eastAsia="宋体" w:cs="仿宋"/>
                <w:szCs w:val="21"/>
              </w:rPr>
            </w:pPr>
            <w:r>
              <w:rPr>
                <w:rFonts w:hint="eastAsia" w:ascii="宋体" w:hAnsi="宋体" w:eastAsia="宋体" w:cs="仿宋"/>
                <w:szCs w:val="21"/>
              </w:rPr>
              <w:t>显示屏尺寸≥23.8英寸</w:t>
            </w:r>
          </w:p>
          <w:p w14:paraId="5DD8E304">
            <w:pPr>
              <w:widowControl w:val="0"/>
              <w:spacing w:line="276" w:lineRule="auto"/>
              <w:jc w:val="both"/>
              <w:rPr>
                <w:rFonts w:ascii="宋体" w:hAnsi="宋体" w:eastAsia="宋体" w:cs="仿宋"/>
                <w:szCs w:val="21"/>
              </w:rPr>
            </w:pPr>
            <w:r>
              <w:rPr>
                <w:rFonts w:hint="eastAsia" w:ascii="宋体" w:hAnsi="宋体" w:eastAsia="宋体" w:cs="仿宋"/>
                <w:szCs w:val="21"/>
              </w:rPr>
              <w:t>显示屏屏幕比例：16:9</w:t>
            </w:r>
          </w:p>
          <w:p w14:paraId="4A616221">
            <w:pPr>
              <w:widowControl w:val="0"/>
              <w:spacing w:line="276" w:lineRule="auto"/>
              <w:jc w:val="both"/>
              <w:rPr>
                <w:rFonts w:ascii="宋体" w:hAnsi="宋体" w:eastAsia="宋体" w:cs="仿宋"/>
                <w:szCs w:val="21"/>
              </w:rPr>
            </w:pPr>
            <w:r>
              <w:rPr>
                <w:rFonts w:hint="eastAsia" w:ascii="宋体" w:hAnsi="宋体" w:eastAsia="宋体" w:cs="仿宋"/>
                <w:szCs w:val="21"/>
              </w:rPr>
              <w:t>显示器边框颜色：黑色</w:t>
            </w:r>
          </w:p>
          <w:p w14:paraId="4C1AC64E">
            <w:pPr>
              <w:widowControl w:val="0"/>
              <w:spacing w:line="276" w:lineRule="auto"/>
              <w:jc w:val="both"/>
              <w:rPr>
                <w:rFonts w:ascii="宋体" w:hAnsi="宋体" w:eastAsia="宋体" w:cs="仿宋"/>
                <w:szCs w:val="21"/>
              </w:rPr>
            </w:pPr>
            <w:r>
              <w:rPr>
                <w:rFonts w:hint="eastAsia" w:ascii="宋体" w:hAnsi="宋体" w:eastAsia="宋体" w:cs="仿宋"/>
                <w:szCs w:val="21"/>
              </w:rPr>
              <w:t>显示屏防蓝光：支持防蓝光模式，蓝光加权辐射亮度比应≤0.0012W/(·cd·sr)(瓦每坎德拉每球面度)</w:t>
            </w:r>
          </w:p>
          <w:p w14:paraId="0C85775F">
            <w:pPr>
              <w:widowControl w:val="0"/>
              <w:spacing w:line="276" w:lineRule="auto"/>
              <w:jc w:val="both"/>
              <w:rPr>
                <w:rFonts w:ascii="宋体" w:hAnsi="宋体" w:eastAsia="宋体" w:cs="仿宋"/>
                <w:szCs w:val="21"/>
              </w:rPr>
            </w:pPr>
            <w:r>
              <w:rPr>
                <w:rFonts w:hint="eastAsia" w:ascii="宋体" w:hAnsi="宋体" w:eastAsia="宋体" w:cs="仿宋"/>
                <w:szCs w:val="21"/>
              </w:rPr>
              <w:t>显示屏低频闪：显示屏应支持低频闪≤-35dB</w:t>
            </w:r>
          </w:p>
          <w:p w14:paraId="4E632846">
            <w:pPr>
              <w:widowControl w:val="0"/>
              <w:spacing w:line="276" w:lineRule="auto"/>
              <w:jc w:val="both"/>
              <w:rPr>
                <w:rFonts w:ascii="宋体" w:hAnsi="宋体" w:eastAsia="宋体" w:cs="仿宋"/>
                <w:szCs w:val="21"/>
              </w:rPr>
            </w:pPr>
            <w:r>
              <w:rPr>
                <w:rFonts w:hint="eastAsia" w:ascii="宋体" w:hAnsi="宋体" w:eastAsia="宋体" w:cs="仿宋"/>
                <w:szCs w:val="21"/>
              </w:rPr>
              <w:t>显示屏防炫目：显示屏镜面反射率≤10%</w:t>
            </w:r>
          </w:p>
          <w:p w14:paraId="51DA8DC8">
            <w:pPr>
              <w:widowControl w:val="0"/>
              <w:spacing w:line="276" w:lineRule="auto"/>
              <w:jc w:val="both"/>
              <w:rPr>
                <w:rFonts w:ascii="宋体" w:hAnsi="宋体" w:eastAsia="宋体" w:cs="仿宋"/>
                <w:szCs w:val="21"/>
              </w:rPr>
            </w:pPr>
            <w:r>
              <w:rPr>
                <w:rFonts w:hint="eastAsia" w:ascii="宋体" w:hAnsi="宋体" w:eastAsia="宋体" w:cs="仿宋"/>
                <w:szCs w:val="21"/>
              </w:rPr>
              <w:t>7. 外设规格</w:t>
            </w:r>
          </w:p>
          <w:p w14:paraId="50D3FF39">
            <w:pPr>
              <w:widowControl w:val="0"/>
              <w:spacing w:line="276" w:lineRule="auto"/>
              <w:jc w:val="both"/>
              <w:rPr>
                <w:rFonts w:ascii="宋体" w:hAnsi="宋体" w:eastAsia="宋体" w:cs="仿宋"/>
                <w:szCs w:val="21"/>
              </w:rPr>
            </w:pPr>
            <w:r>
              <w:rPr>
                <w:rFonts w:hint="eastAsia" w:ascii="宋体" w:hAnsi="宋体" w:eastAsia="宋体" w:cs="仿宋"/>
                <w:szCs w:val="21"/>
              </w:rPr>
              <w:t>鼠标数量：≥1个</w:t>
            </w:r>
          </w:p>
          <w:p w14:paraId="0654C943">
            <w:pPr>
              <w:widowControl w:val="0"/>
              <w:spacing w:line="276" w:lineRule="auto"/>
              <w:jc w:val="both"/>
              <w:rPr>
                <w:rFonts w:ascii="宋体" w:hAnsi="宋体" w:eastAsia="宋体" w:cs="仿宋"/>
                <w:szCs w:val="21"/>
              </w:rPr>
            </w:pPr>
            <w:r>
              <w:rPr>
                <w:rFonts w:hint="eastAsia" w:ascii="宋体" w:hAnsi="宋体" w:eastAsia="宋体" w:cs="仿宋"/>
                <w:szCs w:val="21"/>
              </w:rPr>
              <w:t>键盘数量：≥1个</w:t>
            </w:r>
          </w:p>
          <w:p w14:paraId="4493CE6F">
            <w:pPr>
              <w:widowControl w:val="0"/>
              <w:spacing w:line="276" w:lineRule="auto"/>
              <w:jc w:val="both"/>
              <w:rPr>
                <w:rFonts w:ascii="宋体" w:hAnsi="宋体" w:eastAsia="宋体" w:cs="仿宋"/>
                <w:szCs w:val="21"/>
              </w:rPr>
            </w:pPr>
            <w:r>
              <w:rPr>
                <w:rFonts w:hint="eastAsia" w:ascii="宋体" w:hAnsi="宋体" w:eastAsia="宋体" w:cs="仿宋"/>
                <w:szCs w:val="21"/>
              </w:rPr>
              <w:t>键盘按键数目：104键</w:t>
            </w:r>
          </w:p>
          <w:p w14:paraId="79926AD2">
            <w:pPr>
              <w:widowControl w:val="0"/>
              <w:spacing w:line="276" w:lineRule="auto"/>
              <w:jc w:val="both"/>
              <w:rPr>
                <w:rFonts w:ascii="宋体" w:hAnsi="宋体" w:eastAsia="宋体" w:cs="仿宋"/>
                <w:szCs w:val="21"/>
              </w:rPr>
            </w:pPr>
            <w:r>
              <w:rPr>
                <w:rFonts w:hint="eastAsia" w:ascii="宋体" w:hAnsi="宋体" w:eastAsia="宋体" w:cs="仿宋"/>
                <w:szCs w:val="21"/>
              </w:rPr>
              <w:t>键盘连接方式：有线</w:t>
            </w:r>
          </w:p>
          <w:p w14:paraId="35E62244">
            <w:pPr>
              <w:widowControl w:val="0"/>
              <w:spacing w:line="276" w:lineRule="auto"/>
              <w:jc w:val="both"/>
              <w:rPr>
                <w:rFonts w:ascii="宋体" w:hAnsi="宋体" w:eastAsia="宋体" w:cs="仿宋"/>
                <w:szCs w:val="21"/>
              </w:rPr>
            </w:pPr>
            <w:r>
              <w:rPr>
                <w:rFonts w:hint="eastAsia" w:ascii="宋体" w:hAnsi="宋体" w:eastAsia="宋体" w:cs="仿宋"/>
                <w:szCs w:val="21"/>
              </w:rPr>
              <w:t>键盘键程：2.3mm～4.0mm</w:t>
            </w:r>
          </w:p>
          <w:p w14:paraId="71198F91">
            <w:pPr>
              <w:widowControl w:val="0"/>
              <w:spacing w:line="276" w:lineRule="auto"/>
              <w:jc w:val="both"/>
              <w:rPr>
                <w:rFonts w:ascii="宋体" w:hAnsi="宋体" w:eastAsia="宋体" w:cs="仿宋"/>
                <w:szCs w:val="21"/>
              </w:rPr>
            </w:pPr>
            <w:r>
              <w:rPr>
                <w:rFonts w:hint="eastAsia" w:ascii="宋体" w:hAnsi="宋体" w:eastAsia="宋体" w:cs="仿宋"/>
                <w:szCs w:val="21"/>
              </w:rPr>
              <w:t>键盘按键压力：按键压力应在0.54N±0.14N</w:t>
            </w:r>
          </w:p>
          <w:p w14:paraId="02094A63">
            <w:pPr>
              <w:widowControl w:val="0"/>
              <w:spacing w:line="276" w:lineRule="auto"/>
              <w:jc w:val="both"/>
              <w:rPr>
                <w:rFonts w:ascii="宋体" w:hAnsi="宋体" w:eastAsia="宋体" w:cs="仿宋"/>
                <w:szCs w:val="21"/>
              </w:rPr>
            </w:pPr>
            <w:r>
              <w:rPr>
                <w:rFonts w:hint="eastAsia" w:ascii="宋体" w:hAnsi="宋体" w:eastAsia="宋体" w:cs="仿宋"/>
                <w:szCs w:val="21"/>
              </w:rPr>
              <w:t>有线键盘连接线：≥1.5米</w:t>
            </w:r>
          </w:p>
          <w:p w14:paraId="588D7B24">
            <w:pPr>
              <w:widowControl w:val="0"/>
              <w:spacing w:line="276" w:lineRule="auto"/>
              <w:jc w:val="both"/>
              <w:rPr>
                <w:rFonts w:ascii="宋体" w:hAnsi="宋体" w:eastAsia="宋体" w:cs="仿宋"/>
                <w:szCs w:val="21"/>
              </w:rPr>
            </w:pPr>
            <w:r>
              <w:rPr>
                <w:rFonts w:hint="eastAsia" w:ascii="宋体" w:hAnsi="宋体" w:eastAsia="宋体" w:cs="仿宋"/>
                <w:szCs w:val="21"/>
              </w:rPr>
              <w:t>键盘颜色：黑色</w:t>
            </w:r>
          </w:p>
          <w:p w14:paraId="0DDE42FD">
            <w:pPr>
              <w:widowControl w:val="0"/>
              <w:spacing w:line="276" w:lineRule="auto"/>
              <w:jc w:val="both"/>
              <w:rPr>
                <w:rFonts w:ascii="宋体" w:hAnsi="宋体" w:eastAsia="宋体" w:cs="仿宋"/>
                <w:szCs w:val="21"/>
              </w:rPr>
            </w:pPr>
            <w:r>
              <w:rPr>
                <w:rFonts w:hint="eastAsia" w:ascii="宋体" w:hAnsi="宋体" w:eastAsia="宋体" w:cs="仿宋"/>
                <w:szCs w:val="21"/>
              </w:rPr>
              <w:t>鼠标连接方式：有线</w:t>
            </w:r>
          </w:p>
          <w:p w14:paraId="4DB5B174">
            <w:pPr>
              <w:widowControl w:val="0"/>
              <w:spacing w:line="276" w:lineRule="auto"/>
              <w:jc w:val="both"/>
              <w:rPr>
                <w:rFonts w:ascii="宋体" w:hAnsi="宋体" w:eastAsia="宋体" w:cs="仿宋"/>
                <w:szCs w:val="21"/>
              </w:rPr>
            </w:pPr>
            <w:r>
              <w:rPr>
                <w:rFonts w:hint="eastAsia" w:ascii="宋体" w:hAnsi="宋体" w:eastAsia="宋体" w:cs="仿宋"/>
                <w:szCs w:val="21"/>
              </w:rPr>
              <w:t>有线鼠标连接线：≥1.5米</w:t>
            </w:r>
          </w:p>
          <w:p w14:paraId="1F765059">
            <w:pPr>
              <w:widowControl w:val="0"/>
              <w:spacing w:line="276" w:lineRule="auto"/>
              <w:jc w:val="both"/>
              <w:rPr>
                <w:rFonts w:ascii="宋体" w:hAnsi="宋体" w:eastAsia="宋体" w:cs="仿宋"/>
                <w:szCs w:val="21"/>
              </w:rPr>
            </w:pPr>
            <w:r>
              <w:rPr>
                <w:rFonts w:hint="eastAsia" w:ascii="宋体" w:hAnsi="宋体" w:eastAsia="宋体" w:cs="仿宋"/>
                <w:szCs w:val="21"/>
              </w:rPr>
              <w:t>鼠标DPI分辨率：800～1600</w:t>
            </w:r>
          </w:p>
          <w:p w14:paraId="7AD21DD1">
            <w:pPr>
              <w:widowControl w:val="0"/>
              <w:spacing w:line="276" w:lineRule="auto"/>
              <w:jc w:val="both"/>
              <w:rPr>
                <w:rFonts w:ascii="宋体" w:hAnsi="宋体" w:eastAsia="宋体" w:cs="仿宋"/>
                <w:szCs w:val="21"/>
              </w:rPr>
            </w:pPr>
            <w:r>
              <w:rPr>
                <w:rFonts w:hint="eastAsia" w:ascii="宋体" w:hAnsi="宋体" w:eastAsia="宋体" w:cs="仿宋"/>
                <w:szCs w:val="21"/>
              </w:rPr>
              <w:t>鼠标颜色：黑色</w:t>
            </w:r>
          </w:p>
          <w:p w14:paraId="3C9520B7">
            <w:pPr>
              <w:widowControl w:val="0"/>
              <w:spacing w:line="276" w:lineRule="auto"/>
              <w:jc w:val="both"/>
              <w:rPr>
                <w:rFonts w:ascii="宋体" w:hAnsi="宋体" w:eastAsia="宋体" w:cs="仿宋"/>
                <w:szCs w:val="21"/>
              </w:rPr>
            </w:pPr>
            <w:r>
              <w:rPr>
                <w:rFonts w:hint="eastAsia" w:ascii="宋体" w:hAnsi="宋体" w:eastAsia="宋体" w:cs="仿宋"/>
                <w:szCs w:val="21"/>
              </w:rPr>
              <w:t>鼠标其他要求：其它参数应符合GB/T26245的相关规定</w:t>
            </w:r>
          </w:p>
          <w:p w14:paraId="00E7B2F1">
            <w:pPr>
              <w:widowControl w:val="0"/>
              <w:spacing w:line="276" w:lineRule="auto"/>
              <w:jc w:val="both"/>
              <w:rPr>
                <w:rFonts w:ascii="宋体" w:hAnsi="宋体" w:eastAsia="宋体" w:cs="仿宋"/>
                <w:szCs w:val="21"/>
              </w:rPr>
            </w:pPr>
            <w:r>
              <w:rPr>
                <w:rFonts w:hint="eastAsia" w:ascii="宋体" w:hAnsi="宋体" w:eastAsia="宋体" w:cs="仿宋"/>
                <w:szCs w:val="21"/>
              </w:rPr>
              <w:t>8. 网络设备规格</w:t>
            </w:r>
          </w:p>
          <w:p w14:paraId="21294FB3">
            <w:pPr>
              <w:widowControl w:val="0"/>
              <w:spacing w:line="276" w:lineRule="auto"/>
              <w:jc w:val="both"/>
              <w:rPr>
                <w:rFonts w:ascii="宋体" w:hAnsi="宋体" w:eastAsia="宋体" w:cs="仿宋"/>
                <w:szCs w:val="21"/>
              </w:rPr>
            </w:pPr>
            <w:r>
              <w:rPr>
                <w:rFonts w:hint="eastAsia" w:ascii="宋体" w:hAnsi="宋体" w:eastAsia="宋体" w:cs="仿宋"/>
                <w:szCs w:val="21"/>
              </w:rPr>
              <w:t>有线网卡数量：≥1</w:t>
            </w:r>
          </w:p>
          <w:p w14:paraId="2D6BBD8E">
            <w:pPr>
              <w:widowControl w:val="0"/>
              <w:spacing w:line="276" w:lineRule="auto"/>
              <w:jc w:val="both"/>
              <w:rPr>
                <w:rFonts w:ascii="宋体" w:hAnsi="宋体" w:eastAsia="宋体" w:cs="仿宋"/>
                <w:szCs w:val="21"/>
              </w:rPr>
            </w:pPr>
            <w:r>
              <w:rPr>
                <w:rFonts w:hint="eastAsia" w:ascii="宋体" w:hAnsi="宋体" w:eastAsia="宋体" w:cs="仿宋"/>
                <w:szCs w:val="21"/>
              </w:rPr>
              <w:t>9. 外部接口规格</w:t>
            </w:r>
          </w:p>
          <w:p w14:paraId="50002745">
            <w:pPr>
              <w:widowControl w:val="0"/>
              <w:spacing w:line="276" w:lineRule="auto"/>
              <w:jc w:val="both"/>
              <w:rPr>
                <w:rFonts w:ascii="宋体" w:hAnsi="宋体" w:eastAsia="宋体" w:cs="仿宋"/>
                <w:szCs w:val="21"/>
              </w:rPr>
            </w:pPr>
            <w:r>
              <w:rPr>
                <w:rFonts w:hint="eastAsia" w:ascii="宋体" w:hAnsi="宋体" w:eastAsia="宋体" w:cs="仿宋"/>
                <w:szCs w:val="21"/>
              </w:rPr>
              <w:t>USB接口数量：USB3.0≥5，USB2.0≥4</w:t>
            </w:r>
          </w:p>
          <w:p w14:paraId="517FBC24">
            <w:pPr>
              <w:widowControl w:val="0"/>
              <w:spacing w:line="276" w:lineRule="auto"/>
              <w:jc w:val="both"/>
              <w:rPr>
                <w:rFonts w:ascii="宋体" w:hAnsi="宋体" w:eastAsia="宋体" w:cs="仿宋"/>
                <w:szCs w:val="21"/>
              </w:rPr>
            </w:pPr>
            <w:r>
              <w:rPr>
                <w:rFonts w:hint="eastAsia" w:ascii="宋体" w:hAnsi="宋体" w:eastAsia="宋体" w:cs="仿宋"/>
                <w:szCs w:val="21"/>
              </w:rPr>
              <w:t>视频接口数量：≥1</w:t>
            </w:r>
          </w:p>
          <w:p w14:paraId="7EBEAF67">
            <w:pPr>
              <w:widowControl w:val="0"/>
              <w:spacing w:line="276" w:lineRule="auto"/>
              <w:jc w:val="both"/>
              <w:rPr>
                <w:rFonts w:ascii="宋体" w:hAnsi="宋体" w:eastAsia="宋体" w:cs="仿宋"/>
                <w:szCs w:val="21"/>
              </w:rPr>
            </w:pPr>
            <w:r>
              <w:rPr>
                <w:rFonts w:hint="eastAsia" w:ascii="宋体" w:hAnsi="宋体" w:eastAsia="宋体" w:cs="仿宋"/>
                <w:szCs w:val="21"/>
              </w:rPr>
              <w:t>音频接口数量：≥1</w:t>
            </w:r>
          </w:p>
          <w:p w14:paraId="2FC68F6A">
            <w:pPr>
              <w:widowControl w:val="0"/>
              <w:spacing w:line="276" w:lineRule="auto"/>
              <w:jc w:val="both"/>
              <w:rPr>
                <w:rFonts w:ascii="宋体" w:hAnsi="宋体" w:eastAsia="宋体" w:cs="仿宋"/>
                <w:szCs w:val="21"/>
              </w:rPr>
            </w:pPr>
            <w:r>
              <w:rPr>
                <w:rFonts w:hint="eastAsia" w:ascii="宋体" w:hAnsi="宋体" w:eastAsia="宋体" w:cs="仿宋"/>
                <w:szCs w:val="21"/>
              </w:rPr>
              <w:t>10. 整机基础规格</w:t>
            </w:r>
          </w:p>
          <w:p w14:paraId="0C49196F">
            <w:pPr>
              <w:widowControl w:val="0"/>
              <w:spacing w:line="276" w:lineRule="auto"/>
              <w:jc w:val="both"/>
              <w:rPr>
                <w:rFonts w:ascii="宋体" w:hAnsi="宋体" w:eastAsia="宋体" w:cs="仿宋"/>
                <w:szCs w:val="21"/>
              </w:rPr>
            </w:pPr>
            <w:r>
              <w:rPr>
                <w:rFonts w:hint="eastAsia" w:ascii="宋体" w:hAnsi="宋体" w:eastAsia="宋体" w:cs="仿宋"/>
                <w:szCs w:val="21"/>
              </w:rPr>
              <w:t>整机外观：</w:t>
            </w:r>
          </w:p>
          <w:p w14:paraId="26FC7786">
            <w:pPr>
              <w:widowControl w:val="0"/>
              <w:spacing w:line="276" w:lineRule="auto"/>
              <w:jc w:val="both"/>
              <w:rPr>
                <w:rFonts w:ascii="宋体" w:hAnsi="宋体" w:eastAsia="宋体" w:cs="仿宋"/>
                <w:szCs w:val="21"/>
              </w:rPr>
            </w:pPr>
            <w:r>
              <w:rPr>
                <w:rFonts w:hint="eastAsia" w:ascii="宋体" w:hAnsi="宋体" w:eastAsia="宋体" w:cs="仿宋"/>
                <w:szCs w:val="21"/>
              </w:rPr>
              <w:t>a) 产品表面不应有凹痕、划伤、裂缝、变形和污染等。表面涂层均匀，不应起泡、龟裂、脱落和磨损，金属零部件无锈蚀及其它机械损伤</w:t>
            </w:r>
          </w:p>
          <w:p w14:paraId="3E2B0290">
            <w:pPr>
              <w:widowControl w:val="0"/>
              <w:spacing w:line="276" w:lineRule="auto"/>
              <w:jc w:val="both"/>
              <w:rPr>
                <w:rFonts w:ascii="宋体" w:hAnsi="宋体" w:eastAsia="宋体" w:cs="仿宋"/>
                <w:szCs w:val="21"/>
              </w:rPr>
            </w:pPr>
            <w:r>
              <w:rPr>
                <w:rFonts w:hint="eastAsia" w:ascii="宋体" w:hAnsi="宋体" w:eastAsia="宋体" w:cs="仿宋"/>
                <w:szCs w:val="21"/>
              </w:rPr>
              <w:t>b) 产品表面说明功能的文字、符号、标志，应清晰、端正、牢固</w:t>
            </w:r>
          </w:p>
          <w:p w14:paraId="73A7F71C">
            <w:pPr>
              <w:widowControl w:val="0"/>
              <w:spacing w:line="276" w:lineRule="auto"/>
              <w:jc w:val="both"/>
              <w:rPr>
                <w:rFonts w:ascii="宋体" w:hAnsi="宋体" w:eastAsia="宋体" w:cs="仿宋"/>
                <w:szCs w:val="21"/>
              </w:rPr>
            </w:pPr>
            <w:r>
              <w:rPr>
                <w:rFonts w:hint="eastAsia" w:ascii="宋体" w:hAnsi="宋体" w:eastAsia="宋体" w:cs="仿宋"/>
                <w:szCs w:val="21"/>
              </w:rPr>
              <w:t>c) 产品显著位置提供运行状态指示功能，并由生产厂商提供详细参数</w:t>
            </w:r>
          </w:p>
          <w:p w14:paraId="38C15DB2">
            <w:pPr>
              <w:widowControl w:val="0"/>
              <w:spacing w:line="276" w:lineRule="auto"/>
              <w:jc w:val="both"/>
              <w:rPr>
                <w:rFonts w:ascii="宋体" w:hAnsi="宋体" w:eastAsia="宋体" w:cs="仿宋"/>
                <w:szCs w:val="21"/>
              </w:rPr>
            </w:pPr>
            <w:r>
              <w:rPr>
                <w:rFonts w:hint="eastAsia" w:ascii="宋体" w:hAnsi="宋体" w:eastAsia="宋体" w:cs="仿宋"/>
                <w:szCs w:val="21"/>
              </w:rPr>
              <w:t>整机结构：</w:t>
            </w:r>
          </w:p>
          <w:p w14:paraId="51EA9DD7">
            <w:pPr>
              <w:widowControl w:val="0"/>
              <w:spacing w:line="276" w:lineRule="auto"/>
              <w:jc w:val="both"/>
              <w:rPr>
                <w:rFonts w:ascii="宋体" w:hAnsi="宋体" w:eastAsia="宋体" w:cs="仿宋"/>
                <w:szCs w:val="21"/>
              </w:rPr>
            </w:pPr>
            <w:r>
              <w:rPr>
                <w:rFonts w:hint="eastAsia" w:ascii="宋体" w:hAnsi="宋体" w:eastAsia="宋体" w:cs="仿宋"/>
                <w:szCs w:val="21"/>
              </w:rPr>
              <w:t>a) 机箱应符合GB/T 4208、GB/T 26246的相关规定</w:t>
            </w:r>
          </w:p>
          <w:p w14:paraId="5821026F">
            <w:pPr>
              <w:widowControl w:val="0"/>
              <w:spacing w:line="276" w:lineRule="auto"/>
              <w:jc w:val="both"/>
              <w:rPr>
                <w:rFonts w:ascii="宋体" w:hAnsi="宋体" w:eastAsia="宋体" w:cs="仿宋"/>
                <w:szCs w:val="21"/>
              </w:rPr>
            </w:pPr>
            <w:r>
              <w:rPr>
                <w:rFonts w:hint="eastAsia" w:ascii="宋体" w:hAnsi="宋体" w:eastAsia="宋体" w:cs="仿宋"/>
                <w:szCs w:val="21"/>
              </w:rPr>
              <w:t>b) 产品内部结构应符合通用部件的安装需求</w:t>
            </w:r>
          </w:p>
          <w:p w14:paraId="13196DD4">
            <w:pPr>
              <w:widowControl w:val="0"/>
              <w:spacing w:line="276" w:lineRule="auto"/>
              <w:jc w:val="both"/>
              <w:rPr>
                <w:rFonts w:ascii="宋体" w:hAnsi="宋体" w:eastAsia="宋体" w:cs="仿宋"/>
                <w:szCs w:val="21"/>
              </w:rPr>
            </w:pPr>
            <w:r>
              <w:rPr>
                <w:rFonts w:hint="eastAsia" w:ascii="宋体" w:hAnsi="宋体" w:eastAsia="宋体" w:cs="仿宋"/>
                <w:szCs w:val="21"/>
              </w:rPr>
              <w:t>c) 所有输入输出接口应符合相关国家或行业标准</w:t>
            </w:r>
          </w:p>
          <w:p w14:paraId="048AFDD2">
            <w:pPr>
              <w:widowControl w:val="0"/>
              <w:spacing w:line="276" w:lineRule="auto"/>
              <w:jc w:val="both"/>
              <w:rPr>
                <w:rFonts w:ascii="宋体" w:hAnsi="宋体" w:eastAsia="宋体" w:cs="仿宋"/>
                <w:szCs w:val="21"/>
              </w:rPr>
            </w:pPr>
            <w:r>
              <w:rPr>
                <w:rFonts w:hint="eastAsia" w:ascii="宋体" w:hAnsi="宋体" w:eastAsia="宋体" w:cs="仿宋"/>
                <w:szCs w:val="21"/>
              </w:rPr>
              <w:t>d) 产品零部件应紧固无松动，可插拔部件应可靠连接，开关、按钮和其它控制部件应灵活可靠，布局应方便使用</w:t>
            </w:r>
          </w:p>
          <w:p w14:paraId="4A866E9B">
            <w:pPr>
              <w:widowControl w:val="0"/>
              <w:spacing w:line="276" w:lineRule="auto"/>
              <w:jc w:val="both"/>
              <w:rPr>
                <w:rFonts w:ascii="宋体" w:hAnsi="宋体" w:eastAsia="宋体" w:cs="仿宋"/>
                <w:szCs w:val="21"/>
              </w:rPr>
            </w:pPr>
            <w:r>
              <w:rPr>
                <w:rFonts w:hint="eastAsia" w:ascii="宋体" w:hAnsi="宋体" w:eastAsia="宋体" w:cs="仿宋"/>
                <w:szCs w:val="21"/>
              </w:rPr>
              <w:t>e) 所有I/O连接器及需插接线缆的部位应预留采购人操作空间，方便插拔解锁与插拔线缆</w:t>
            </w:r>
          </w:p>
          <w:p w14:paraId="578B5F2F">
            <w:pPr>
              <w:widowControl w:val="0"/>
              <w:spacing w:line="276" w:lineRule="auto"/>
              <w:jc w:val="both"/>
              <w:rPr>
                <w:rFonts w:ascii="宋体" w:hAnsi="宋体" w:eastAsia="宋体" w:cs="仿宋"/>
                <w:szCs w:val="21"/>
              </w:rPr>
            </w:pPr>
            <w:r>
              <w:rPr>
                <w:rFonts w:hint="eastAsia" w:ascii="宋体" w:hAnsi="宋体" w:eastAsia="宋体" w:cs="仿宋"/>
                <w:szCs w:val="21"/>
              </w:rPr>
              <w:t>f) 可插拔板卡插槽部位应预留安装、拆卸或更换板卡空间</w:t>
            </w:r>
          </w:p>
          <w:p w14:paraId="435964E8">
            <w:pPr>
              <w:widowControl w:val="0"/>
              <w:spacing w:line="276" w:lineRule="auto"/>
              <w:jc w:val="both"/>
              <w:rPr>
                <w:rFonts w:ascii="宋体" w:hAnsi="宋体" w:eastAsia="宋体" w:cs="仿宋"/>
                <w:szCs w:val="21"/>
              </w:rPr>
            </w:pPr>
            <w:r>
              <w:rPr>
                <w:rFonts w:hint="eastAsia" w:ascii="宋体" w:hAnsi="宋体" w:eastAsia="宋体" w:cs="仿宋"/>
                <w:szCs w:val="21"/>
              </w:rPr>
              <w:t>g) 拆装可能接触到的金属剪口或金属尖角部位应做防划伤处理，以保证安全</w:t>
            </w:r>
          </w:p>
          <w:p w14:paraId="08071997">
            <w:pPr>
              <w:widowControl w:val="0"/>
              <w:spacing w:line="276" w:lineRule="auto"/>
              <w:jc w:val="both"/>
              <w:rPr>
                <w:rFonts w:ascii="宋体" w:hAnsi="宋体" w:eastAsia="宋体" w:cs="仿宋"/>
                <w:szCs w:val="21"/>
              </w:rPr>
            </w:pPr>
            <w:r>
              <w:rPr>
                <w:rFonts w:hint="eastAsia" w:ascii="宋体" w:hAnsi="宋体" w:eastAsia="宋体" w:cs="仿宋"/>
                <w:szCs w:val="21"/>
              </w:rPr>
              <w:t>h) 整机内部走线应规整，固线结构和位置要合理可靠并做防割线处理，需便于理线和插拔操作，走线应不影响系统各主要部件组装和拆卸</w:t>
            </w:r>
          </w:p>
          <w:p w14:paraId="3014681F">
            <w:pPr>
              <w:widowControl w:val="0"/>
              <w:spacing w:line="276" w:lineRule="auto"/>
              <w:jc w:val="both"/>
              <w:rPr>
                <w:rFonts w:ascii="宋体" w:hAnsi="宋体" w:eastAsia="宋体" w:cs="仿宋"/>
                <w:szCs w:val="21"/>
              </w:rPr>
            </w:pPr>
            <w:r>
              <w:rPr>
                <w:rFonts w:hint="eastAsia" w:ascii="宋体" w:hAnsi="宋体" w:eastAsia="宋体" w:cs="仿宋"/>
                <w:szCs w:val="21"/>
              </w:rPr>
              <w:t>i) 如需通过孔走线，过线孔应做防割线处理</w:t>
            </w:r>
          </w:p>
          <w:p w14:paraId="423D72D7">
            <w:pPr>
              <w:widowControl w:val="0"/>
              <w:spacing w:line="276" w:lineRule="auto"/>
              <w:jc w:val="both"/>
              <w:rPr>
                <w:rFonts w:ascii="宋体" w:hAnsi="宋体" w:eastAsia="宋体" w:cs="仿宋"/>
                <w:szCs w:val="21"/>
              </w:rPr>
            </w:pPr>
            <w:r>
              <w:rPr>
                <w:rFonts w:hint="eastAsia" w:ascii="宋体" w:hAnsi="宋体" w:eastAsia="宋体" w:cs="仿宋"/>
                <w:szCs w:val="21"/>
              </w:rPr>
              <w:t>j) 各插头位置和插拔方向应合理，应做到插拔无障碍设计，具备防呆设计，有效避免误操作</w:t>
            </w:r>
          </w:p>
          <w:p w14:paraId="4BC0D041">
            <w:pPr>
              <w:widowControl w:val="0"/>
              <w:spacing w:line="276" w:lineRule="auto"/>
              <w:jc w:val="both"/>
              <w:rPr>
                <w:rFonts w:ascii="宋体" w:hAnsi="宋体" w:eastAsia="宋体" w:cs="仿宋"/>
                <w:szCs w:val="21"/>
              </w:rPr>
            </w:pPr>
            <w:r>
              <w:rPr>
                <w:rFonts w:hint="eastAsia" w:ascii="宋体" w:hAnsi="宋体" w:eastAsia="宋体" w:cs="仿宋"/>
                <w:szCs w:val="21"/>
              </w:rPr>
              <w:t>k) 各主要部件拆装无障碍，使用常规工具拆装，无特殊拆装工具需求</w:t>
            </w:r>
          </w:p>
          <w:p w14:paraId="5ED692A2">
            <w:pPr>
              <w:widowControl w:val="0"/>
              <w:spacing w:line="276" w:lineRule="auto"/>
              <w:jc w:val="both"/>
              <w:rPr>
                <w:rFonts w:ascii="宋体" w:hAnsi="宋体" w:eastAsia="宋体" w:cs="仿宋"/>
                <w:szCs w:val="21"/>
              </w:rPr>
            </w:pPr>
            <w:r>
              <w:rPr>
                <w:rFonts w:hint="eastAsia" w:ascii="宋体" w:hAnsi="宋体" w:eastAsia="宋体" w:cs="仿宋"/>
                <w:szCs w:val="21"/>
              </w:rPr>
              <w:t>l) 各主要部件拆装步骤要少，各自拆装需避免相互干扰</w:t>
            </w:r>
          </w:p>
          <w:p w14:paraId="5C221E70">
            <w:pPr>
              <w:widowControl w:val="0"/>
              <w:spacing w:line="276" w:lineRule="auto"/>
              <w:jc w:val="both"/>
              <w:rPr>
                <w:rFonts w:ascii="宋体" w:hAnsi="宋体" w:eastAsia="宋体" w:cs="仿宋"/>
                <w:szCs w:val="21"/>
              </w:rPr>
            </w:pPr>
            <w:r>
              <w:rPr>
                <w:rFonts w:hint="eastAsia" w:ascii="宋体" w:hAnsi="宋体" w:eastAsia="宋体" w:cs="仿宋"/>
                <w:szCs w:val="21"/>
              </w:rPr>
              <w:t>m) 对于整机或零部件外表面为高亮面的，应粘贴保护膜，保护膜需粘贴牢固，运输、组装等过程不易脱落，撕下无残留</w:t>
            </w:r>
          </w:p>
          <w:p w14:paraId="0802C465">
            <w:pPr>
              <w:widowControl w:val="0"/>
              <w:spacing w:line="276" w:lineRule="auto"/>
              <w:jc w:val="both"/>
              <w:rPr>
                <w:rFonts w:ascii="宋体" w:hAnsi="宋体" w:eastAsia="宋体" w:cs="仿宋"/>
                <w:szCs w:val="21"/>
              </w:rPr>
            </w:pPr>
            <w:r>
              <w:rPr>
                <w:rFonts w:hint="eastAsia" w:ascii="宋体" w:hAnsi="宋体" w:eastAsia="宋体" w:cs="仿宋"/>
                <w:szCs w:val="21"/>
              </w:rPr>
              <w:t>n) 其它要求应符合GB/T9813.1的相关规定</w:t>
            </w:r>
          </w:p>
          <w:p w14:paraId="39039E68">
            <w:pPr>
              <w:widowControl w:val="0"/>
              <w:spacing w:line="276" w:lineRule="auto"/>
              <w:jc w:val="both"/>
              <w:rPr>
                <w:rFonts w:ascii="宋体" w:hAnsi="宋体" w:eastAsia="宋体" w:cs="仿宋"/>
                <w:szCs w:val="21"/>
              </w:rPr>
            </w:pPr>
            <w:r>
              <w:rPr>
                <w:rFonts w:hint="eastAsia" w:ascii="宋体" w:hAnsi="宋体" w:eastAsia="宋体" w:cs="仿宋"/>
                <w:szCs w:val="21"/>
              </w:rPr>
              <w:t>机箱防护要求：机箱应符合GB/T4208中IP20防护要求</w:t>
            </w:r>
          </w:p>
          <w:p w14:paraId="7F93B3F5">
            <w:pPr>
              <w:widowControl w:val="0"/>
              <w:spacing w:line="276" w:lineRule="auto"/>
              <w:jc w:val="both"/>
              <w:rPr>
                <w:rFonts w:ascii="宋体" w:hAnsi="宋体" w:eastAsia="宋体" w:cs="仿宋"/>
                <w:szCs w:val="21"/>
              </w:rPr>
            </w:pPr>
            <w:r>
              <w:rPr>
                <w:rFonts w:hint="eastAsia" w:ascii="宋体" w:hAnsi="宋体" w:eastAsia="宋体" w:cs="仿宋"/>
                <w:szCs w:val="21"/>
              </w:rPr>
              <w:t>整机噪音：不得大于</w:t>
            </w:r>
            <w:r>
              <w:rPr>
                <w:rFonts w:ascii="宋体" w:hAnsi="宋体" w:eastAsia="宋体" w:cs="仿宋"/>
                <w:szCs w:val="21"/>
              </w:rPr>
              <w:t>4.5</w:t>
            </w:r>
            <w:r>
              <w:rPr>
                <w:rFonts w:hint="eastAsia" w:ascii="宋体" w:hAnsi="宋体" w:eastAsia="宋体" w:cs="仿宋"/>
                <w:szCs w:val="21"/>
              </w:rPr>
              <w:t>Bel</w:t>
            </w:r>
          </w:p>
          <w:p w14:paraId="7D102D99">
            <w:pPr>
              <w:widowControl w:val="0"/>
              <w:spacing w:line="276" w:lineRule="auto"/>
              <w:jc w:val="both"/>
              <w:rPr>
                <w:rFonts w:ascii="宋体" w:hAnsi="宋体" w:eastAsia="宋体" w:cs="仿宋"/>
                <w:szCs w:val="21"/>
              </w:rPr>
            </w:pPr>
            <w:r>
              <w:rPr>
                <w:rFonts w:hint="eastAsia" w:ascii="宋体" w:hAnsi="宋体" w:eastAsia="宋体" w:cs="仿宋"/>
                <w:szCs w:val="21"/>
              </w:rPr>
              <w:t>整机散热：在环境温度</w:t>
            </w:r>
            <w:r>
              <w:rPr>
                <w:rFonts w:ascii="宋体" w:hAnsi="宋体" w:eastAsia="宋体" w:cs="仿宋"/>
                <w:szCs w:val="21"/>
              </w:rPr>
              <w:t>25℃及处理器满载情况下，产品表面温度应符合如下要求：</w:t>
            </w:r>
            <w:r>
              <w:rPr>
                <w:rFonts w:hint="eastAsia" w:ascii="宋体" w:hAnsi="宋体" w:eastAsia="宋体" w:cs="仿宋"/>
                <w:szCs w:val="21"/>
              </w:rPr>
              <w:t>a)</w:t>
            </w:r>
            <w:r>
              <w:rPr>
                <w:rFonts w:ascii="宋体" w:hAnsi="宋体" w:eastAsia="宋体" w:cs="仿宋"/>
                <w:szCs w:val="21"/>
              </w:rPr>
              <w:t>出风口在机箱后面板情况下，出风口温度不高于55℃；</w:t>
            </w:r>
          </w:p>
          <w:p w14:paraId="549AD894">
            <w:pPr>
              <w:widowControl w:val="0"/>
              <w:spacing w:line="276" w:lineRule="auto"/>
              <w:jc w:val="both"/>
              <w:rPr>
                <w:rFonts w:ascii="宋体" w:hAnsi="宋体" w:eastAsia="宋体" w:cs="仿宋"/>
                <w:szCs w:val="21"/>
              </w:rPr>
            </w:pPr>
            <w:r>
              <w:rPr>
                <w:rFonts w:hint="eastAsia" w:ascii="宋体" w:hAnsi="宋体" w:eastAsia="宋体" w:cs="仿宋"/>
                <w:szCs w:val="21"/>
              </w:rPr>
              <w:t>b)可触及面温度范围内小于45℃</w:t>
            </w:r>
          </w:p>
          <w:p w14:paraId="4367C5D4">
            <w:pPr>
              <w:widowControl w:val="0"/>
              <w:spacing w:line="276" w:lineRule="auto"/>
              <w:jc w:val="both"/>
              <w:rPr>
                <w:rFonts w:ascii="宋体" w:hAnsi="宋体" w:eastAsia="宋体" w:cs="仿宋"/>
                <w:szCs w:val="21"/>
              </w:rPr>
            </w:pPr>
            <w:r>
              <w:rPr>
                <w:rFonts w:ascii="宋体" w:hAnsi="宋体" w:eastAsia="宋体" w:cs="仿宋"/>
                <w:szCs w:val="21"/>
              </w:rPr>
              <w:t>c</w:t>
            </w:r>
            <w:r>
              <w:rPr>
                <w:rFonts w:hint="eastAsia" w:ascii="宋体" w:hAnsi="宋体" w:eastAsia="宋体" w:cs="仿宋"/>
                <w:szCs w:val="21"/>
              </w:rPr>
              <w:t>)显示器表面温度：显示屏温度不高于38℃，显示屏上下灯带位置温度（如涉及）不高于40℃，出风口温度不高于55℃</w:t>
            </w:r>
          </w:p>
          <w:p w14:paraId="32ACA354">
            <w:pPr>
              <w:widowControl w:val="0"/>
              <w:spacing w:line="276" w:lineRule="auto"/>
              <w:jc w:val="both"/>
              <w:rPr>
                <w:rFonts w:ascii="宋体" w:hAnsi="宋体" w:eastAsia="宋体" w:cs="仿宋"/>
                <w:szCs w:val="21"/>
              </w:rPr>
            </w:pPr>
            <w:r>
              <w:rPr>
                <w:rFonts w:hint="eastAsia" w:ascii="宋体" w:hAnsi="宋体" w:eastAsia="宋体" w:cs="仿宋"/>
                <w:szCs w:val="21"/>
              </w:rPr>
              <w:t>整机能效限定值：产品能效限定值应达到GB 28380-2012标准中能效等级2级及以上</w:t>
            </w:r>
          </w:p>
          <w:p w14:paraId="0270CFDA">
            <w:pPr>
              <w:widowControl w:val="0"/>
              <w:spacing w:line="276" w:lineRule="auto"/>
              <w:jc w:val="both"/>
              <w:rPr>
                <w:rFonts w:ascii="宋体" w:hAnsi="宋体" w:eastAsia="宋体" w:cs="仿宋"/>
                <w:szCs w:val="21"/>
              </w:rPr>
            </w:pPr>
            <w:r>
              <w:rPr>
                <w:rFonts w:hint="eastAsia" w:ascii="宋体" w:hAnsi="宋体" w:eastAsia="宋体" w:cs="仿宋"/>
                <w:szCs w:val="21"/>
              </w:rPr>
              <w:t>机身材质：金属</w:t>
            </w:r>
          </w:p>
          <w:p w14:paraId="553BEB50">
            <w:pPr>
              <w:widowControl w:val="0"/>
              <w:spacing w:line="276" w:lineRule="auto"/>
              <w:jc w:val="both"/>
              <w:rPr>
                <w:rFonts w:ascii="宋体" w:hAnsi="宋体" w:eastAsia="宋体" w:cs="仿宋"/>
                <w:szCs w:val="21"/>
              </w:rPr>
            </w:pPr>
            <w:r>
              <w:rPr>
                <w:rFonts w:hint="eastAsia" w:ascii="宋体" w:hAnsi="宋体" w:eastAsia="宋体" w:cs="仿宋"/>
                <w:szCs w:val="21"/>
              </w:rPr>
              <w:t>机身颜色：黑色</w:t>
            </w:r>
          </w:p>
          <w:p w14:paraId="3D33596B">
            <w:pPr>
              <w:widowControl w:val="0"/>
              <w:spacing w:line="276" w:lineRule="auto"/>
              <w:jc w:val="both"/>
              <w:rPr>
                <w:rFonts w:ascii="宋体" w:hAnsi="宋体" w:eastAsia="宋体" w:cs="仿宋"/>
                <w:szCs w:val="21"/>
              </w:rPr>
            </w:pPr>
            <w:r>
              <w:rPr>
                <w:rFonts w:hint="eastAsia" w:ascii="宋体" w:hAnsi="宋体" w:eastAsia="宋体" w:cs="仿宋"/>
                <w:szCs w:val="21"/>
              </w:rPr>
              <w:t>机箱尺寸容量：机箱体积应不大于3</w:t>
            </w:r>
            <w:r>
              <w:rPr>
                <w:rFonts w:ascii="宋体" w:hAnsi="宋体" w:eastAsia="宋体" w:cs="仿宋"/>
                <w:szCs w:val="21"/>
              </w:rPr>
              <w:t>0L</w:t>
            </w:r>
          </w:p>
          <w:p w14:paraId="56C522BB">
            <w:pPr>
              <w:widowControl w:val="0"/>
              <w:spacing w:line="276" w:lineRule="auto"/>
              <w:jc w:val="both"/>
              <w:rPr>
                <w:rFonts w:ascii="宋体" w:hAnsi="宋体" w:eastAsia="宋体" w:cs="仿宋"/>
                <w:szCs w:val="21"/>
              </w:rPr>
            </w:pPr>
            <w:r>
              <w:rPr>
                <w:rFonts w:hint="eastAsia" w:ascii="宋体" w:hAnsi="宋体" w:eastAsia="宋体" w:cs="仿宋"/>
                <w:szCs w:val="21"/>
              </w:rPr>
              <w:t>二、性能要求</w:t>
            </w:r>
          </w:p>
          <w:p w14:paraId="043A87B4">
            <w:pPr>
              <w:widowControl w:val="0"/>
              <w:spacing w:line="276" w:lineRule="auto"/>
              <w:jc w:val="both"/>
              <w:rPr>
                <w:rFonts w:ascii="宋体" w:hAnsi="宋体" w:eastAsia="宋体" w:cs="仿宋"/>
                <w:szCs w:val="21"/>
              </w:rPr>
            </w:pPr>
            <w:r>
              <w:rPr>
                <w:rFonts w:hint="eastAsia" w:ascii="宋体" w:hAnsi="宋体" w:eastAsia="宋体" w:cs="仿宋"/>
                <w:szCs w:val="21"/>
              </w:rPr>
              <w:t>CPU物理核数：≥8</w:t>
            </w:r>
          </w:p>
          <w:p w14:paraId="106F4FB2">
            <w:pPr>
              <w:widowControl w:val="0"/>
              <w:spacing w:line="276" w:lineRule="auto"/>
              <w:jc w:val="both"/>
              <w:rPr>
                <w:rFonts w:ascii="宋体" w:hAnsi="宋体" w:eastAsia="宋体" w:cs="仿宋"/>
                <w:szCs w:val="21"/>
              </w:rPr>
            </w:pPr>
            <w:r>
              <w:rPr>
                <w:rFonts w:hint="eastAsia" w:ascii="宋体" w:hAnsi="宋体" w:eastAsia="宋体" w:cs="仿宋"/>
                <w:szCs w:val="21"/>
              </w:rPr>
              <w:t>CPU主频：≥3.0GHz</w:t>
            </w:r>
          </w:p>
          <w:p w14:paraId="664A3534">
            <w:pPr>
              <w:widowControl w:val="0"/>
              <w:spacing w:line="276" w:lineRule="auto"/>
              <w:jc w:val="both"/>
              <w:rPr>
                <w:rFonts w:ascii="宋体" w:hAnsi="宋体" w:eastAsia="宋体" w:cs="仿宋"/>
                <w:szCs w:val="21"/>
              </w:rPr>
            </w:pPr>
            <w:r>
              <w:rPr>
                <w:rFonts w:hint="eastAsia" w:ascii="宋体" w:hAnsi="宋体" w:eastAsia="宋体" w:cs="仿宋"/>
                <w:szCs w:val="21"/>
              </w:rPr>
              <w:t>CPU末级缓存容量：≥16MB</w:t>
            </w:r>
          </w:p>
          <w:p w14:paraId="67FA9050">
            <w:pPr>
              <w:widowControl w:val="0"/>
              <w:spacing w:line="276" w:lineRule="auto"/>
              <w:jc w:val="both"/>
              <w:rPr>
                <w:rFonts w:ascii="宋体" w:hAnsi="宋体" w:eastAsia="宋体" w:cs="仿宋"/>
                <w:szCs w:val="21"/>
              </w:rPr>
            </w:pPr>
            <w:r>
              <w:rPr>
                <w:rFonts w:hint="eastAsia" w:ascii="宋体" w:hAnsi="宋体" w:eastAsia="宋体" w:cs="仿宋"/>
                <w:szCs w:val="21"/>
              </w:rPr>
              <w:t>CPU支持的内存最高速率：≥3200MHz</w:t>
            </w:r>
          </w:p>
          <w:p w14:paraId="7EED9C88">
            <w:pPr>
              <w:widowControl w:val="0"/>
              <w:spacing w:line="276" w:lineRule="auto"/>
              <w:jc w:val="both"/>
              <w:rPr>
                <w:rFonts w:ascii="宋体" w:hAnsi="宋体" w:eastAsia="宋体" w:cs="仿宋"/>
                <w:szCs w:val="21"/>
              </w:rPr>
            </w:pPr>
            <w:r>
              <w:rPr>
                <w:rFonts w:hint="eastAsia" w:ascii="宋体" w:hAnsi="宋体" w:eastAsia="宋体" w:cs="仿宋"/>
                <w:szCs w:val="21"/>
              </w:rPr>
              <w:t>内存读写速率：≥2666MT/s</w:t>
            </w:r>
          </w:p>
          <w:p w14:paraId="0C52A9D4">
            <w:pPr>
              <w:widowControl w:val="0"/>
              <w:spacing w:line="276" w:lineRule="auto"/>
              <w:jc w:val="both"/>
              <w:rPr>
                <w:rFonts w:ascii="宋体" w:hAnsi="宋体" w:eastAsia="宋体" w:cs="仿宋"/>
                <w:szCs w:val="21"/>
              </w:rPr>
            </w:pPr>
            <w:r>
              <w:rPr>
                <w:rFonts w:hint="eastAsia" w:ascii="宋体" w:hAnsi="宋体" w:eastAsia="宋体" w:cs="仿宋"/>
                <w:szCs w:val="21"/>
              </w:rPr>
              <w:t>显示分辨率：≥1920x1080</w:t>
            </w:r>
          </w:p>
          <w:p w14:paraId="4502DAB0">
            <w:pPr>
              <w:widowControl w:val="0"/>
              <w:spacing w:line="276" w:lineRule="auto"/>
              <w:jc w:val="both"/>
              <w:rPr>
                <w:rFonts w:ascii="宋体" w:hAnsi="宋体" w:eastAsia="宋体" w:cs="仿宋"/>
                <w:szCs w:val="21"/>
              </w:rPr>
            </w:pPr>
            <w:r>
              <w:rPr>
                <w:rFonts w:hint="eastAsia" w:ascii="宋体" w:hAnsi="宋体" w:eastAsia="宋体" w:cs="仿宋"/>
                <w:szCs w:val="21"/>
              </w:rPr>
              <w:t>显卡显示芯片核心频率：≥780MHz/1.35GHz</w:t>
            </w:r>
          </w:p>
          <w:p w14:paraId="31F6F3F8">
            <w:pPr>
              <w:widowControl w:val="0"/>
              <w:spacing w:line="276" w:lineRule="auto"/>
              <w:jc w:val="both"/>
              <w:rPr>
                <w:rFonts w:ascii="宋体" w:hAnsi="宋体" w:eastAsia="宋体" w:cs="仿宋"/>
                <w:szCs w:val="21"/>
              </w:rPr>
            </w:pPr>
            <w:r>
              <w:rPr>
                <w:rFonts w:hint="eastAsia" w:ascii="宋体" w:hAnsi="宋体" w:eastAsia="宋体" w:cs="仿宋"/>
                <w:szCs w:val="21"/>
              </w:rPr>
              <w:t>显存等效频率：≥1600MHz/3733MHz</w:t>
            </w:r>
          </w:p>
          <w:p w14:paraId="31780C82">
            <w:pPr>
              <w:widowControl w:val="0"/>
              <w:spacing w:line="276" w:lineRule="auto"/>
              <w:jc w:val="both"/>
              <w:rPr>
                <w:rFonts w:ascii="宋体" w:hAnsi="宋体" w:eastAsia="宋体" w:cs="仿宋"/>
                <w:szCs w:val="21"/>
              </w:rPr>
            </w:pPr>
            <w:r>
              <w:rPr>
                <w:rFonts w:hint="eastAsia" w:ascii="宋体" w:hAnsi="宋体" w:eastAsia="宋体" w:cs="仿宋"/>
                <w:szCs w:val="21"/>
              </w:rPr>
              <w:t>显卡可同时支持多屏显示数量：显卡应支持2块屏幕同时显示，分辨率应不低于1920×1080</w:t>
            </w:r>
          </w:p>
          <w:p w14:paraId="28755CA3">
            <w:pPr>
              <w:widowControl w:val="0"/>
              <w:spacing w:line="276" w:lineRule="auto"/>
              <w:jc w:val="both"/>
              <w:rPr>
                <w:rFonts w:ascii="宋体" w:hAnsi="宋体" w:eastAsia="宋体" w:cs="仿宋"/>
                <w:szCs w:val="21"/>
              </w:rPr>
            </w:pPr>
            <w:r>
              <w:rPr>
                <w:rFonts w:hint="eastAsia" w:ascii="宋体" w:hAnsi="宋体" w:eastAsia="宋体" w:cs="仿宋"/>
                <w:szCs w:val="21"/>
              </w:rPr>
              <w:t>显示屏刷新率：≥</w:t>
            </w:r>
            <w:r>
              <w:rPr>
                <w:rFonts w:ascii="宋体" w:hAnsi="宋体" w:eastAsia="宋体" w:cs="仿宋"/>
                <w:szCs w:val="21"/>
              </w:rPr>
              <w:t>75</w:t>
            </w:r>
            <w:r>
              <w:rPr>
                <w:rFonts w:hint="eastAsia" w:ascii="宋体" w:hAnsi="宋体" w:eastAsia="宋体" w:cs="仿宋"/>
                <w:szCs w:val="21"/>
              </w:rPr>
              <w:t>Hz</w:t>
            </w:r>
          </w:p>
          <w:p w14:paraId="3744880F">
            <w:pPr>
              <w:widowControl w:val="0"/>
              <w:spacing w:line="276" w:lineRule="auto"/>
              <w:jc w:val="both"/>
              <w:rPr>
                <w:rFonts w:ascii="宋体" w:hAnsi="宋体" w:eastAsia="宋体" w:cs="仿宋"/>
                <w:szCs w:val="21"/>
              </w:rPr>
            </w:pPr>
            <w:r>
              <w:rPr>
                <w:rFonts w:hint="eastAsia" w:ascii="宋体" w:hAnsi="宋体" w:eastAsia="宋体" w:cs="仿宋"/>
                <w:szCs w:val="21"/>
              </w:rPr>
              <w:t>显示屏位深：≥8位</w:t>
            </w:r>
          </w:p>
          <w:p w14:paraId="50B61992">
            <w:pPr>
              <w:widowControl w:val="0"/>
              <w:spacing w:line="276" w:lineRule="auto"/>
              <w:jc w:val="both"/>
              <w:rPr>
                <w:rFonts w:ascii="宋体" w:hAnsi="宋体" w:eastAsia="宋体" w:cs="仿宋"/>
                <w:szCs w:val="21"/>
              </w:rPr>
            </w:pPr>
            <w:r>
              <w:rPr>
                <w:rFonts w:hint="eastAsia" w:ascii="宋体" w:hAnsi="宋体" w:eastAsia="宋体" w:cs="仿宋"/>
                <w:szCs w:val="21"/>
              </w:rPr>
              <w:t>显示屏色域：≥99%sRGB</w:t>
            </w:r>
          </w:p>
          <w:p w14:paraId="52414968">
            <w:pPr>
              <w:widowControl w:val="0"/>
              <w:spacing w:line="276" w:lineRule="auto"/>
              <w:jc w:val="both"/>
              <w:rPr>
                <w:rFonts w:ascii="宋体" w:hAnsi="宋体" w:eastAsia="宋体" w:cs="仿宋"/>
                <w:szCs w:val="21"/>
              </w:rPr>
            </w:pPr>
            <w:r>
              <w:rPr>
                <w:rFonts w:hint="eastAsia" w:ascii="宋体" w:hAnsi="宋体" w:eastAsia="宋体" w:cs="仿宋"/>
                <w:szCs w:val="21"/>
              </w:rPr>
              <w:t>显示屏色准：△E≤4</w:t>
            </w:r>
          </w:p>
          <w:p w14:paraId="5F61811B">
            <w:pPr>
              <w:widowControl w:val="0"/>
              <w:spacing w:line="276" w:lineRule="auto"/>
              <w:jc w:val="both"/>
              <w:rPr>
                <w:rFonts w:ascii="宋体" w:hAnsi="宋体" w:eastAsia="宋体" w:cs="仿宋"/>
                <w:szCs w:val="21"/>
              </w:rPr>
            </w:pPr>
            <w:r>
              <w:rPr>
                <w:rFonts w:hint="eastAsia" w:ascii="宋体" w:hAnsi="宋体" w:eastAsia="宋体" w:cs="仿宋"/>
                <w:szCs w:val="21"/>
              </w:rPr>
              <w:t>显示屏响应时间：≤</w:t>
            </w:r>
            <w:r>
              <w:rPr>
                <w:rFonts w:ascii="宋体" w:hAnsi="宋体" w:eastAsia="宋体" w:cs="仿宋"/>
                <w:szCs w:val="21"/>
              </w:rPr>
              <w:t>8</w:t>
            </w:r>
            <w:r>
              <w:rPr>
                <w:rFonts w:hint="eastAsia" w:ascii="宋体" w:hAnsi="宋体" w:eastAsia="宋体" w:cs="仿宋"/>
                <w:szCs w:val="21"/>
              </w:rPr>
              <w:t>ms</w:t>
            </w:r>
          </w:p>
          <w:p w14:paraId="59321D5E">
            <w:pPr>
              <w:widowControl w:val="0"/>
              <w:spacing w:line="276" w:lineRule="auto"/>
              <w:jc w:val="both"/>
              <w:rPr>
                <w:rFonts w:ascii="宋体" w:hAnsi="宋体" w:eastAsia="宋体" w:cs="仿宋"/>
                <w:szCs w:val="21"/>
              </w:rPr>
            </w:pPr>
            <w:r>
              <w:rPr>
                <w:rFonts w:hint="eastAsia" w:ascii="宋体" w:hAnsi="宋体" w:eastAsia="宋体" w:cs="仿宋"/>
                <w:szCs w:val="21"/>
              </w:rPr>
              <w:t>显示屏亮度：≥250尼特</w:t>
            </w:r>
          </w:p>
          <w:p w14:paraId="5A44E1C2">
            <w:pPr>
              <w:widowControl w:val="0"/>
              <w:spacing w:line="276" w:lineRule="auto"/>
              <w:jc w:val="both"/>
              <w:rPr>
                <w:rFonts w:ascii="宋体" w:hAnsi="宋体" w:eastAsia="宋体" w:cs="仿宋"/>
                <w:szCs w:val="21"/>
              </w:rPr>
            </w:pPr>
            <w:r>
              <w:rPr>
                <w:rFonts w:hint="eastAsia" w:ascii="宋体" w:hAnsi="宋体" w:eastAsia="宋体" w:cs="仿宋"/>
                <w:szCs w:val="21"/>
              </w:rPr>
              <w:t>显示屏亮度一致性：≥70%</w:t>
            </w:r>
          </w:p>
          <w:p w14:paraId="4AC45BCB">
            <w:pPr>
              <w:widowControl w:val="0"/>
              <w:spacing w:line="276" w:lineRule="auto"/>
              <w:jc w:val="both"/>
              <w:rPr>
                <w:rFonts w:ascii="宋体" w:hAnsi="宋体" w:eastAsia="宋体" w:cs="仿宋"/>
                <w:szCs w:val="21"/>
              </w:rPr>
            </w:pPr>
            <w:r>
              <w:rPr>
                <w:rFonts w:hint="eastAsia" w:ascii="宋体" w:hAnsi="宋体" w:eastAsia="宋体" w:cs="仿宋"/>
                <w:szCs w:val="21"/>
              </w:rPr>
              <w:t>显示屏对比度：≥3000:1</w:t>
            </w:r>
          </w:p>
          <w:p w14:paraId="01647221">
            <w:pPr>
              <w:widowControl w:val="0"/>
              <w:spacing w:line="276" w:lineRule="auto"/>
              <w:jc w:val="both"/>
              <w:rPr>
                <w:rFonts w:ascii="宋体" w:hAnsi="宋体" w:eastAsia="宋体" w:cs="仿宋"/>
                <w:szCs w:val="21"/>
              </w:rPr>
            </w:pPr>
            <w:r>
              <w:rPr>
                <w:rFonts w:hint="eastAsia" w:ascii="宋体" w:hAnsi="宋体" w:eastAsia="宋体" w:cs="仿宋"/>
                <w:szCs w:val="21"/>
              </w:rPr>
              <w:t>显示屏其他参数：其它参数应符合SJ/T11292的相关规定（灰度等级≥256级）</w:t>
            </w:r>
          </w:p>
          <w:p w14:paraId="5F95A60D">
            <w:pPr>
              <w:widowControl w:val="0"/>
              <w:spacing w:line="276" w:lineRule="auto"/>
              <w:jc w:val="both"/>
              <w:rPr>
                <w:rFonts w:ascii="宋体" w:hAnsi="宋体" w:eastAsia="宋体" w:cs="仿宋"/>
                <w:szCs w:val="21"/>
              </w:rPr>
            </w:pPr>
            <w:r>
              <w:rPr>
                <w:rFonts w:hint="eastAsia" w:ascii="宋体" w:hAnsi="宋体" w:eastAsia="宋体" w:cs="仿宋"/>
                <w:szCs w:val="21"/>
              </w:rPr>
              <w:t>有线网卡速率：最高速率宜不低于1000Mbps，宜支持10Mbps、100Mbps、1000Mbps速率自适应</w:t>
            </w:r>
          </w:p>
          <w:p w14:paraId="6F821273">
            <w:pPr>
              <w:widowControl w:val="0"/>
              <w:spacing w:line="276" w:lineRule="auto"/>
              <w:jc w:val="both"/>
              <w:rPr>
                <w:rFonts w:ascii="宋体" w:hAnsi="宋体" w:eastAsia="宋体" w:cs="仿宋"/>
                <w:szCs w:val="21"/>
              </w:rPr>
            </w:pPr>
            <w:r>
              <w:rPr>
                <w:rFonts w:hint="eastAsia" w:ascii="宋体" w:hAnsi="宋体" w:eastAsia="宋体" w:cs="仿宋"/>
                <w:szCs w:val="21"/>
              </w:rPr>
              <w:t>支持无线网络通信技术协议：支持WAPI或WiFi5.0及以上协议</w:t>
            </w:r>
          </w:p>
          <w:p w14:paraId="722490B3">
            <w:pPr>
              <w:widowControl w:val="0"/>
              <w:spacing w:line="276" w:lineRule="auto"/>
              <w:jc w:val="both"/>
              <w:rPr>
                <w:rFonts w:ascii="宋体" w:hAnsi="宋体" w:eastAsia="宋体" w:cs="仿宋"/>
                <w:szCs w:val="21"/>
              </w:rPr>
            </w:pPr>
            <w:r>
              <w:rPr>
                <w:rFonts w:hint="eastAsia" w:ascii="宋体" w:hAnsi="宋体" w:eastAsia="宋体" w:cs="仿宋"/>
                <w:szCs w:val="21"/>
              </w:rPr>
              <w:t>三、功能要求</w:t>
            </w:r>
          </w:p>
          <w:p w14:paraId="370ECEB3">
            <w:pPr>
              <w:widowControl w:val="0"/>
              <w:spacing w:line="276" w:lineRule="auto"/>
              <w:jc w:val="both"/>
              <w:rPr>
                <w:rFonts w:ascii="宋体" w:hAnsi="宋体" w:eastAsia="宋体" w:cs="仿宋"/>
                <w:szCs w:val="21"/>
              </w:rPr>
            </w:pPr>
            <w:r>
              <w:rPr>
                <w:rFonts w:hint="eastAsia" w:ascii="宋体" w:hAnsi="宋体" w:eastAsia="宋体" w:cs="仿宋"/>
                <w:szCs w:val="21"/>
              </w:rPr>
              <w:t>1. 主板功能</w:t>
            </w:r>
          </w:p>
          <w:p w14:paraId="346C7BBC">
            <w:pPr>
              <w:widowControl w:val="0"/>
              <w:spacing w:line="276" w:lineRule="auto"/>
              <w:jc w:val="both"/>
              <w:rPr>
                <w:rFonts w:ascii="宋体" w:hAnsi="宋体" w:eastAsia="宋体" w:cs="仿宋"/>
                <w:szCs w:val="21"/>
              </w:rPr>
            </w:pPr>
            <w:r>
              <w:rPr>
                <w:rFonts w:hint="eastAsia" w:ascii="宋体" w:hAnsi="宋体" w:eastAsia="宋体" w:cs="仿宋"/>
                <w:szCs w:val="21"/>
              </w:rPr>
              <w:t>内存扩展接口：≥2</w:t>
            </w:r>
          </w:p>
          <w:p w14:paraId="609B8629">
            <w:pPr>
              <w:widowControl w:val="0"/>
              <w:spacing w:line="276" w:lineRule="auto"/>
              <w:jc w:val="both"/>
              <w:rPr>
                <w:rFonts w:ascii="宋体" w:hAnsi="宋体" w:eastAsia="宋体" w:cs="仿宋"/>
                <w:szCs w:val="21"/>
              </w:rPr>
            </w:pPr>
            <w:r>
              <w:rPr>
                <w:rFonts w:hint="eastAsia" w:ascii="宋体" w:hAnsi="宋体" w:eastAsia="宋体" w:cs="仿宋"/>
                <w:szCs w:val="21"/>
              </w:rPr>
              <w:t>主板USB瞬间过流保护：支持瞬间过流保护功能</w:t>
            </w:r>
          </w:p>
          <w:p w14:paraId="1A441D18">
            <w:pPr>
              <w:widowControl w:val="0"/>
              <w:spacing w:line="276" w:lineRule="auto"/>
              <w:jc w:val="both"/>
              <w:rPr>
                <w:rFonts w:ascii="宋体" w:hAnsi="宋体" w:eastAsia="宋体" w:cs="仿宋"/>
                <w:szCs w:val="21"/>
              </w:rPr>
            </w:pPr>
            <w:r>
              <w:rPr>
                <w:rFonts w:hint="eastAsia" w:ascii="宋体" w:hAnsi="宋体" w:eastAsia="宋体" w:cs="仿宋"/>
                <w:szCs w:val="21"/>
              </w:rPr>
              <w:t>主板防静电保护：支持防静电保护功能</w:t>
            </w:r>
          </w:p>
          <w:p w14:paraId="1710D01F">
            <w:pPr>
              <w:widowControl w:val="0"/>
              <w:spacing w:line="276" w:lineRule="auto"/>
              <w:jc w:val="both"/>
              <w:rPr>
                <w:rFonts w:ascii="宋体" w:hAnsi="宋体" w:eastAsia="宋体" w:cs="仿宋"/>
                <w:szCs w:val="21"/>
              </w:rPr>
            </w:pPr>
            <w:r>
              <w:rPr>
                <w:rFonts w:hint="eastAsia" w:ascii="宋体" w:hAnsi="宋体" w:eastAsia="宋体" w:cs="仿宋"/>
                <w:szCs w:val="21"/>
              </w:rPr>
              <w:t>I/O接口功能：内置或通过扩展坞支持数据传输接口、视频接口、音频接口、网络接口、电源接口等各类标准接口，应具备接入键盘、鼠标、写字板等外设的能力</w:t>
            </w:r>
          </w:p>
          <w:p w14:paraId="6B9A952C">
            <w:pPr>
              <w:widowControl w:val="0"/>
              <w:spacing w:line="276" w:lineRule="auto"/>
              <w:jc w:val="both"/>
              <w:rPr>
                <w:rFonts w:ascii="宋体" w:hAnsi="宋体" w:eastAsia="宋体" w:cs="仿宋"/>
                <w:szCs w:val="21"/>
              </w:rPr>
            </w:pPr>
            <w:r>
              <w:rPr>
                <w:rFonts w:hint="eastAsia" w:ascii="宋体" w:hAnsi="宋体" w:eastAsia="宋体" w:cs="仿宋"/>
                <w:szCs w:val="21"/>
              </w:rPr>
              <w:t>2. 显卡功能</w:t>
            </w:r>
          </w:p>
          <w:p w14:paraId="1E474DFB">
            <w:pPr>
              <w:widowControl w:val="0"/>
              <w:spacing w:line="276" w:lineRule="auto"/>
              <w:jc w:val="both"/>
              <w:rPr>
                <w:rFonts w:ascii="宋体" w:hAnsi="宋体" w:eastAsia="宋体" w:cs="仿宋"/>
                <w:szCs w:val="21"/>
              </w:rPr>
            </w:pPr>
            <w:r>
              <w:rPr>
                <w:rFonts w:hint="eastAsia" w:ascii="宋体" w:hAnsi="宋体" w:eastAsia="宋体" w:cs="仿宋"/>
                <w:szCs w:val="21"/>
              </w:rPr>
              <w:t>显卡外接显示接口：显卡至少支持VGA、HDMI、DVI、DP、Type-C中1种显示接口，并与显示器接口相匹配</w:t>
            </w:r>
          </w:p>
          <w:p w14:paraId="109B83BE">
            <w:pPr>
              <w:widowControl w:val="0"/>
              <w:spacing w:line="276" w:lineRule="auto"/>
              <w:jc w:val="both"/>
              <w:rPr>
                <w:rFonts w:ascii="宋体" w:hAnsi="宋体" w:eastAsia="宋体" w:cs="仿宋"/>
                <w:szCs w:val="21"/>
              </w:rPr>
            </w:pPr>
            <w:r>
              <w:rPr>
                <w:rFonts w:hint="eastAsia" w:ascii="宋体" w:hAnsi="宋体" w:eastAsia="宋体" w:cs="仿宋"/>
                <w:szCs w:val="21"/>
              </w:rPr>
              <w:t>3. 显示设备功能</w:t>
            </w:r>
          </w:p>
          <w:p w14:paraId="012A640B">
            <w:pPr>
              <w:widowControl w:val="0"/>
              <w:spacing w:line="276" w:lineRule="auto"/>
              <w:jc w:val="both"/>
              <w:rPr>
                <w:rFonts w:ascii="宋体" w:hAnsi="宋体" w:eastAsia="宋体" w:cs="仿宋"/>
                <w:szCs w:val="21"/>
              </w:rPr>
            </w:pPr>
            <w:r>
              <w:rPr>
                <w:rFonts w:hint="eastAsia" w:ascii="宋体" w:hAnsi="宋体" w:eastAsia="宋体" w:cs="仿宋"/>
                <w:szCs w:val="21"/>
              </w:rPr>
              <w:t>显示器接口：显示器应与显卡外接显示接口匹配</w:t>
            </w:r>
          </w:p>
          <w:p w14:paraId="452B0AEC">
            <w:pPr>
              <w:widowControl w:val="0"/>
              <w:spacing w:line="276" w:lineRule="auto"/>
              <w:jc w:val="both"/>
              <w:rPr>
                <w:rFonts w:ascii="宋体" w:hAnsi="宋体" w:eastAsia="宋体" w:cs="仿宋"/>
                <w:szCs w:val="21"/>
              </w:rPr>
            </w:pPr>
            <w:r>
              <w:rPr>
                <w:rFonts w:hint="eastAsia" w:ascii="宋体" w:hAnsi="宋体" w:eastAsia="宋体" w:cs="仿宋"/>
                <w:szCs w:val="21"/>
              </w:rPr>
              <w:t>显示器支架：提供显示器支架，支持屏幕旋转、升降等</w:t>
            </w:r>
          </w:p>
          <w:p w14:paraId="3845A0D9">
            <w:pPr>
              <w:widowControl w:val="0"/>
              <w:spacing w:line="276" w:lineRule="auto"/>
              <w:jc w:val="both"/>
              <w:rPr>
                <w:rFonts w:ascii="宋体" w:hAnsi="宋体" w:eastAsia="宋体" w:cs="仿宋"/>
                <w:szCs w:val="21"/>
              </w:rPr>
            </w:pPr>
            <w:r>
              <w:rPr>
                <w:rFonts w:hint="eastAsia" w:ascii="宋体" w:hAnsi="宋体" w:eastAsia="宋体" w:cs="仿宋"/>
                <w:szCs w:val="21"/>
              </w:rPr>
              <w:t>显示屏参数调节：</w:t>
            </w:r>
            <w:r>
              <w:rPr>
                <w:rFonts w:ascii="宋体" w:hAnsi="宋体" w:eastAsia="宋体" w:cs="仿宋"/>
                <w:szCs w:val="21"/>
              </w:rPr>
              <w:t>提供：OSD选单按钮用于调节色彩，模式等</w:t>
            </w:r>
            <w:r>
              <w:rPr>
                <w:rFonts w:hint="eastAsia" w:ascii="宋体" w:hAnsi="宋体" w:eastAsia="宋体" w:cs="仿宋"/>
                <w:szCs w:val="21"/>
              </w:rPr>
              <w:t>；支持色温、亮度、对比度等显示参数调节</w:t>
            </w:r>
          </w:p>
          <w:p w14:paraId="7BAEEB08">
            <w:pPr>
              <w:widowControl w:val="0"/>
              <w:spacing w:line="276" w:lineRule="auto"/>
              <w:jc w:val="both"/>
              <w:rPr>
                <w:rFonts w:ascii="宋体" w:hAnsi="宋体" w:eastAsia="宋体" w:cs="仿宋"/>
                <w:szCs w:val="21"/>
              </w:rPr>
            </w:pPr>
            <w:r>
              <w:rPr>
                <w:rFonts w:ascii="宋体" w:hAnsi="宋体" w:eastAsia="宋体" w:cs="仿宋"/>
                <w:szCs w:val="21"/>
              </w:rPr>
              <w:t>4</w:t>
            </w:r>
            <w:r>
              <w:rPr>
                <w:rFonts w:hint="eastAsia" w:ascii="宋体" w:hAnsi="宋体" w:eastAsia="宋体" w:cs="仿宋"/>
                <w:szCs w:val="21"/>
              </w:rPr>
              <w:t>. 存储功能</w:t>
            </w:r>
          </w:p>
          <w:p w14:paraId="667058FF">
            <w:pPr>
              <w:widowControl w:val="0"/>
              <w:spacing w:line="276" w:lineRule="auto"/>
              <w:jc w:val="both"/>
              <w:rPr>
                <w:rFonts w:ascii="宋体" w:hAnsi="宋体" w:eastAsia="宋体" w:cs="仿宋"/>
                <w:szCs w:val="21"/>
              </w:rPr>
            </w:pPr>
            <w:r>
              <w:rPr>
                <w:rFonts w:hint="eastAsia" w:ascii="宋体" w:hAnsi="宋体" w:eastAsia="宋体" w:cs="仿宋"/>
                <w:szCs w:val="21"/>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76AFF8C8">
            <w:pPr>
              <w:widowControl w:val="0"/>
              <w:spacing w:line="276" w:lineRule="auto"/>
              <w:jc w:val="both"/>
              <w:rPr>
                <w:rFonts w:ascii="宋体" w:hAnsi="宋体" w:eastAsia="宋体" w:cs="仿宋"/>
                <w:szCs w:val="21"/>
              </w:rPr>
            </w:pPr>
            <w:r>
              <w:rPr>
                <w:rFonts w:ascii="宋体" w:hAnsi="宋体" w:eastAsia="宋体" w:cs="仿宋"/>
                <w:szCs w:val="21"/>
              </w:rPr>
              <w:t>5</w:t>
            </w:r>
            <w:r>
              <w:rPr>
                <w:rFonts w:hint="eastAsia" w:ascii="宋体" w:hAnsi="宋体" w:eastAsia="宋体" w:cs="仿宋"/>
                <w:szCs w:val="21"/>
              </w:rPr>
              <w:t>. 网络设备功能</w:t>
            </w:r>
          </w:p>
          <w:p w14:paraId="2890627A">
            <w:pPr>
              <w:widowControl w:val="0"/>
              <w:spacing w:line="276" w:lineRule="auto"/>
              <w:jc w:val="both"/>
              <w:rPr>
                <w:rFonts w:ascii="宋体" w:hAnsi="宋体" w:eastAsia="宋体" w:cs="仿宋"/>
                <w:szCs w:val="21"/>
              </w:rPr>
            </w:pPr>
            <w:r>
              <w:rPr>
                <w:rFonts w:hint="eastAsia" w:ascii="宋体" w:hAnsi="宋体" w:eastAsia="宋体" w:cs="仿宋"/>
                <w:szCs w:val="21"/>
              </w:rPr>
              <w:t>网络功能：</w:t>
            </w:r>
          </w:p>
          <w:p w14:paraId="2D834070">
            <w:pPr>
              <w:widowControl w:val="0"/>
              <w:spacing w:line="276" w:lineRule="auto"/>
              <w:jc w:val="both"/>
              <w:rPr>
                <w:rFonts w:ascii="宋体" w:hAnsi="宋体" w:eastAsia="宋体" w:cs="仿宋"/>
                <w:szCs w:val="21"/>
              </w:rPr>
            </w:pPr>
            <w:r>
              <w:rPr>
                <w:rFonts w:hint="eastAsia" w:ascii="宋体" w:hAnsi="宋体" w:eastAsia="宋体" w:cs="仿宋"/>
                <w:szCs w:val="21"/>
              </w:rPr>
              <w:t>a) 支持网络连接、网络开启/关闭</w:t>
            </w:r>
          </w:p>
          <w:p w14:paraId="3128E05B">
            <w:pPr>
              <w:widowControl w:val="0"/>
              <w:spacing w:line="276" w:lineRule="auto"/>
              <w:jc w:val="both"/>
              <w:rPr>
                <w:rFonts w:ascii="宋体" w:hAnsi="宋体" w:eastAsia="宋体" w:cs="仿宋"/>
                <w:szCs w:val="21"/>
              </w:rPr>
            </w:pPr>
            <w:r>
              <w:rPr>
                <w:rFonts w:hint="eastAsia" w:ascii="宋体" w:hAnsi="宋体" w:eastAsia="宋体" w:cs="仿宋"/>
                <w:szCs w:val="21"/>
              </w:rPr>
              <w:t>b) 支持访问网络和数据交换功能</w:t>
            </w:r>
          </w:p>
          <w:p w14:paraId="09D793CB">
            <w:pPr>
              <w:widowControl w:val="0"/>
              <w:spacing w:line="276" w:lineRule="auto"/>
              <w:jc w:val="both"/>
              <w:rPr>
                <w:rFonts w:ascii="宋体" w:hAnsi="宋体" w:eastAsia="宋体" w:cs="仿宋"/>
                <w:szCs w:val="21"/>
              </w:rPr>
            </w:pPr>
            <w:r>
              <w:rPr>
                <w:rFonts w:hint="eastAsia" w:ascii="宋体" w:hAnsi="宋体" w:eastAsia="宋体" w:cs="仿宋"/>
                <w:szCs w:val="21"/>
              </w:rPr>
              <w:t>数据传输：支持数据传输能力，并提供数据流量和异常日志记录功能</w:t>
            </w:r>
          </w:p>
          <w:p w14:paraId="16156E4B">
            <w:pPr>
              <w:widowControl w:val="0"/>
              <w:spacing w:line="276" w:lineRule="auto"/>
              <w:jc w:val="both"/>
              <w:rPr>
                <w:rFonts w:ascii="宋体" w:hAnsi="宋体" w:eastAsia="宋体" w:cs="仿宋"/>
                <w:szCs w:val="21"/>
              </w:rPr>
            </w:pPr>
            <w:r>
              <w:rPr>
                <w:rFonts w:hint="eastAsia" w:ascii="宋体" w:hAnsi="宋体" w:eastAsia="宋体" w:cs="仿宋"/>
                <w:szCs w:val="21"/>
              </w:rPr>
              <w:t>有线网卡接口类型：配备有线网络通信模块，宜支持RJ45接口</w:t>
            </w:r>
          </w:p>
          <w:p w14:paraId="33ED0ABE">
            <w:pPr>
              <w:widowControl w:val="0"/>
              <w:spacing w:line="276" w:lineRule="auto"/>
              <w:jc w:val="both"/>
              <w:rPr>
                <w:rFonts w:ascii="宋体" w:hAnsi="宋体" w:eastAsia="宋体" w:cs="仿宋"/>
                <w:szCs w:val="21"/>
              </w:rPr>
            </w:pPr>
            <w:r>
              <w:rPr>
                <w:rFonts w:hint="eastAsia" w:ascii="宋体" w:hAnsi="宋体" w:eastAsia="宋体" w:cs="仿宋"/>
                <w:szCs w:val="21"/>
              </w:rPr>
              <w:t>网络设备拆装：网络设备支持物理拆装，包括：无线网卡、蓝牙模块等</w:t>
            </w:r>
          </w:p>
          <w:p w14:paraId="15039A10">
            <w:pPr>
              <w:widowControl w:val="0"/>
              <w:spacing w:line="276" w:lineRule="auto"/>
              <w:jc w:val="both"/>
              <w:rPr>
                <w:rFonts w:ascii="宋体" w:hAnsi="宋体" w:eastAsia="宋体" w:cs="仿宋"/>
                <w:szCs w:val="21"/>
              </w:rPr>
            </w:pPr>
            <w:r>
              <w:rPr>
                <w:rFonts w:ascii="宋体" w:hAnsi="宋体" w:eastAsia="宋体" w:cs="仿宋"/>
                <w:szCs w:val="21"/>
              </w:rPr>
              <w:t>6</w:t>
            </w:r>
            <w:r>
              <w:rPr>
                <w:rFonts w:hint="eastAsia" w:ascii="宋体" w:hAnsi="宋体" w:eastAsia="宋体" w:cs="仿宋"/>
                <w:szCs w:val="21"/>
              </w:rPr>
              <w:t>.外部接口功能</w:t>
            </w:r>
          </w:p>
          <w:p w14:paraId="5F9C4607">
            <w:pPr>
              <w:widowControl w:val="0"/>
              <w:spacing w:line="276" w:lineRule="auto"/>
              <w:jc w:val="both"/>
              <w:rPr>
                <w:rFonts w:ascii="宋体" w:hAnsi="宋体" w:eastAsia="宋体" w:cs="仿宋"/>
                <w:szCs w:val="21"/>
              </w:rPr>
            </w:pPr>
            <w:r>
              <w:rPr>
                <w:rFonts w:hint="eastAsia" w:ascii="宋体" w:hAnsi="宋体" w:eastAsia="宋体" w:cs="仿宋"/>
                <w:szCs w:val="21"/>
              </w:rPr>
              <w:t>音频接口类型：不少于1个，宜支持3.5mm孔径的3段式或4段式接口。若支持4段式接口，宜支持线序的自动识别及切换功能</w:t>
            </w:r>
          </w:p>
          <w:p w14:paraId="0077D689">
            <w:pPr>
              <w:widowControl w:val="0"/>
              <w:spacing w:line="276" w:lineRule="auto"/>
              <w:jc w:val="both"/>
              <w:rPr>
                <w:rFonts w:ascii="宋体" w:hAnsi="宋体" w:eastAsia="宋体" w:cs="仿宋"/>
                <w:szCs w:val="21"/>
              </w:rPr>
            </w:pPr>
            <w:r>
              <w:rPr>
                <w:rFonts w:hint="eastAsia" w:ascii="宋体" w:hAnsi="宋体" w:eastAsia="宋体" w:cs="仿宋"/>
                <w:szCs w:val="21"/>
              </w:rPr>
              <w:t>视频接口类型：至少支持VGA、HDMI、DVI、DP、Type-C中1种显示接口</w:t>
            </w:r>
          </w:p>
          <w:p w14:paraId="7AA441D6">
            <w:pPr>
              <w:widowControl w:val="0"/>
              <w:spacing w:line="276" w:lineRule="auto"/>
              <w:jc w:val="both"/>
              <w:rPr>
                <w:rFonts w:ascii="宋体" w:hAnsi="宋体" w:eastAsia="宋体" w:cs="仿宋"/>
                <w:szCs w:val="21"/>
              </w:rPr>
            </w:pPr>
            <w:r>
              <w:rPr>
                <w:rFonts w:hint="eastAsia" w:ascii="宋体" w:hAnsi="宋体" w:eastAsia="宋体" w:cs="仿宋"/>
                <w:szCs w:val="21"/>
              </w:rPr>
              <w:t>HDMI/DP/Type-C显示接口要求：若提供HDMI或DP或Type-C接口应同时支持视频和音频输出</w:t>
            </w:r>
          </w:p>
          <w:p w14:paraId="479D43C9">
            <w:pPr>
              <w:widowControl w:val="0"/>
              <w:spacing w:line="276" w:lineRule="auto"/>
              <w:jc w:val="both"/>
              <w:rPr>
                <w:rFonts w:ascii="宋体" w:hAnsi="宋体" w:eastAsia="宋体" w:cs="仿宋"/>
                <w:szCs w:val="21"/>
              </w:rPr>
            </w:pPr>
            <w:r>
              <w:rPr>
                <w:rFonts w:ascii="宋体" w:hAnsi="宋体" w:eastAsia="宋体" w:cs="仿宋"/>
                <w:szCs w:val="21"/>
              </w:rPr>
              <w:t>7</w:t>
            </w:r>
            <w:r>
              <w:rPr>
                <w:rFonts w:hint="eastAsia" w:ascii="宋体" w:hAnsi="宋体" w:eastAsia="宋体" w:cs="仿宋"/>
                <w:szCs w:val="21"/>
              </w:rPr>
              <w:t>. 电源功能</w:t>
            </w:r>
          </w:p>
          <w:p w14:paraId="6A79D3C1">
            <w:pPr>
              <w:widowControl w:val="0"/>
              <w:spacing w:line="276" w:lineRule="auto"/>
              <w:jc w:val="both"/>
              <w:rPr>
                <w:rFonts w:ascii="宋体" w:hAnsi="宋体" w:eastAsia="宋体" w:cs="仿宋"/>
                <w:szCs w:val="21"/>
              </w:rPr>
            </w:pPr>
            <w:r>
              <w:rPr>
                <w:rFonts w:hint="eastAsia" w:ascii="宋体" w:hAnsi="宋体" w:eastAsia="宋体" w:cs="仿宋"/>
                <w:szCs w:val="21"/>
              </w:rPr>
              <w:t>电源线适配能力：符合GB</w:t>
            </w:r>
            <w:r>
              <w:rPr>
                <w:rFonts w:ascii="宋体" w:hAnsi="宋体" w:eastAsia="宋体" w:cs="仿宋"/>
                <w:szCs w:val="21"/>
              </w:rPr>
              <w:t>/T</w:t>
            </w:r>
            <w:r>
              <w:rPr>
                <w:rFonts w:hint="eastAsia" w:ascii="宋体" w:hAnsi="宋体" w:eastAsia="宋体" w:cs="仿宋"/>
                <w:szCs w:val="21"/>
              </w:rPr>
              <w:t xml:space="preserve"> 15934的要求，对于可拆线插头GB15934不做要求</w:t>
            </w:r>
          </w:p>
          <w:p w14:paraId="59AFFC24">
            <w:pPr>
              <w:widowControl w:val="0"/>
              <w:spacing w:line="276" w:lineRule="auto"/>
              <w:jc w:val="both"/>
              <w:rPr>
                <w:rFonts w:ascii="宋体" w:hAnsi="宋体" w:eastAsia="宋体" w:cs="仿宋"/>
                <w:szCs w:val="21"/>
              </w:rPr>
            </w:pPr>
            <w:r>
              <w:rPr>
                <w:rFonts w:ascii="宋体" w:hAnsi="宋体" w:eastAsia="宋体" w:cs="仿宋"/>
                <w:szCs w:val="21"/>
              </w:rPr>
              <w:t>8</w:t>
            </w:r>
            <w:r>
              <w:rPr>
                <w:rFonts w:hint="eastAsia" w:ascii="宋体" w:hAnsi="宋体" w:eastAsia="宋体" w:cs="仿宋"/>
                <w:szCs w:val="21"/>
              </w:rPr>
              <w:t>. 中文信息处理</w:t>
            </w:r>
          </w:p>
          <w:p w14:paraId="2803688C">
            <w:pPr>
              <w:widowControl w:val="0"/>
              <w:spacing w:line="276" w:lineRule="auto"/>
              <w:jc w:val="both"/>
              <w:rPr>
                <w:rFonts w:ascii="宋体" w:hAnsi="宋体" w:eastAsia="宋体" w:cs="仿宋"/>
                <w:szCs w:val="21"/>
              </w:rPr>
            </w:pPr>
            <w:r>
              <w:rPr>
                <w:rFonts w:hint="eastAsia" w:ascii="宋体" w:hAnsi="宋体" w:eastAsia="宋体" w:cs="仿宋"/>
                <w:szCs w:val="21"/>
              </w:rPr>
              <w:t>中文信息处理要求：符合GB18030的相关规定</w:t>
            </w:r>
          </w:p>
          <w:p w14:paraId="11B22D8C">
            <w:pPr>
              <w:widowControl w:val="0"/>
              <w:spacing w:line="276" w:lineRule="auto"/>
              <w:jc w:val="both"/>
              <w:rPr>
                <w:rFonts w:ascii="宋体" w:hAnsi="宋体" w:eastAsia="宋体" w:cs="仿宋"/>
                <w:szCs w:val="21"/>
              </w:rPr>
            </w:pPr>
            <w:r>
              <w:rPr>
                <w:rFonts w:ascii="宋体" w:hAnsi="宋体" w:eastAsia="宋体" w:cs="仿宋"/>
                <w:szCs w:val="21"/>
              </w:rPr>
              <w:t>9</w:t>
            </w:r>
            <w:r>
              <w:rPr>
                <w:rFonts w:hint="eastAsia" w:ascii="宋体" w:hAnsi="宋体" w:eastAsia="宋体" w:cs="仿宋"/>
                <w:szCs w:val="21"/>
              </w:rPr>
              <w:t>. 操作系统及软件功能</w:t>
            </w:r>
          </w:p>
          <w:p w14:paraId="43A25599">
            <w:pPr>
              <w:widowControl w:val="0"/>
              <w:spacing w:line="276" w:lineRule="auto"/>
              <w:jc w:val="both"/>
              <w:rPr>
                <w:rFonts w:ascii="宋体" w:hAnsi="宋体" w:eastAsia="宋体" w:cs="仿宋"/>
                <w:szCs w:val="21"/>
              </w:rPr>
            </w:pPr>
            <w:r>
              <w:rPr>
                <w:rFonts w:hint="eastAsia" w:ascii="宋体" w:hAnsi="宋体" w:eastAsia="宋体" w:cs="仿宋"/>
                <w:szCs w:val="21"/>
              </w:rPr>
              <w:t>操作系统备份及还原功能：支持操作系统备份及还原功能</w:t>
            </w:r>
          </w:p>
          <w:p w14:paraId="2F6087FE">
            <w:pPr>
              <w:widowControl w:val="0"/>
              <w:spacing w:line="276" w:lineRule="auto"/>
              <w:jc w:val="both"/>
              <w:rPr>
                <w:rFonts w:ascii="宋体" w:hAnsi="宋体" w:eastAsia="宋体" w:cs="仿宋"/>
                <w:szCs w:val="21"/>
              </w:rPr>
            </w:pPr>
            <w:r>
              <w:rPr>
                <w:rFonts w:hint="eastAsia" w:ascii="宋体" w:hAnsi="宋体" w:eastAsia="宋体" w:cs="仿宋"/>
                <w:szCs w:val="21"/>
              </w:rPr>
              <w:t>固件备份还原能力：支持备份及还原固件的功能</w:t>
            </w:r>
          </w:p>
          <w:p w14:paraId="78DFFD1E">
            <w:pPr>
              <w:widowControl w:val="0"/>
              <w:spacing w:line="276" w:lineRule="auto"/>
              <w:jc w:val="both"/>
              <w:rPr>
                <w:rFonts w:ascii="宋体" w:hAnsi="宋体" w:eastAsia="宋体" w:cs="仿宋"/>
                <w:szCs w:val="21"/>
              </w:rPr>
            </w:pPr>
            <w:r>
              <w:rPr>
                <w:rFonts w:hint="eastAsia" w:ascii="宋体" w:hAnsi="宋体" w:eastAsia="宋体" w:cs="仿宋"/>
                <w:szCs w:val="21"/>
              </w:rPr>
              <w:t>操作系统及驱动升级：支持通过网络、闪存盘等方式对操作系统、驱动进行升级</w:t>
            </w:r>
          </w:p>
          <w:p w14:paraId="6052AF65">
            <w:pPr>
              <w:widowControl w:val="0"/>
              <w:spacing w:line="276" w:lineRule="auto"/>
              <w:jc w:val="both"/>
              <w:rPr>
                <w:rFonts w:ascii="宋体" w:hAnsi="宋体" w:eastAsia="宋体" w:cs="仿宋"/>
                <w:szCs w:val="21"/>
              </w:rPr>
            </w:pPr>
            <w:r>
              <w:rPr>
                <w:rFonts w:hint="eastAsia" w:ascii="宋体" w:hAnsi="宋体" w:eastAsia="宋体" w:cs="仿宋"/>
                <w:szCs w:val="21"/>
              </w:rPr>
              <w:t>BIOS支持关闭通讯接口：支持BIOS关闭以太网及USB接口</w:t>
            </w:r>
          </w:p>
          <w:p w14:paraId="429D6CEC">
            <w:pPr>
              <w:widowControl w:val="0"/>
              <w:spacing w:line="276" w:lineRule="auto"/>
              <w:jc w:val="both"/>
              <w:rPr>
                <w:rFonts w:ascii="宋体" w:hAnsi="宋体" w:eastAsia="宋体" w:cs="仿宋"/>
                <w:szCs w:val="21"/>
              </w:rPr>
            </w:pPr>
            <w:r>
              <w:rPr>
                <w:rFonts w:hint="eastAsia" w:ascii="宋体" w:hAnsi="宋体" w:eastAsia="宋体" w:cs="仿宋"/>
                <w:szCs w:val="21"/>
              </w:rPr>
              <w:t>固件查看信息：支持查看固件版本、内存信息、主板信息、处理器信息和系统时间信息等功能</w:t>
            </w:r>
          </w:p>
          <w:p w14:paraId="42D68532">
            <w:pPr>
              <w:widowControl w:val="0"/>
              <w:spacing w:line="276" w:lineRule="auto"/>
              <w:jc w:val="both"/>
              <w:rPr>
                <w:rFonts w:ascii="宋体" w:hAnsi="宋体" w:eastAsia="宋体" w:cs="仿宋"/>
                <w:szCs w:val="21"/>
              </w:rPr>
            </w:pPr>
            <w:r>
              <w:rPr>
                <w:rFonts w:hint="eastAsia" w:ascii="宋体" w:hAnsi="宋体" w:eastAsia="宋体" w:cs="仿宋"/>
                <w:szCs w:val="21"/>
              </w:rPr>
              <w:t>固件设置启动顺序：支持设置启动顺序功能，并按照设置的启动顺序启动</w:t>
            </w:r>
          </w:p>
          <w:p w14:paraId="26DEF6F2">
            <w:pPr>
              <w:widowControl w:val="0"/>
              <w:spacing w:line="276" w:lineRule="auto"/>
              <w:jc w:val="both"/>
              <w:rPr>
                <w:rFonts w:ascii="宋体" w:hAnsi="宋体" w:eastAsia="宋体" w:cs="仿宋"/>
                <w:szCs w:val="21"/>
              </w:rPr>
            </w:pPr>
            <w:r>
              <w:rPr>
                <w:rFonts w:hint="eastAsia" w:ascii="宋体" w:hAnsi="宋体" w:eastAsia="宋体" w:cs="仿宋"/>
                <w:szCs w:val="21"/>
              </w:rPr>
              <w:t>固件设置口令：支持设置口令、修改口令、验证口令功能</w:t>
            </w:r>
          </w:p>
          <w:p w14:paraId="08C595D8">
            <w:pPr>
              <w:widowControl w:val="0"/>
              <w:spacing w:line="276" w:lineRule="auto"/>
              <w:jc w:val="both"/>
              <w:rPr>
                <w:rFonts w:ascii="宋体" w:hAnsi="宋体" w:eastAsia="宋体" w:cs="仿宋"/>
                <w:szCs w:val="21"/>
              </w:rPr>
            </w:pPr>
            <w:r>
              <w:rPr>
                <w:rFonts w:hint="eastAsia" w:ascii="宋体" w:hAnsi="宋体" w:eastAsia="宋体" w:cs="仿宋"/>
                <w:szCs w:val="21"/>
              </w:rPr>
              <w:t>固件设置网络引导：支持网络引导启动和关闭功能</w:t>
            </w:r>
          </w:p>
          <w:p w14:paraId="7FB5B2E7">
            <w:pPr>
              <w:widowControl w:val="0"/>
              <w:spacing w:line="276" w:lineRule="auto"/>
              <w:jc w:val="both"/>
              <w:rPr>
                <w:rFonts w:ascii="宋体" w:hAnsi="宋体" w:eastAsia="宋体" w:cs="仿宋"/>
                <w:szCs w:val="21"/>
              </w:rPr>
            </w:pPr>
            <w:r>
              <w:rPr>
                <w:rFonts w:hint="eastAsia" w:ascii="宋体" w:hAnsi="宋体" w:eastAsia="宋体" w:cs="仿宋"/>
                <w:szCs w:val="21"/>
              </w:rPr>
              <w:t>四、可靠性要求</w:t>
            </w:r>
          </w:p>
          <w:p w14:paraId="03DE650B">
            <w:pPr>
              <w:widowControl w:val="0"/>
              <w:spacing w:line="276" w:lineRule="auto"/>
              <w:jc w:val="both"/>
              <w:rPr>
                <w:rFonts w:ascii="宋体" w:hAnsi="宋体" w:eastAsia="宋体" w:cs="仿宋"/>
                <w:kern w:val="0"/>
                <w:szCs w:val="21"/>
              </w:rPr>
            </w:pPr>
            <w:r>
              <w:rPr>
                <w:rFonts w:hint="eastAsia" w:ascii="宋体" w:hAnsi="宋体" w:eastAsia="宋体" w:cs="仿宋"/>
                <w:szCs w:val="21"/>
              </w:rPr>
              <w:t>固态存储寿命：</w:t>
            </w:r>
            <w:r>
              <w:rPr>
                <w:rFonts w:hint="eastAsia" w:ascii="宋体" w:hAnsi="宋体" w:eastAsia="宋体" w:cs="仿宋"/>
                <w:kern w:val="0"/>
                <w:szCs w:val="21"/>
              </w:rPr>
              <w:t>TBW ≥80TB（条件：240GB硬盘容量）</w:t>
            </w:r>
          </w:p>
          <w:p w14:paraId="11E40D61">
            <w:pPr>
              <w:widowControl w:val="0"/>
              <w:spacing w:line="276" w:lineRule="auto"/>
              <w:jc w:val="both"/>
              <w:rPr>
                <w:rFonts w:ascii="宋体" w:hAnsi="宋体" w:eastAsia="宋体" w:cs="仿宋"/>
                <w:szCs w:val="21"/>
              </w:rPr>
            </w:pPr>
            <w:r>
              <w:rPr>
                <w:rFonts w:hint="eastAsia" w:ascii="宋体" w:hAnsi="宋体" w:eastAsia="宋体" w:cs="仿宋"/>
                <w:szCs w:val="21"/>
              </w:rPr>
              <w:t>机械硬盘寿命：通电时间≥</w:t>
            </w:r>
            <w:r>
              <w:rPr>
                <w:rFonts w:ascii="宋体" w:hAnsi="宋体" w:eastAsia="宋体" w:cs="仿宋"/>
                <w:szCs w:val="21"/>
              </w:rPr>
              <w:t>5</w:t>
            </w:r>
            <w:r>
              <w:rPr>
                <w:rFonts w:hint="eastAsia" w:ascii="宋体" w:hAnsi="宋体" w:eastAsia="宋体" w:cs="仿宋"/>
                <w:szCs w:val="21"/>
              </w:rPr>
              <w:t>万小时</w:t>
            </w:r>
          </w:p>
          <w:p w14:paraId="5945208D">
            <w:pPr>
              <w:widowControl w:val="0"/>
              <w:spacing w:line="276" w:lineRule="auto"/>
              <w:jc w:val="both"/>
              <w:rPr>
                <w:rFonts w:ascii="宋体" w:hAnsi="宋体" w:eastAsia="宋体" w:cs="仿宋"/>
                <w:szCs w:val="21"/>
              </w:rPr>
            </w:pPr>
            <w:r>
              <w:rPr>
                <w:rFonts w:hint="eastAsia" w:ascii="宋体" w:hAnsi="宋体" w:eastAsia="宋体" w:cs="仿宋"/>
                <w:szCs w:val="21"/>
              </w:rPr>
              <w:t>显示屏屏幕失效点：符合GB/T 9813.2的要求</w:t>
            </w:r>
          </w:p>
          <w:p w14:paraId="3B4D17E5">
            <w:pPr>
              <w:widowControl w:val="0"/>
              <w:spacing w:line="276" w:lineRule="auto"/>
              <w:jc w:val="both"/>
              <w:rPr>
                <w:rFonts w:ascii="宋体" w:hAnsi="宋体" w:eastAsia="宋体" w:cs="仿宋"/>
                <w:szCs w:val="21"/>
              </w:rPr>
            </w:pPr>
            <w:r>
              <w:rPr>
                <w:rFonts w:hint="eastAsia" w:ascii="宋体" w:hAnsi="宋体" w:eastAsia="宋体" w:cs="仿宋"/>
                <w:szCs w:val="21"/>
              </w:rPr>
              <w:t>键盘按键寿命：≥1000万次</w:t>
            </w:r>
          </w:p>
          <w:p w14:paraId="129370A2">
            <w:pPr>
              <w:widowControl w:val="0"/>
              <w:spacing w:line="276" w:lineRule="auto"/>
              <w:jc w:val="both"/>
              <w:rPr>
                <w:rFonts w:ascii="宋体" w:hAnsi="宋体" w:eastAsia="宋体" w:cs="仿宋"/>
                <w:szCs w:val="21"/>
              </w:rPr>
            </w:pPr>
            <w:r>
              <w:rPr>
                <w:rFonts w:hint="eastAsia" w:ascii="宋体" w:hAnsi="宋体" w:eastAsia="宋体" w:cs="仿宋"/>
                <w:szCs w:val="21"/>
              </w:rPr>
              <w:t>鼠标按键寿命：≥500万次</w:t>
            </w:r>
          </w:p>
          <w:p w14:paraId="62869714">
            <w:pPr>
              <w:widowControl w:val="0"/>
              <w:spacing w:line="276" w:lineRule="auto"/>
              <w:jc w:val="both"/>
              <w:rPr>
                <w:rFonts w:ascii="宋体" w:hAnsi="宋体" w:eastAsia="宋体" w:cs="仿宋"/>
                <w:szCs w:val="21"/>
              </w:rPr>
            </w:pPr>
            <w:r>
              <w:rPr>
                <w:rFonts w:hint="eastAsia" w:ascii="宋体" w:hAnsi="宋体" w:eastAsia="宋体" w:cs="仿宋"/>
                <w:szCs w:val="21"/>
              </w:rPr>
              <w:t>键盘鼠标线材寿命：键盘鼠标所用线材经±60°弯折不低于3000次，功能、外观完好</w:t>
            </w:r>
          </w:p>
          <w:p w14:paraId="2AA3728B">
            <w:pPr>
              <w:widowControl w:val="0"/>
              <w:spacing w:line="276" w:lineRule="auto"/>
              <w:jc w:val="both"/>
              <w:rPr>
                <w:rFonts w:ascii="宋体" w:hAnsi="宋体" w:eastAsia="宋体" w:cs="仿宋"/>
                <w:szCs w:val="21"/>
              </w:rPr>
            </w:pPr>
            <w:r>
              <w:rPr>
                <w:rFonts w:hint="eastAsia" w:ascii="宋体" w:hAnsi="宋体" w:eastAsia="宋体" w:cs="仿宋"/>
                <w:szCs w:val="21"/>
              </w:rPr>
              <w:t>风扇寿命：≥4万小时</w:t>
            </w:r>
          </w:p>
          <w:p w14:paraId="2EAF6710">
            <w:pPr>
              <w:widowControl w:val="0"/>
              <w:spacing w:line="276" w:lineRule="auto"/>
              <w:jc w:val="both"/>
              <w:rPr>
                <w:rFonts w:ascii="宋体" w:hAnsi="宋体" w:eastAsia="宋体" w:cs="仿宋"/>
                <w:szCs w:val="21"/>
              </w:rPr>
            </w:pPr>
            <w:r>
              <w:rPr>
                <w:rFonts w:hint="eastAsia" w:ascii="宋体" w:hAnsi="宋体" w:eastAsia="宋体" w:cs="仿宋"/>
                <w:szCs w:val="21"/>
              </w:rPr>
              <w:t>电磁兼容性要求的抗扰度：符合GB/T 9254.2的规定</w:t>
            </w:r>
          </w:p>
          <w:p w14:paraId="2C16C533">
            <w:pPr>
              <w:widowControl w:val="0"/>
              <w:spacing w:line="276" w:lineRule="auto"/>
              <w:jc w:val="both"/>
              <w:rPr>
                <w:rFonts w:ascii="宋体" w:hAnsi="宋体" w:eastAsia="宋体" w:cs="仿宋"/>
                <w:szCs w:val="21"/>
              </w:rPr>
            </w:pPr>
            <w:r>
              <w:rPr>
                <w:rFonts w:hint="eastAsia" w:ascii="宋体" w:hAnsi="宋体" w:eastAsia="宋体" w:cs="仿宋"/>
                <w:szCs w:val="21"/>
              </w:rPr>
              <w:t>环境条件要求的气候/振动/冲击/碰撞/运输包装件跌落适应性：符合GB/T 9813.1中规定</w:t>
            </w:r>
          </w:p>
          <w:p w14:paraId="5B02A3F8">
            <w:pPr>
              <w:widowControl w:val="0"/>
              <w:spacing w:line="276" w:lineRule="auto"/>
              <w:jc w:val="both"/>
              <w:rPr>
                <w:rFonts w:ascii="宋体" w:hAnsi="宋体" w:eastAsia="宋体" w:cs="仿宋"/>
                <w:szCs w:val="21"/>
              </w:rPr>
            </w:pPr>
            <w:r>
              <w:rPr>
                <w:rFonts w:hint="eastAsia" w:ascii="宋体" w:hAnsi="宋体" w:eastAsia="宋体" w:cs="仿宋"/>
                <w:szCs w:val="21"/>
              </w:rPr>
              <w:t>MTBF测试：≥3万小时</w:t>
            </w:r>
          </w:p>
          <w:p w14:paraId="1B20627E">
            <w:pPr>
              <w:widowControl w:val="0"/>
              <w:spacing w:line="276" w:lineRule="auto"/>
              <w:jc w:val="both"/>
              <w:rPr>
                <w:rFonts w:ascii="宋体" w:hAnsi="宋体" w:eastAsia="宋体" w:cs="仿宋"/>
                <w:szCs w:val="21"/>
              </w:rPr>
            </w:pPr>
            <w:r>
              <w:rPr>
                <w:rFonts w:hint="eastAsia" w:ascii="宋体" w:hAnsi="宋体" w:eastAsia="宋体" w:cs="仿宋"/>
                <w:szCs w:val="21"/>
              </w:rPr>
              <w:t>五、兼容要求</w:t>
            </w:r>
          </w:p>
          <w:p w14:paraId="2FF2E692">
            <w:pPr>
              <w:widowControl w:val="0"/>
              <w:spacing w:line="276" w:lineRule="auto"/>
              <w:jc w:val="both"/>
              <w:rPr>
                <w:rFonts w:ascii="宋体" w:hAnsi="宋体" w:eastAsia="宋体" w:cs="仿宋"/>
                <w:szCs w:val="21"/>
              </w:rPr>
            </w:pPr>
            <w:r>
              <w:rPr>
                <w:rFonts w:hint="eastAsia" w:ascii="宋体" w:hAnsi="宋体" w:eastAsia="宋体" w:cs="仿宋"/>
                <w:szCs w:val="21"/>
              </w:rPr>
              <w:t>常用软件兼容：应支持流式软件、版式软件、浏览器、邮件客户端、解压软件、多媒体、图形图像处理等常用软件</w:t>
            </w:r>
          </w:p>
          <w:p w14:paraId="480C0ED4">
            <w:pPr>
              <w:widowControl w:val="0"/>
              <w:spacing w:line="276" w:lineRule="auto"/>
              <w:jc w:val="both"/>
              <w:rPr>
                <w:rFonts w:ascii="宋体" w:hAnsi="宋体" w:eastAsia="宋体" w:cs="仿宋"/>
                <w:szCs w:val="21"/>
              </w:rPr>
            </w:pPr>
            <w:r>
              <w:rPr>
                <w:rFonts w:hint="eastAsia" w:ascii="宋体" w:hAnsi="宋体" w:eastAsia="宋体" w:cs="仿宋"/>
                <w:szCs w:val="21"/>
              </w:rPr>
              <w:t>数据库兼容：兼容3个及以上厂商的数据库产品</w:t>
            </w:r>
          </w:p>
          <w:p w14:paraId="6F26A099">
            <w:pPr>
              <w:widowControl w:val="0"/>
              <w:spacing w:line="276" w:lineRule="auto"/>
              <w:jc w:val="both"/>
              <w:rPr>
                <w:rFonts w:ascii="宋体" w:hAnsi="宋体" w:eastAsia="宋体" w:cs="仿宋"/>
                <w:szCs w:val="21"/>
              </w:rPr>
            </w:pPr>
            <w:r>
              <w:rPr>
                <w:rFonts w:hint="eastAsia" w:ascii="宋体" w:hAnsi="宋体" w:eastAsia="宋体" w:cs="仿宋"/>
                <w:szCs w:val="21"/>
              </w:rPr>
              <w:t>中间件兼容：兼容3个及以上厂商中间件产品</w:t>
            </w:r>
          </w:p>
          <w:p w14:paraId="6C8C443A">
            <w:pPr>
              <w:widowControl w:val="0"/>
              <w:spacing w:line="276" w:lineRule="auto"/>
              <w:jc w:val="both"/>
              <w:rPr>
                <w:rFonts w:ascii="宋体" w:hAnsi="宋体" w:eastAsia="宋体" w:cs="仿宋"/>
                <w:szCs w:val="21"/>
              </w:rPr>
            </w:pPr>
            <w:r>
              <w:rPr>
                <w:rFonts w:hint="eastAsia" w:ascii="宋体" w:hAnsi="宋体" w:eastAsia="宋体" w:cs="仿宋"/>
                <w:szCs w:val="21"/>
              </w:rPr>
              <w:t>平台软件兼容：兼容3个及以上厂商云计算及大数据平台</w:t>
            </w:r>
          </w:p>
          <w:p w14:paraId="2E57DFED">
            <w:pPr>
              <w:widowControl w:val="0"/>
              <w:spacing w:line="276" w:lineRule="auto"/>
              <w:jc w:val="both"/>
              <w:rPr>
                <w:rFonts w:ascii="宋体" w:hAnsi="宋体" w:eastAsia="宋体" w:cs="仿宋"/>
                <w:szCs w:val="21"/>
              </w:rPr>
            </w:pPr>
            <w:r>
              <w:rPr>
                <w:rFonts w:hint="eastAsia" w:ascii="宋体" w:hAnsi="宋体" w:eastAsia="宋体" w:cs="仿宋"/>
                <w:szCs w:val="21"/>
              </w:rPr>
              <w:t>六、包装及运输要求</w:t>
            </w:r>
          </w:p>
          <w:p w14:paraId="3414ED7C">
            <w:pPr>
              <w:widowControl w:val="0"/>
              <w:spacing w:line="276" w:lineRule="auto"/>
              <w:jc w:val="both"/>
              <w:rPr>
                <w:rFonts w:ascii="宋体" w:hAnsi="宋体" w:eastAsia="宋体" w:cs="仿宋"/>
                <w:szCs w:val="21"/>
              </w:rPr>
            </w:pPr>
            <w:r>
              <w:rPr>
                <w:rFonts w:hint="eastAsia" w:ascii="宋体" w:hAnsi="宋体" w:eastAsia="宋体" w:cs="仿宋"/>
                <w:szCs w:val="21"/>
              </w:rPr>
              <w:t>标志、包装、运输和贮存：符合GB/T9813.1和商品包装政府采购需求标准的相关规定（标志、包装、运输和贮存）</w:t>
            </w:r>
          </w:p>
          <w:p w14:paraId="441960AD">
            <w:pPr>
              <w:widowControl w:val="0"/>
              <w:spacing w:line="276" w:lineRule="auto"/>
              <w:jc w:val="both"/>
              <w:rPr>
                <w:rFonts w:ascii="宋体" w:hAnsi="宋体" w:eastAsia="宋体" w:cs="仿宋"/>
                <w:szCs w:val="21"/>
              </w:rPr>
            </w:pPr>
            <w:r>
              <w:rPr>
                <w:rFonts w:hint="eastAsia" w:ascii="宋体" w:hAnsi="宋体" w:eastAsia="宋体" w:cs="仿宋"/>
                <w:szCs w:val="21"/>
              </w:rPr>
              <w:t>七、服务要求</w:t>
            </w:r>
          </w:p>
          <w:p w14:paraId="3A1CB30B">
            <w:pPr>
              <w:widowControl w:val="0"/>
              <w:spacing w:line="276" w:lineRule="auto"/>
              <w:jc w:val="both"/>
              <w:rPr>
                <w:rFonts w:ascii="宋体" w:hAnsi="宋体" w:eastAsia="宋体" w:cs="仿宋"/>
                <w:szCs w:val="21"/>
              </w:rPr>
            </w:pPr>
            <w:r>
              <w:rPr>
                <w:rFonts w:hint="eastAsia" w:ascii="宋体" w:hAnsi="宋体" w:eastAsia="宋体" w:cs="仿宋"/>
                <w:szCs w:val="21"/>
              </w:rPr>
              <w:t>配置检查工具：提供自检测试工具</w:t>
            </w:r>
          </w:p>
          <w:p w14:paraId="30A838D3">
            <w:pPr>
              <w:widowControl w:val="0"/>
              <w:spacing w:line="276" w:lineRule="auto"/>
              <w:jc w:val="both"/>
              <w:rPr>
                <w:rFonts w:ascii="宋体" w:hAnsi="宋体" w:eastAsia="宋体" w:cs="仿宋"/>
                <w:szCs w:val="21"/>
              </w:rPr>
            </w:pPr>
            <w:r>
              <w:rPr>
                <w:rFonts w:hint="eastAsia" w:ascii="宋体" w:hAnsi="宋体" w:eastAsia="宋体" w:cs="仿宋"/>
                <w:szCs w:val="21"/>
              </w:rPr>
              <w:t>服务响应：</w:t>
            </w:r>
          </w:p>
          <w:p w14:paraId="37E09DAB">
            <w:pPr>
              <w:widowControl w:val="0"/>
              <w:spacing w:line="276" w:lineRule="auto"/>
              <w:jc w:val="both"/>
              <w:rPr>
                <w:rFonts w:ascii="宋体" w:hAnsi="宋体" w:eastAsia="宋体" w:cs="仿宋"/>
                <w:szCs w:val="21"/>
              </w:rPr>
            </w:pPr>
            <w:r>
              <w:rPr>
                <w:rFonts w:hint="eastAsia" w:ascii="宋体" w:hAnsi="宋体" w:eastAsia="宋体" w:cs="仿宋"/>
                <w:szCs w:val="21"/>
              </w:rPr>
              <w:t>a) 提供产品3年维保及上门服务（满足同城4小时、异地12小时响应要求）</w:t>
            </w:r>
          </w:p>
          <w:p w14:paraId="1C3F5204">
            <w:pPr>
              <w:widowControl w:val="0"/>
              <w:spacing w:line="276" w:lineRule="auto"/>
              <w:jc w:val="both"/>
              <w:rPr>
                <w:rFonts w:ascii="宋体" w:hAnsi="宋体" w:eastAsia="宋体" w:cs="仿宋"/>
                <w:szCs w:val="21"/>
              </w:rPr>
            </w:pPr>
            <w:r>
              <w:rPr>
                <w:rFonts w:hint="eastAsia" w:ascii="宋体" w:hAnsi="宋体" w:eastAsia="宋体" w:cs="仿宋"/>
                <w:szCs w:val="21"/>
              </w:rPr>
              <w:t>b) 提供政企专线7*24在线服务</w:t>
            </w:r>
          </w:p>
          <w:p w14:paraId="609441AE">
            <w:pPr>
              <w:widowControl w:val="0"/>
              <w:spacing w:line="276" w:lineRule="auto"/>
              <w:jc w:val="both"/>
              <w:rPr>
                <w:rFonts w:ascii="宋体" w:hAnsi="宋体" w:eastAsia="宋体" w:cs="仿宋"/>
                <w:szCs w:val="21"/>
              </w:rPr>
            </w:pPr>
            <w:r>
              <w:rPr>
                <w:rFonts w:hint="eastAsia" w:ascii="宋体" w:hAnsi="宋体" w:eastAsia="宋体" w:cs="仿宋"/>
                <w:szCs w:val="21"/>
              </w:rPr>
              <w:t>c) 现场保障技术服务团队员，国内上门服务地级市覆盖率达100%</w:t>
            </w:r>
          </w:p>
          <w:p w14:paraId="2EF1775C">
            <w:pPr>
              <w:widowControl w:val="0"/>
              <w:spacing w:line="276" w:lineRule="auto"/>
              <w:jc w:val="both"/>
              <w:rPr>
                <w:rFonts w:ascii="宋体" w:hAnsi="宋体" w:eastAsia="宋体" w:cs="仿宋"/>
                <w:szCs w:val="21"/>
              </w:rPr>
            </w:pPr>
            <w:r>
              <w:rPr>
                <w:rFonts w:hint="eastAsia" w:ascii="宋体" w:hAnsi="宋体" w:eastAsia="宋体" w:cs="仿宋"/>
                <w:szCs w:val="21"/>
              </w:rPr>
              <w:t>服务周期：支持产品延保≥3年，提供每年延保服务报价，提供备件服务能力≥6年（自购买之日起），应明确产品发布日期</w:t>
            </w:r>
          </w:p>
          <w:p w14:paraId="5A23CC64">
            <w:pPr>
              <w:widowControl w:val="0"/>
              <w:spacing w:line="276" w:lineRule="auto"/>
              <w:jc w:val="both"/>
              <w:rPr>
                <w:rFonts w:ascii="宋体" w:hAnsi="宋体" w:eastAsia="宋体" w:cs="仿宋"/>
                <w:szCs w:val="21"/>
              </w:rPr>
            </w:pPr>
            <w:r>
              <w:rPr>
                <w:rFonts w:hint="eastAsia" w:ascii="宋体" w:hAnsi="宋体" w:eastAsia="宋体" w:cs="仿宋"/>
                <w:szCs w:val="21"/>
              </w:rPr>
              <w:t>预装操作系统：预装符合桌面操作系统政府采购需求标准的正版操作系统</w:t>
            </w:r>
          </w:p>
          <w:p w14:paraId="0CB270EE">
            <w:pPr>
              <w:widowControl w:val="0"/>
              <w:spacing w:line="276" w:lineRule="auto"/>
              <w:jc w:val="both"/>
              <w:rPr>
                <w:rFonts w:ascii="宋体" w:hAnsi="宋体" w:eastAsia="宋体" w:cs="仿宋"/>
                <w:szCs w:val="21"/>
              </w:rPr>
            </w:pPr>
            <w:r>
              <w:rPr>
                <w:rFonts w:hint="eastAsia" w:ascii="宋体" w:hAnsi="宋体" w:eastAsia="宋体" w:cs="仿宋"/>
                <w:szCs w:val="21"/>
              </w:rPr>
              <w:t>培训服务：提供培训材料、产品手册、培训视频等培训相关内容</w:t>
            </w:r>
          </w:p>
          <w:p w14:paraId="2387E5E5">
            <w:pPr>
              <w:widowControl w:val="0"/>
              <w:spacing w:line="276" w:lineRule="auto"/>
              <w:jc w:val="both"/>
              <w:rPr>
                <w:rFonts w:ascii="宋体" w:hAnsi="宋体" w:eastAsia="宋体" w:cs="仿宋"/>
                <w:szCs w:val="21"/>
              </w:rPr>
            </w:pPr>
            <w:r>
              <w:rPr>
                <w:rFonts w:hint="eastAsia" w:ascii="宋体" w:hAnsi="宋体" w:eastAsia="宋体" w:cs="仿宋"/>
                <w:szCs w:val="21"/>
              </w:rPr>
              <w:t>典型问题解决手册：提供典型问题解决说明文档或视频</w:t>
            </w:r>
          </w:p>
          <w:p w14:paraId="587DC873">
            <w:pPr>
              <w:widowControl w:val="0"/>
              <w:spacing w:line="276" w:lineRule="auto"/>
              <w:jc w:val="both"/>
              <w:rPr>
                <w:rFonts w:ascii="宋体" w:hAnsi="宋体" w:eastAsia="宋体" w:cs="仿宋"/>
                <w:szCs w:val="21"/>
              </w:rPr>
            </w:pPr>
            <w:r>
              <w:rPr>
                <w:rFonts w:hint="eastAsia" w:ascii="宋体" w:hAnsi="宋体" w:eastAsia="宋体" w:cs="仿宋"/>
                <w:szCs w:val="21"/>
              </w:rPr>
              <w:t>厂家升级软件与扩容服务：提供上门升级部件/软件与扩容的增值服务</w:t>
            </w:r>
          </w:p>
          <w:p w14:paraId="4790F561">
            <w:pPr>
              <w:widowControl w:val="0"/>
              <w:spacing w:line="276" w:lineRule="auto"/>
              <w:jc w:val="both"/>
              <w:rPr>
                <w:rFonts w:ascii="宋体" w:hAnsi="宋体" w:eastAsia="宋体" w:cs="仿宋"/>
                <w:szCs w:val="21"/>
              </w:rPr>
            </w:pPr>
            <w:r>
              <w:rPr>
                <w:rFonts w:hint="eastAsia" w:ascii="宋体" w:hAnsi="宋体" w:eastAsia="宋体" w:cs="仿宋"/>
                <w:szCs w:val="21"/>
              </w:rPr>
              <w:t>整机质量服务要求：免费服务周期（含换件和维修）应不小于3年</w:t>
            </w:r>
          </w:p>
          <w:p w14:paraId="66B59A50">
            <w:pPr>
              <w:widowControl w:val="0"/>
              <w:spacing w:line="276" w:lineRule="auto"/>
              <w:jc w:val="both"/>
              <w:rPr>
                <w:rFonts w:ascii="宋体" w:hAnsi="宋体" w:eastAsia="宋体" w:cs="仿宋"/>
                <w:szCs w:val="21"/>
              </w:rPr>
            </w:pPr>
            <w:r>
              <w:rPr>
                <w:rFonts w:hint="eastAsia" w:ascii="宋体" w:hAnsi="宋体" w:eastAsia="宋体" w:cs="仿宋"/>
                <w:szCs w:val="21"/>
              </w:rPr>
              <w:t>合格证书要求：提供产品合格证</w:t>
            </w:r>
          </w:p>
          <w:p w14:paraId="2A85C0B4">
            <w:pPr>
              <w:widowControl w:val="0"/>
              <w:spacing w:line="276" w:lineRule="auto"/>
              <w:jc w:val="both"/>
              <w:rPr>
                <w:rFonts w:ascii="宋体" w:hAnsi="宋体" w:eastAsia="宋体" w:cs="仿宋"/>
                <w:szCs w:val="21"/>
              </w:rPr>
            </w:pPr>
            <w:r>
              <w:rPr>
                <w:rFonts w:hint="eastAsia" w:ascii="宋体" w:hAnsi="宋体" w:eastAsia="宋体" w:cs="仿宋"/>
                <w:szCs w:val="21"/>
              </w:rPr>
              <w:t>开箱组装使用指导要求：提供开箱组装/使用指导</w:t>
            </w:r>
          </w:p>
          <w:p w14:paraId="1C976D2E">
            <w:pPr>
              <w:widowControl w:val="0"/>
              <w:spacing w:line="276" w:lineRule="auto"/>
              <w:jc w:val="both"/>
              <w:rPr>
                <w:rFonts w:ascii="宋体" w:hAnsi="宋体" w:eastAsia="宋体" w:cs="仿宋"/>
                <w:szCs w:val="21"/>
              </w:rPr>
            </w:pPr>
            <w:r>
              <w:rPr>
                <w:rFonts w:hint="eastAsia" w:ascii="宋体" w:hAnsi="宋体" w:eastAsia="宋体" w:cs="仿宋"/>
                <w:szCs w:val="21"/>
              </w:rPr>
              <w:t>驱动下载服务要求：提供驱动光盘或下载方式</w:t>
            </w:r>
          </w:p>
          <w:p w14:paraId="6F3206E5">
            <w:pPr>
              <w:widowControl w:val="0"/>
              <w:spacing w:line="276" w:lineRule="auto"/>
              <w:jc w:val="both"/>
              <w:rPr>
                <w:rFonts w:ascii="宋体" w:hAnsi="宋体" w:eastAsia="宋体" w:cs="仿宋"/>
                <w:szCs w:val="21"/>
              </w:rPr>
            </w:pPr>
            <w:r>
              <w:rPr>
                <w:rFonts w:hint="eastAsia" w:ascii="宋体" w:hAnsi="宋体" w:eastAsia="宋体" w:cs="仿宋"/>
                <w:szCs w:val="21"/>
              </w:rPr>
              <w:t>兼容适配软件下载服务要求：提供兼容适配软件下载渠道（光盘、网站）</w:t>
            </w:r>
          </w:p>
          <w:p w14:paraId="5938D51F">
            <w:pPr>
              <w:widowControl w:val="0"/>
              <w:spacing w:line="276" w:lineRule="auto"/>
              <w:jc w:val="both"/>
              <w:rPr>
                <w:rFonts w:ascii="宋体" w:hAnsi="宋体" w:eastAsia="宋体" w:cs="仿宋"/>
                <w:szCs w:val="21"/>
              </w:rPr>
            </w:pPr>
            <w:r>
              <w:rPr>
                <w:rFonts w:hint="eastAsia" w:ascii="宋体" w:hAnsi="宋体" w:eastAsia="宋体" w:cs="仿宋"/>
                <w:szCs w:val="21"/>
              </w:rPr>
              <w:t>跨架构平台应用兼容：提供跨架构平台的应用兼容工具，支持一种或者一种以上不同架构平台的应用</w:t>
            </w:r>
          </w:p>
          <w:p w14:paraId="13D6170C">
            <w:pPr>
              <w:widowControl w:val="0"/>
              <w:spacing w:line="276" w:lineRule="auto"/>
              <w:jc w:val="both"/>
              <w:rPr>
                <w:rFonts w:ascii="宋体" w:hAnsi="宋体" w:eastAsia="宋体" w:cs="仿宋"/>
                <w:szCs w:val="21"/>
              </w:rPr>
            </w:pPr>
            <w:r>
              <w:rPr>
                <w:rFonts w:hint="eastAsia" w:ascii="宋体" w:hAnsi="宋体" w:eastAsia="宋体" w:cs="仿宋"/>
                <w:szCs w:val="21"/>
              </w:rPr>
              <w:t>八、供应保障要求</w:t>
            </w:r>
          </w:p>
          <w:p w14:paraId="0D74B482">
            <w:pPr>
              <w:widowControl w:val="0"/>
              <w:spacing w:line="276" w:lineRule="auto"/>
              <w:jc w:val="both"/>
              <w:rPr>
                <w:rFonts w:ascii="宋体" w:hAnsi="宋体" w:eastAsia="宋体" w:cs="仿宋"/>
                <w:szCs w:val="21"/>
              </w:rPr>
            </w:pPr>
            <w:r>
              <w:rPr>
                <w:rFonts w:hint="eastAsia" w:ascii="宋体" w:hAnsi="宋体" w:eastAsia="宋体" w:cs="仿宋"/>
                <w:szCs w:val="21"/>
              </w:rPr>
              <w:t>产品部件保障：保障产品主要部件，应提供6年的备件服务能力（自购买之日起），或提供可兼容原设备的升级换代产品</w:t>
            </w:r>
          </w:p>
          <w:p w14:paraId="15A61CA8">
            <w:pPr>
              <w:widowControl w:val="0"/>
              <w:spacing w:line="276" w:lineRule="auto"/>
              <w:jc w:val="both"/>
              <w:rPr>
                <w:rFonts w:ascii="宋体" w:hAnsi="宋体" w:eastAsia="宋体" w:cs="仿宋"/>
                <w:szCs w:val="21"/>
              </w:rPr>
            </w:pPr>
            <w:r>
              <w:rPr>
                <w:rFonts w:hint="eastAsia" w:ascii="宋体" w:hAnsi="宋体" w:eastAsia="宋体" w:cs="仿宋"/>
                <w:szCs w:val="21"/>
              </w:rPr>
              <w:t>抗干扰性：当产品部件出现供应风险时，应通知客户并提供风险应对方案确保产品的服务保障，必要时应停止相关受影响产品的销售</w:t>
            </w:r>
          </w:p>
          <w:p w14:paraId="14634503">
            <w:pPr>
              <w:widowControl w:val="0"/>
              <w:spacing w:line="276" w:lineRule="auto"/>
              <w:jc w:val="both"/>
              <w:rPr>
                <w:rFonts w:ascii="宋体" w:hAnsi="宋体" w:eastAsia="宋体" w:cs="仿宋"/>
                <w:szCs w:val="21"/>
              </w:rPr>
            </w:pPr>
            <w:r>
              <w:rPr>
                <w:rFonts w:hint="eastAsia" w:ascii="宋体" w:hAnsi="宋体" w:eastAsia="宋体" w:cs="仿宋"/>
                <w:szCs w:val="21"/>
              </w:rPr>
              <w:t>供应能力证明：提供供应链稳定承诺书，确保产品的部件在产品服务周期内稳定供货</w:t>
            </w:r>
          </w:p>
          <w:p w14:paraId="4A342DD8">
            <w:pPr>
              <w:widowControl w:val="0"/>
              <w:spacing w:line="276" w:lineRule="auto"/>
              <w:jc w:val="both"/>
              <w:rPr>
                <w:rFonts w:ascii="宋体" w:hAnsi="宋体" w:eastAsia="宋体" w:cs="仿宋"/>
                <w:szCs w:val="21"/>
              </w:rPr>
            </w:pPr>
            <w:r>
              <w:rPr>
                <w:rFonts w:hint="eastAsia" w:ascii="宋体" w:hAnsi="宋体" w:eastAsia="宋体" w:cs="仿宋"/>
                <w:szCs w:val="21"/>
              </w:rPr>
              <w:t>九、安全要求</w:t>
            </w:r>
          </w:p>
          <w:p w14:paraId="1C41DC54">
            <w:pPr>
              <w:widowControl w:val="0"/>
              <w:spacing w:line="276" w:lineRule="auto"/>
              <w:jc w:val="both"/>
              <w:rPr>
                <w:rFonts w:ascii="宋体" w:hAnsi="宋体" w:eastAsia="宋体" w:cs="仿宋"/>
                <w:szCs w:val="21"/>
              </w:rPr>
            </w:pPr>
            <w:r>
              <w:rPr>
                <w:rFonts w:hint="eastAsia" w:ascii="宋体" w:hAnsi="宋体" w:eastAsia="宋体" w:cs="仿宋"/>
                <w:szCs w:val="21"/>
              </w:rPr>
              <w:t>关键部件安全要求：CPU和操作系统等关键部件应当符合安全可靠测评要求</w:t>
            </w:r>
          </w:p>
          <w:p w14:paraId="6E90F3B4">
            <w:pPr>
              <w:widowControl w:val="0"/>
              <w:spacing w:line="276" w:lineRule="auto"/>
              <w:jc w:val="both"/>
              <w:rPr>
                <w:rFonts w:ascii="宋体" w:hAnsi="宋体" w:eastAsia="宋体" w:cs="仿宋"/>
                <w:szCs w:val="21"/>
              </w:rPr>
            </w:pPr>
            <w:r>
              <w:rPr>
                <w:rFonts w:hint="eastAsia" w:ascii="宋体" w:hAnsi="宋体" w:eastAsia="宋体" w:cs="仿宋"/>
                <w:szCs w:val="21"/>
              </w:rPr>
              <w:t>密码算法实现：CPU芯片应符合GM/T0008的相关规定，或芯片密码模块应符合GB/T 37092或GM/T 0028的相关规定</w:t>
            </w:r>
          </w:p>
          <w:p w14:paraId="08E82CC8">
            <w:pPr>
              <w:widowControl w:val="0"/>
              <w:spacing w:line="276" w:lineRule="auto"/>
              <w:jc w:val="both"/>
              <w:rPr>
                <w:rFonts w:ascii="宋体" w:hAnsi="宋体" w:eastAsia="宋体" w:cs="仿宋"/>
                <w:szCs w:val="21"/>
              </w:rPr>
            </w:pPr>
            <w:r>
              <w:rPr>
                <w:rFonts w:hint="eastAsia" w:ascii="宋体" w:hAnsi="宋体" w:eastAsia="宋体" w:cs="仿宋"/>
                <w:szCs w:val="21"/>
              </w:rPr>
              <w:t>信息安全基础要求：</w:t>
            </w:r>
          </w:p>
          <w:p w14:paraId="3D65B76E">
            <w:pPr>
              <w:widowControl w:val="0"/>
              <w:spacing w:line="276" w:lineRule="auto"/>
              <w:jc w:val="both"/>
              <w:rPr>
                <w:rFonts w:ascii="宋体" w:hAnsi="宋体" w:eastAsia="宋体" w:cs="仿宋"/>
                <w:szCs w:val="21"/>
              </w:rPr>
            </w:pPr>
            <w:r>
              <w:rPr>
                <w:rFonts w:hint="eastAsia" w:ascii="宋体" w:hAnsi="宋体" w:eastAsia="宋体" w:cs="仿宋"/>
                <w:szCs w:val="21"/>
              </w:rPr>
              <w:t>a) 应符合GB/T39276的5.2的规定</w:t>
            </w:r>
          </w:p>
          <w:p w14:paraId="622EB1A4">
            <w:pPr>
              <w:widowControl w:val="0"/>
              <w:spacing w:line="276" w:lineRule="auto"/>
              <w:jc w:val="both"/>
              <w:rPr>
                <w:rFonts w:ascii="宋体" w:hAnsi="宋体" w:eastAsia="宋体" w:cs="仿宋"/>
                <w:szCs w:val="21"/>
              </w:rPr>
            </w:pPr>
            <w:r>
              <w:rPr>
                <w:rFonts w:hint="eastAsia" w:ascii="宋体" w:hAnsi="宋体" w:eastAsia="宋体" w:cs="仿宋"/>
                <w:szCs w:val="21"/>
              </w:rPr>
              <w:t>b) 生产厂商应建立漏洞跟踪表，保证产品版本涉及到的漏洞（如驱动程序等）可查看</w:t>
            </w:r>
          </w:p>
          <w:p w14:paraId="37E28C6F">
            <w:pPr>
              <w:widowControl w:val="0"/>
              <w:spacing w:line="276" w:lineRule="auto"/>
              <w:jc w:val="both"/>
              <w:rPr>
                <w:rFonts w:ascii="宋体" w:hAnsi="宋体" w:eastAsia="宋体" w:cs="仿宋"/>
                <w:szCs w:val="21"/>
              </w:rPr>
            </w:pPr>
            <w:r>
              <w:rPr>
                <w:rFonts w:hint="eastAsia" w:ascii="宋体" w:hAnsi="宋体" w:eastAsia="宋体" w:cs="仿宋"/>
                <w:szCs w:val="21"/>
              </w:rPr>
              <w:t>c) 不得包含已知的恶意代码或漏洞不存在未声明的指令、功能、接口</w:t>
            </w:r>
          </w:p>
          <w:p w14:paraId="3EB4D771">
            <w:pPr>
              <w:widowControl w:val="0"/>
              <w:spacing w:line="276" w:lineRule="auto"/>
              <w:jc w:val="both"/>
              <w:rPr>
                <w:rFonts w:ascii="宋体" w:hAnsi="宋体" w:eastAsia="宋体" w:cs="仿宋"/>
                <w:szCs w:val="21"/>
              </w:rPr>
            </w:pPr>
            <w:r>
              <w:rPr>
                <w:rFonts w:hint="eastAsia" w:ascii="宋体" w:hAnsi="宋体" w:eastAsia="宋体" w:cs="仿宋"/>
                <w:szCs w:val="21"/>
              </w:rPr>
              <w:t>固件安全启动：支持固件安全启动功能，固件启动过程中只有通过启动校验才能正常启动</w:t>
            </w:r>
          </w:p>
          <w:p w14:paraId="5DB888C6">
            <w:pPr>
              <w:widowControl w:val="0"/>
              <w:spacing w:line="276" w:lineRule="auto"/>
              <w:jc w:val="both"/>
              <w:rPr>
                <w:rFonts w:ascii="宋体" w:hAnsi="宋体" w:eastAsia="宋体"/>
                <w:szCs w:val="21"/>
              </w:rPr>
            </w:pPr>
            <w:r>
              <w:rPr>
                <w:rFonts w:hint="eastAsia" w:ascii="宋体" w:hAnsi="宋体" w:eastAsia="宋体" w:cs="仿宋"/>
                <w:szCs w:val="21"/>
              </w:rPr>
              <w:t>限用物质的限量要求：符合GB/T 26572中规定</w:t>
            </w:r>
          </w:p>
        </w:tc>
        <w:tc>
          <w:tcPr>
            <w:tcW w:w="960" w:type="dxa"/>
            <w:vAlign w:val="center"/>
          </w:tcPr>
          <w:p w14:paraId="7088E075">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5596C43E">
            <w:pPr>
              <w:widowControl w:val="0"/>
              <w:spacing w:line="276" w:lineRule="auto"/>
              <w:jc w:val="center"/>
              <w:rPr>
                <w:rFonts w:ascii="宋体" w:hAnsi="宋体" w:eastAsia="宋体"/>
                <w:szCs w:val="21"/>
              </w:rPr>
            </w:pPr>
            <w:r>
              <w:rPr>
                <w:rFonts w:hint="eastAsia" w:ascii="宋体" w:hAnsi="宋体" w:eastAsia="宋体"/>
                <w:szCs w:val="21"/>
              </w:rPr>
              <w:t>台</w:t>
            </w:r>
          </w:p>
        </w:tc>
      </w:tr>
      <w:tr w14:paraId="714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DEBF55F">
            <w:pPr>
              <w:widowControl w:val="0"/>
              <w:spacing w:line="276" w:lineRule="auto"/>
              <w:jc w:val="center"/>
              <w:rPr>
                <w:rFonts w:ascii="宋体" w:hAnsi="宋体" w:eastAsia="宋体"/>
                <w:szCs w:val="21"/>
              </w:rPr>
            </w:pPr>
            <w:r>
              <w:rPr>
                <w:rFonts w:ascii="宋体" w:hAnsi="宋体" w:eastAsia="宋体"/>
                <w:szCs w:val="21"/>
              </w:rPr>
              <w:t>12</w:t>
            </w:r>
          </w:p>
        </w:tc>
        <w:tc>
          <w:tcPr>
            <w:tcW w:w="2001" w:type="dxa"/>
            <w:vAlign w:val="center"/>
          </w:tcPr>
          <w:p w14:paraId="101943FE">
            <w:pPr>
              <w:widowControl w:val="0"/>
              <w:spacing w:line="276" w:lineRule="auto"/>
              <w:jc w:val="center"/>
              <w:rPr>
                <w:rFonts w:ascii="宋体" w:hAnsi="宋体" w:eastAsia="宋体"/>
                <w:szCs w:val="21"/>
              </w:rPr>
            </w:pPr>
            <w:r>
              <w:rPr>
                <w:rFonts w:hint="eastAsia" w:ascii="宋体" w:hAnsi="宋体" w:eastAsia="宋体"/>
                <w:szCs w:val="21"/>
              </w:rPr>
              <w:t>彩色激光打印机</w:t>
            </w:r>
          </w:p>
        </w:tc>
        <w:tc>
          <w:tcPr>
            <w:tcW w:w="4576" w:type="dxa"/>
            <w:vAlign w:val="center"/>
          </w:tcPr>
          <w:p w14:paraId="12D3D0A7">
            <w:pPr>
              <w:widowControl w:val="0"/>
              <w:spacing w:line="276" w:lineRule="auto"/>
              <w:jc w:val="both"/>
              <w:rPr>
                <w:rFonts w:ascii="宋体" w:hAnsi="宋体" w:eastAsia="宋体"/>
                <w:szCs w:val="21"/>
              </w:rPr>
            </w:pPr>
            <w:r>
              <w:rPr>
                <w:rFonts w:hint="eastAsia" w:ascii="宋体" w:hAnsi="宋体" w:eastAsia="宋体"/>
                <w:szCs w:val="21"/>
              </w:rPr>
              <w:t>1、彩色；2、幅面：A4；3、激光打印机；4、最高分辨率600×600dpi。</w:t>
            </w:r>
          </w:p>
        </w:tc>
        <w:tc>
          <w:tcPr>
            <w:tcW w:w="960" w:type="dxa"/>
            <w:vAlign w:val="center"/>
          </w:tcPr>
          <w:p w14:paraId="31F56DB9">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4301CDA">
            <w:pPr>
              <w:widowControl w:val="0"/>
              <w:spacing w:line="276" w:lineRule="auto"/>
              <w:jc w:val="center"/>
              <w:rPr>
                <w:rFonts w:ascii="宋体" w:hAnsi="宋体" w:eastAsia="宋体"/>
                <w:szCs w:val="21"/>
              </w:rPr>
            </w:pPr>
            <w:r>
              <w:rPr>
                <w:rFonts w:hint="eastAsia" w:ascii="宋体" w:hAnsi="宋体" w:eastAsia="宋体"/>
                <w:szCs w:val="21"/>
              </w:rPr>
              <w:t>台</w:t>
            </w:r>
          </w:p>
        </w:tc>
      </w:tr>
      <w:tr w14:paraId="176D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095FC35">
            <w:pPr>
              <w:widowControl w:val="0"/>
              <w:spacing w:line="276" w:lineRule="auto"/>
              <w:jc w:val="center"/>
              <w:rPr>
                <w:rFonts w:ascii="宋体" w:hAnsi="宋体" w:eastAsia="宋体"/>
                <w:szCs w:val="21"/>
              </w:rPr>
            </w:pPr>
            <w:r>
              <w:rPr>
                <w:rFonts w:ascii="宋体" w:hAnsi="宋体" w:eastAsia="宋体"/>
                <w:szCs w:val="21"/>
              </w:rPr>
              <w:t>13</w:t>
            </w:r>
          </w:p>
        </w:tc>
        <w:tc>
          <w:tcPr>
            <w:tcW w:w="2001" w:type="dxa"/>
            <w:vAlign w:val="center"/>
          </w:tcPr>
          <w:p w14:paraId="2D3FD771">
            <w:pPr>
              <w:widowControl w:val="0"/>
              <w:spacing w:line="276" w:lineRule="auto"/>
              <w:jc w:val="center"/>
              <w:rPr>
                <w:rFonts w:ascii="宋体" w:hAnsi="宋体" w:eastAsia="宋体"/>
                <w:szCs w:val="21"/>
              </w:rPr>
            </w:pPr>
            <w:r>
              <w:rPr>
                <w:rFonts w:hint="eastAsia" w:ascii="宋体" w:hAnsi="宋体" w:eastAsia="宋体"/>
                <w:szCs w:val="21"/>
              </w:rPr>
              <w:t>激光打印机</w:t>
            </w:r>
          </w:p>
        </w:tc>
        <w:tc>
          <w:tcPr>
            <w:tcW w:w="4576" w:type="dxa"/>
            <w:vAlign w:val="center"/>
          </w:tcPr>
          <w:p w14:paraId="64CAF5AE">
            <w:pPr>
              <w:widowControl w:val="0"/>
              <w:spacing w:line="276" w:lineRule="auto"/>
              <w:jc w:val="both"/>
              <w:rPr>
                <w:rFonts w:ascii="宋体" w:hAnsi="宋体" w:eastAsia="宋体"/>
                <w:szCs w:val="21"/>
              </w:rPr>
            </w:pPr>
            <w:r>
              <w:rPr>
                <w:rFonts w:hint="eastAsia" w:ascii="宋体" w:hAnsi="宋体" w:eastAsia="宋体"/>
                <w:szCs w:val="21"/>
              </w:rPr>
              <w:t>1、黑白；2、幅面：A3/A4；3、激光打印机；4、打印速度：A4≥16ppm，A3≥9ppm。</w:t>
            </w:r>
          </w:p>
        </w:tc>
        <w:tc>
          <w:tcPr>
            <w:tcW w:w="960" w:type="dxa"/>
            <w:vAlign w:val="center"/>
          </w:tcPr>
          <w:p w14:paraId="053472F4">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9D519E9">
            <w:pPr>
              <w:widowControl w:val="0"/>
              <w:spacing w:line="276" w:lineRule="auto"/>
              <w:jc w:val="center"/>
              <w:rPr>
                <w:rFonts w:ascii="宋体" w:hAnsi="宋体" w:eastAsia="宋体"/>
                <w:szCs w:val="21"/>
              </w:rPr>
            </w:pPr>
            <w:r>
              <w:rPr>
                <w:rFonts w:hint="eastAsia" w:ascii="宋体" w:hAnsi="宋体" w:eastAsia="宋体"/>
                <w:szCs w:val="21"/>
              </w:rPr>
              <w:t>台</w:t>
            </w:r>
          </w:p>
        </w:tc>
      </w:tr>
      <w:tr w14:paraId="7C24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290F958">
            <w:pPr>
              <w:widowControl w:val="0"/>
              <w:spacing w:line="276" w:lineRule="auto"/>
              <w:jc w:val="center"/>
              <w:rPr>
                <w:rFonts w:ascii="宋体" w:hAnsi="宋体" w:eastAsia="宋体"/>
                <w:szCs w:val="21"/>
              </w:rPr>
            </w:pPr>
            <w:r>
              <w:rPr>
                <w:rFonts w:ascii="宋体" w:hAnsi="宋体" w:eastAsia="宋体"/>
                <w:szCs w:val="21"/>
              </w:rPr>
              <w:t>14</w:t>
            </w:r>
          </w:p>
        </w:tc>
        <w:tc>
          <w:tcPr>
            <w:tcW w:w="2001" w:type="dxa"/>
            <w:vAlign w:val="center"/>
          </w:tcPr>
          <w:p w14:paraId="0E85355D">
            <w:pPr>
              <w:widowControl w:val="0"/>
              <w:spacing w:line="276" w:lineRule="auto"/>
              <w:jc w:val="center"/>
              <w:rPr>
                <w:rFonts w:ascii="宋体" w:hAnsi="宋体" w:eastAsia="宋体"/>
                <w:szCs w:val="21"/>
              </w:rPr>
            </w:pPr>
            <w:r>
              <w:rPr>
                <w:rFonts w:hint="eastAsia" w:ascii="宋体" w:hAnsi="宋体" w:eastAsia="宋体"/>
                <w:szCs w:val="21"/>
              </w:rPr>
              <w:t>三层以太网交换机</w:t>
            </w:r>
          </w:p>
        </w:tc>
        <w:tc>
          <w:tcPr>
            <w:tcW w:w="4576" w:type="dxa"/>
            <w:vAlign w:val="center"/>
          </w:tcPr>
          <w:p w14:paraId="416D5B13">
            <w:pPr>
              <w:widowControl w:val="0"/>
              <w:spacing w:line="276" w:lineRule="auto"/>
              <w:jc w:val="both"/>
              <w:rPr>
                <w:rFonts w:ascii="宋体" w:hAnsi="宋体" w:eastAsia="宋体"/>
                <w:szCs w:val="21"/>
              </w:rPr>
            </w:pPr>
            <w:r>
              <w:rPr>
                <w:rFonts w:hint="eastAsia" w:ascii="宋体" w:hAnsi="宋体" w:eastAsia="宋体"/>
                <w:szCs w:val="21"/>
              </w:rPr>
              <w:t>1、具有三层交换功能的交换机，具备双工和半双工转换及SMON全局网管监控；</w:t>
            </w:r>
          </w:p>
          <w:p w14:paraId="2E27147D">
            <w:pPr>
              <w:widowControl w:val="0"/>
              <w:spacing w:line="276" w:lineRule="auto"/>
              <w:jc w:val="both"/>
              <w:rPr>
                <w:rFonts w:hint="eastAsia" w:ascii="宋体" w:hAnsi="宋体" w:eastAsia="宋体"/>
                <w:szCs w:val="21"/>
              </w:rPr>
            </w:pPr>
            <w:r>
              <w:rPr>
                <w:rFonts w:ascii="宋体" w:hAnsi="宋体" w:eastAsia="宋体"/>
                <w:szCs w:val="21"/>
              </w:rPr>
              <w:t>2</w:t>
            </w:r>
            <w:r>
              <w:rPr>
                <w:rFonts w:hint="eastAsia" w:ascii="宋体" w:hAnsi="宋体" w:eastAsia="宋体"/>
                <w:szCs w:val="21"/>
              </w:rPr>
              <w:t>、至少48 个千兆以太网电口、4 个万兆单模光接口；</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、工作状态显示；</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、背板交换容量不小于176Gbps,包转发能力不小于131Mpps；</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、双电源配置；</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、交换机的大小尺寸符合19”标准机柜的安装尺寸要求。</w:t>
            </w:r>
          </w:p>
          <w:p w14:paraId="0A1FC5FB">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F9FFB76">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0F73FE3">
            <w:pPr>
              <w:widowControl w:val="0"/>
              <w:spacing w:line="276" w:lineRule="auto"/>
              <w:jc w:val="center"/>
              <w:rPr>
                <w:rFonts w:ascii="宋体" w:hAnsi="宋体" w:eastAsia="宋体"/>
                <w:szCs w:val="21"/>
              </w:rPr>
            </w:pPr>
            <w:r>
              <w:rPr>
                <w:rFonts w:hint="eastAsia" w:ascii="宋体" w:hAnsi="宋体" w:eastAsia="宋体"/>
                <w:szCs w:val="21"/>
              </w:rPr>
              <w:t>台</w:t>
            </w:r>
          </w:p>
        </w:tc>
      </w:tr>
      <w:tr w14:paraId="54A3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DCBF175">
            <w:pPr>
              <w:widowControl w:val="0"/>
              <w:spacing w:line="276" w:lineRule="auto"/>
              <w:jc w:val="center"/>
              <w:rPr>
                <w:rFonts w:ascii="宋体" w:hAnsi="宋体" w:eastAsia="宋体"/>
                <w:szCs w:val="21"/>
              </w:rPr>
            </w:pPr>
            <w:r>
              <w:rPr>
                <w:rFonts w:ascii="宋体" w:hAnsi="宋体" w:eastAsia="宋体"/>
                <w:szCs w:val="21"/>
              </w:rPr>
              <w:t>15</w:t>
            </w:r>
          </w:p>
        </w:tc>
        <w:tc>
          <w:tcPr>
            <w:tcW w:w="2001" w:type="dxa"/>
            <w:vAlign w:val="center"/>
          </w:tcPr>
          <w:p w14:paraId="55FC3136">
            <w:pPr>
              <w:widowControl w:val="0"/>
              <w:spacing w:line="276" w:lineRule="auto"/>
              <w:jc w:val="center"/>
              <w:rPr>
                <w:rFonts w:ascii="宋体" w:hAnsi="宋体" w:eastAsia="宋体"/>
                <w:szCs w:val="21"/>
              </w:rPr>
            </w:pPr>
            <w:r>
              <w:rPr>
                <w:rFonts w:hint="eastAsia" w:ascii="宋体" w:hAnsi="宋体" w:eastAsia="宋体"/>
                <w:szCs w:val="21"/>
              </w:rPr>
              <w:t>接入以太网交换机</w:t>
            </w:r>
          </w:p>
        </w:tc>
        <w:tc>
          <w:tcPr>
            <w:tcW w:w="4576" w:type="dxa"/>
            <w:vAlign w:val="center"/>
          </w:tcPr>
          <w:p w14:paraId="72E76754">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具有三层交换功能的交换机</w:t>
            </w:r>
            <w:r>
              <w:rPr>
                <w:rFonts w:hint="eastAsia" w:ascii="宋体" w:hAnsi="宋体" w:eastAsia="宋体"/>
                <w:szCs w:val="21"/>
              </w:rPr>
              <w:t>；</w:t>
            </w:r>
          </w:p>
          <w:p w14:paraId="17757F6D">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至少24个千兆以太网电口、至少4个万兆光口；</w:t>
            </w:r>
          </w:p>
          <w:p w14:paraId="167FA4F2">
            <w:pPr>
              <w:widowControl w:val="0"/>
              <w:spacing w:line="276" w:lineRule="auto"/>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工作状态显示；</w:t>
            </w:r>
          </w:p>
          <w:p w14:paraId="2E28550B">
            <w:pPr>
              <w:widowControl w:val="0"/>
              <w:spacing w:line="276" w:lineRule="auto"/>
              <w:jc w:val="both"/>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背板交换容量不小于128Gbps,包转发能力不小于 96Mpps；</w:t>
            </w:r>
          </w:p>
          <w:p w14:paraId="7A37EB08">
            <w:pPr>
              <w:widowControl w:val="0"/>
              <w:spacing w:line="276" w:lineRule="auto"/>
              <w:jc w:val="both"/>
              <w:rPr>
                <w:rFonts w:ascii="宋体" w:hAnsi="宋体" w:eastAsia="宋体"/>
                <w:szCs w:val="21"/>
              </w:rPr>
            </w:pPr>
            <w:r>
              <w:rPr>
                <w:rFonts w:ascii="宋体" w:hAnsi="宋体" w:eastAsia="宋体"/>
                <w:szCs w:val="21"/>
              </w:rPr>
              <w:t>5</w:t>
            </w:r>
            <w:r>
              <w:rPr>
                <w:rFonts w:hint="eastAsia" w:ascii="宋体" w:hAnsi="宋体" w:eastAsia="宋体"/>
                <w:szCs w:val="21"/>
              </w:rPr>
              <w:t>、</w:t>
            </w:r>
            <w:r>
              <w:rPr>
                <w:rFonts w:ascii="宋体" w:hAnsi="宋体" w:eastAsia="宋体"/>
                <w:szCs w:val="21"/>
              </w:rPr>
              <w:t>单电源配置；</w:t>
            </w:r>
          </w:p>
          <w:p w14:paraId="066CFE9E">
            <w:pPr>
              <w:widowControl w:val="0"/>
              <w:spacing w:line="276" w:lineRule="auto"/>
              <w:jc w:val="both"/>
              <w:rPr>
                <w:rFonts w:ascii="宋体" w:hAnsi="宋体" w:eastAsia="宋体"/>
                <w:szCs w:val="21"/>
              </w:rPr>
            </w:pPr>
            <w:r>
              <w:rPr>
                <w:rFonts w:ascii="宋体" w:hAnsi="宋体" w:eastAsia="宋体"/>
                <w:szCs w:val="21"/>
              </w:rPr>
              <w:t>6</w:t>
            </w:r>
            <w:r>
              <w:rPr>
                <w:rFonts w:hint="eastAsia" w:ascii="宋体" w:hAnsi="宋体" w:eastAsia="宋体"/>
                <w:szCs w:val="21"/>
              </w:rPr>
              <w:t>、</w:t>
            </w:r>
            <w:r>
              <w:rPr>
                <w:rFonts w:ascii="宋体" w:hAnsi="宋体" w:eastAsia="宋体"/>
                <w:szCs w:val="21"/>
              </w:rPr>
              <w:t>支持全端口线速转发；</w:t>
            </w:r>
          </w:p>
          <w:p w14:paraId="4442B446">
            <w:pPr>
              <w:widowControl w:val="0"/>
              <w:spacing w:line="276" w:lineRule="auto"/>
              <w:jc w:val="both"/>
              <w:rPr>
                <w:rFonts w:ascii="宋体" w:hAnsi="宋体" w:eastAsia="宋体"/>
                <w:szCs w:val="21"/>
              </w:rPr>
            </w:pPr>
            <w:r>
              <w:rPr>
                <w:rFonts w:ascii="宋体" w:hAnsi="宋体" w:eastAsia="宋体"/>
                <w:szCs w:val="21"/>
              </w:rPr>
              <w:t>7</w:t>
            </w:r>
            <w:r>
              <w:rPr>
                <w:rFonts w:hint="eastAsia" w:ascii="宋体" w:hAnsi="宋体" w:eastAsia="宋体"/>
                <w:szCs w:val="21"/>
              </w:rPr>
              <w:t>、</w:t>
            </w:r>
            <w:r>
              <w:rPr>
                <w:rFonts w:ascii="宋体" w:hAnsi="宋体" w:eastAsia="宋体"/>
                <w:szCs w:val="21"/>
              </w:rPr>
              <w:t>支持aNAC统一管理、统一查看状态、VLAN等配置管理；</w:t>
            </w:r>
          </w:p>
          <w:p w14:paraId="34D877FF">
            <w:pPr>
              <w:widowControl w:val="0"/>
              <w:spacing w:line="276" w:lineRule="auto"/>
              <w:jc w:val="both"/>
              <w:rPr>
                <w:rFonts w:ascii="宋体" w:hAnsi="宋体" w:eastAsia="宋体"/>
                <w:szCs w:val="21"/>
              </w:rPr>
            </w:pPr>
            <w:r>
              <w:rPr>
                <w:rFonts w:hint="eastAsia" w:ascii="宋体" w:hAnsi="宋体" w:eastAsia="宋体"/>
                <w:szCs w:val="21"/>
              </w:rPr>
              <w:t>8、</w:t>
            </w:r>
            <w:r>
              <w:rPr>
                <w:rFonts w:ascii="宋体" w:hAnsi="宋体" w:eastAsia="宋体"/>
                <w:szCs w:val="21"/>
              </w:rPr>
              <w:t>支持终端识别、终端准入、安全防护及安全画像可视</w:t>
            </w:r>
            <w:r>
              <w:rPr>
                <w:rFonts w:hint="eastAsia" w:ascii="宋体" w:hAnsi="宋体" w:eastAsia="宋体"/>
                <w:szCs w:val="21"/>
              </w:rPr>
              <w:t>。</w:t>
            </w:r>
          </w:p>
          <w:p w14:paraId="0349F46C">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29E1370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D793182">
            <w:pPr>
              <w:widowControl w:val="0"/>
              <w:spacing w:line="276" w:lineRule="auto"/>
              <w:jc w:val="center"/>
              <w:rPr>
                <w:rFonts w:ascii="宋体" w:hAnsi="宋体" w:eastAsia="宋体"/>
                <w:szCs w:val="21"/>
              </w:rPr>
            </w:pPr>
            <w:r>
              <w:rPr>
                <w:rFonts w:hint="eastAsia" w:ascii="宋体" w:hAnsi="宋体" w:eastAsia="宋体"/>
                <w:szCs w:val="21"/>
              </w:rPr>
              <w:t>台</w:t>
            </w:r>
          </w:p>
        </w:tc>
      </w:tr>
      <w:tr w14:paraId="64B1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0B7F5FD">
            <w:pPr>
              <w:widowControl w:val="0"/>
              <w:spacing w:line="276" w:lineRule="auto"/>
              <w:jc w:val="center"/>
              <w:rPr>
                <w:rFonts w:ascii="宋体" w:hAnsi="宋体" w:eastAsia="宋体"/>
                <w:szCs w:val="21"/>
              </w:rPr>
            </w:pPr>
            <w:r>
              <w:rPr>
                <w:rFonts w:ascii="宋体" w:hAnsi="宋体" w:eastAsia="宋体"/>
                <w:szCs w:val="21"/>
              </w:rPr>
              <w:t>16</w:t>
            </w:r>
          </w:p>
        </w:tc>
        <w:tc>
          <w:tcPr>
            <w:tcW w:w="2001" w:type="dxa"/>
            <w:vAlign w:val="center"/>
          </w:tcPr>
          <w:p w14:paraId="780AFECB">
            <w:pPr>
              <w:widowControl w:val="0"/>
              <w:spacing w:line="276" w:lineRule="auto"/>
              <w:jc w:val="center"/>
              <w:rPr>
                <w:rFonts w:ascii="宋体" w:hAnsi="宋体" w:eastAsia="宋体"/>
                <w:szCs w:val="21"/>
              </w:rPr>
            </w:pPr>
            <w:r>
              <w:rPr>
                <w:rFonts w:hint="eastAsia" w:ascii="宋体" w:hAnsi="宋体" w:eastAsia="宋体"/>
                <w:szCs w:val="21"/>
              </w:rPr>
              <w:t>主监视器</w:t>
            </w:r>
          </w:p>
        </w:tc>
        <w:tc>
          <w:tcPr>
            <w:tcW w:w="4576" w:type="dxa"/>
            <w:vAlign w:val="center"/>
          </w:tcPr>
          <w:p w14:paraId="183E9A0E">
            <w:pPr>
              <w:widowControl w:val="0"/>
              <w:spacing w:line="276" w:lineRule="auto"/>
              <w:jc w:val="both"/>
              <w:rPr>
                <w:rFonts w:hint="eastAsia" w:ascii="宋体" w:hAnsi="宋体" w:eastAsia="宋体"/>
                <w:szCs w:val="21"/>
              </w:rPr>
            </w:pPr>
            <w:r>
              <w:rPr>
                <w:rFonts w:hint="eastAsia" w:ascii="宋体" w:hAnsi="宋体" w:eastAsia="宋体"/>
                <w:szCs w:val="21"/>
              </w:rPr>
              <w:t>32"液晶，市场主流配置。</w:t>
            </w:r>
          </w:p>
          <w:p w14:paraId="7813061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B58447A">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A8BDAA3">
            <w:pPr>
              <w:widowControl w:val="0"/>
              <w:spacing w:line="276" w:lineRule="auto"/>
              <w:jc w:val="center"/>
              <w:rPr>
                <w:rFonts w:ascii="宋体" w:hAnsi="宋体" w:eastAsia="宋体"/>
                <w:szCs w:val="21"/>
              </w:rPr>
            </w:pPr>
            <w:r>
              <w:rPr>
                <w:rFonts w:hint="eastAsia" w:ascii="宋体" w:hAnsi="宋体" w:eastAsia="宋体"/>
                <w:szCs w:val="21"/>
              </w:rPr>
              <w:t>台</w:t>
            </w:r>
          </w:p>
        </w:tc>
      </w:tr>
      <w:tr w14:paraId="6495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DFCAB50">
            <w:pPr>
              <w:widowControl w:val="0"/>
              <w:spacing w:line="276" w:lineRule="auto"/>
              <w:jc w:val="center"/>
              <w:rPr>
                <w:rFonts w:ascii="宋体" w:hAnsi="宋体" w:eastAsia="宋体"/>
                <w:szCs w:val="21"/>
              </w:rPr>
            </w:pPr>
            <w:r>
              <w:rPr>
                <w:rFonts w:ascii="宋体" w:hAnsi="宋体" w:eastAsia="宋体"/>
                <w:szCs w:val="21"/>
              </w:rPr>
              <w:t>17</w:t>
            </w:r>
          </w:p>
        </w:tc>
        <w:tc>
          <w:tcPr>
            <w:tcW w:w="2001" w:type="dxa"/>
            <w:vAlign w:val="center"/>
          </w:tcPr>
          <w:p w14:paraId="1F92EB75">
            <w:pPr>
              <w:widowControl w:val="0"/>
              <w:spacing w:line="276" w:lineRule="auto"/>
              <w:jc w:val="center"/>
              <w:rPr>
                <w:rFonts w:ascii="宋体" w:hAnsi="宋体" w:eastAsia="宋体"/>
                <w:szCs w:val="21"/>
              </w:rPr>
            </w:pPr>
            <w:r>
              <w:rPr>
                <w:rFonts w:hint="eastAsia" w:ascii="宋体" w:hAnsi="宋体" w:eastAsia="宋体"/>
                <w:szCs w:val="21"/>
              </w:rPr>
              <w:t>拼接控制器（含软件）</w:t>
            </w:r>
          </w:p>
        </w:tc>
        <w:tc>
          <w:tcPr>
            <w:tcW w:w="4576" w:type="dxa"/>
            <w:vAlign w:val="center"/>
          </w:tcPr>
          <w:p w14:paraId="42A1E9A9">
            <w:pPr>
              <w:widowControl w:val="0"/>
              <w:spacing w:line="276" w:lineRule="auto"/>
              <w:jc w:val="both"/>
              <w:rPr>
                <w:rFonts w:hint="eastAsia" w:ascii="宋体" w:hAnsi="宋体" w:eastAsia="宋体"/>
                <w:szCs w:val="21"/>
              </w:rPr>
            </w:pPr>
            <w:r>
              <w:rPr>
                <w:rFonts w:hint="eastAsia" w:ascii="宋体" w:hAnsi="宋体" w:eastAsia="宋体"/>
                <w:szCs w:val="21"/>
              </w:rPr>
              <w:t>16路输入，12路输出，含同步发送盒。</w:t>
            </w:r>
          </w:p>
          <w:p w14:paraId="307DE4D3">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62F4C67">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9FFC0D6">
            <w:pPr>
              <w:widowControl w:val="0"/>
              <w:spacing w:line="276" w:lineRule="auto"/>
              <w:jc w:val="center"/>
              <w:rPr>
                <w:rFonts w:ascii="宋体" w:hAnsi="宋体" w:eastAsia="宋体"/>
                <w:szCs w:val="21"/>
              </w:rPr>
            </w:pPr>
            <w:r>
              <w:rPr>
                <w:rFonts w:hint="eastAsia" w:ascii="宋体" w:hAnsi="宋体" w:eastAsia="宋体"/>
                <w:szCs w:val="21"/>
              </w:rPr>
              <w:t>台</w:t>
            </w:r>
          </w:p>
        </w:tc>
      </w:tr>
      <w:tr w14:paraId="0FB7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98192A1">
            <w:pPr>
              <w:widowControl w:val="0"/>
              <w:spacing w:line="276" w:lineRule="auto"/>
              <w:jc w:val="center"/>
              <w:rPr>
                <w:rFonts w:ascii="宋体" w:hAnsi="宋体" w:eastAsia="宋体"/>
                <w:szCs w:val="21"/>
              </w:rPr>
            </w:pPr>
            <w:r>
              <w:rPr>
                <w:rFonts w:ascii="宋体" w:hAnsi="宋体" w:eastAsia="宋体"/>
                <w:szCs w:val="21"/>
              </w:rPr>
              <w:t>18</w:t>
            </w:r>
          </w:p>
        </w:tc>
        <w:tc>
          <w:tcPr>
            <w:tcW w:w="2001" w:type="dxa"/>
            <w:vAlign w:val="center"/>
          </w:tcPr>
          <w:p w14:paraId="2BD4F168">
            <w:pPr>
              <w:widowControl w:val="0"/>
              <w:spacing w:line="276" w:lineRule="auto"/>
              <w:jc w:val="center"/>
              <w:rPr>
                <w:rFonts w:ascii="宋体" w:hAnsi="宋体" w:eastAsia="宋体"/>
                <w:szCs w:val="21"/>
              </w:rPr>
            </w:pPr>
            <w:r>
              <w:rPr>
                <w:rFonts w:hint="eastAsia" w:ascii="宋体" w:hAnsi="宋体" w:eastAsia="宋体"/>
                <w:szCs w:val="21"/>
              </w:rPr>
              <w:t>小间距LED拼接屏</w:t>
            </w:r>
          </w:p>
        </w:tc>
        <w:tc>
          <w:tcPr>
            <w:tcW w:w="4576" w:type="dxa"/>
            <w:vAlign w:val="center"/>
          </w:tcPr>
          <w:p w14:paraId="3949478F">
            <w:pPr>
              <w:widowControl w:val="0"/>
              <w:spacing w:line="276" w:lineRule="auto"/>
              <w:jc w:val="both"/>
              <w:rPr>
                <w:rFonts w:hint="eastAsia" w:ascii="宋体" w:hAnsi="宋体" w:eastAsia="宋体"/>
                <w:szCs w:val="21"/>
              </w:rPr>
            </w:pPr>
            <w:r>
              <w:rPr>
                <w:rFonts w:hint="eastAsia" w:ascii="宋体" w:hAnsi="宋体" w:eastAsia="宋体"/>
                <w:szCs w:val="21"/>
              </w:rPr>
              <w:t>（1）小间距LED屏</w:t>
            </w:r>
            <w:r>
              <w:rPr>
                <w:rFonts w:hint="eastAsia" w:ascii="宋体" w:hAnsi="宋体" w:eastAsia="宋体"/>
                <w:szCs w:val="21"/>
              </w:rPr>
              <w:br w:type="page"/>
            </w:r>
            <w:r>
              <w:rPr>
                <w:rFonts w:hint="eastAsia" w:ascii="宋体" w:hAnsi="宋体" w:eastAsia="宋体"/>
                <w:szCs w:val="21"/>
              </w:rPr>
              <w:t>1、具体尺寸根据中标厂商拼接模组的尺寸工艺，可以微调，宽高调整尺寸不大于0.3</w:t>
            </w:r>
            <w:r>
              <w:rPr>
                <w:rFonts w:hint="eastAsia" w:ascii="宋体" w:hAnsi="宋体" w:eastAsia="宋体"/>
                <w:szCs w:val="21"/>
              </w:rPr>
              <w:br w:type="page"/>
            </w:r>
            <w:r>
              <w:rPr>
                <w:rFonts w:hint="eastAsia" w:ascii="宋体" w:hAnsi="宋体" w:eastAsia="宋体"/>
                <w:szCs w:val="21"/>
              </w:rPr>
              <w:t>米；</w:t>
            </w:r>
            <w:r>
              <w:rPr>
                <w:rFonts w:hint="eastAsia" w:ascii="宋体" w:hAnsi="宋体" w:eastAsia="宋体"/>
                <w:szCs w:val="21"/>
              </w:rPr>
              <w:br w:type="page"/>
            </w:r>
            <w:r>
              <w:rPr>
                <w:rFonts w:hint="eastAsia" w:ascii="宋体" w:hAnsi="宋体" w:eastAsia="宋体"/>
                <w:szCs w:val="21"/>
              </w:rPr>
              <w:t>2、点间距1.2 毫米；</w:t>
            </w:r>
            <w:r>
              <w:rPr>
                <w:rFonts w:hint="eastAsia" w:ascii="宋体" w:hAnsi="宋体" w:eastAsia="宋体"/>
                <w:szCs w:val="21"/>
              </w:rPr>
              <w:br w:type="page"/>
            </w:r>
            <w:r>
              <w:rPr>
                <w:rFonts w:hint="eastAsia" w:ascii="宋体" w:hAnsi="宋体" w:eastAsia="宋体"/>
                <w:szCs w:val="21"/>
              </w:rPr>
              <w:t>3、像素点组成1R1G1B；</w:t>
            </w:r>
            <w:r>
              <w:rPr>
                <w:rFonts w:hint="eastAsia" w:ascii="宋体" w:hAnsi="宋体" w:eastAsia="宋体"/>
                <w:szCs w:val="21"/>
              </w:rPr>
              <w:br w:type="page"/>
            </w:r>
            <w:r>
              <w:rPr>
                <w:rFonts w:hint="eastAsia" w:ascii="宋体" w:hAnsi="宋体" w:eastAsia="宋体"/>
                <w:szCs w:val="21"/>
              </w:rPr>
              <w:t>4、COB 封装工艺；</w:t>
            </w:r>
            <w:r>
              <w:rPr>
                <w:rFonts w:hint="eastAsia" w:ascii="宋体" w:hAnsi="宋体" w:eastAsia="宋体"/>
                <w:szCs w:val="21"/>
              </w:rPr>
              <w:br w:type="page"/>
            </w:r>
            <w:r>
              <w:rPr>
                <w:rFonts w:hint="eastAsia" w:ascii="宋体" w:hAnsi="宋体" w:eastAsia="宋体"/>
                <w:szCs w:val="21"/>
              </w:rPr>
              <w:t>5、平整度≤0.1 毫米；</w:t>
            </w:r>
            <w:r>
              <w:rPr>
                <w:rFonts w:hint="eastAsia" w:ascii="宋体" w:hAnsi="宋体" w:eastAsia="宋体"/>
                <w:szCs w:val="21"/>
              </w:rPr>
              <w:br w:type="page"/>
            </w:r>
            <w:r>
              <w:rPr>
                <w:rFonts w:hint="eastAsia" w:ascii="宋体" w:hAnsi="宋体" w:eastAsia="宋体"/>
                <w:szCs w:val="21"/>
              </w:rPr>
              <w:t>6、亮度值50-600cd/平方米；</w:t>
            </w:r>
            <w:r>
              <w:rPr>
                <w:rFonts w:hint="eastAsia" w:ascii="宋体" w:hAnsi="宋体" w:eastAsia="宋体"/>
                <w:szCs w:val="21"/>
              </w:rPr>
              <w:br w:type="page"/>
            </w:r>
            <w:r>
              <w:rPr>
                <w:rFonts w:hint="eastAsia" w:ascii="宋体" w:hAnsi="宋体" w:eastAsia="宋体"/>
                <w:szCs w:val="21"/>
              </w:rPr>
              <w:t>7、亮度均匀性&gt;97%；</w:t>
            </w:r>
            <w:r>
              <w:rPr>
                <w:rFonts w:hint="eastAsia" w:ascii="宋体" w:hAnsi="宋体" w:eastAsia="宋体"/>
                <w:szCs w:val="21"/>
              </w:rPr>
              <w:br w:type="page"/>
            </w:r>
            <w:r>
              <w:rPr>
                <w:rFonts w:hint="eastAsia" w:ascii="宋体" w:hAnsi="宋体" w:eastAsia="宋体"/>
                <w:szCs w:val="21"/>
              </w:rPr>
              <w:t>8、水平视角170 度/垂直视角170 度；</w:t>
            </w:r>
            <w:r>
              <w:rPr>
                <w:rFonts w:hint="eastAsia" w:ascii="宋体" w:hAnsi="宋体" w:eastAsia="宋体"/>
                <w:szCs w:val="21"/>
              </w:rPr>
              <w:br w:type="page"/>
            </w:r>
            <w:r>
              <w:rPr>
                <w:rFonts w:hint="eastAsia" w:ascii="宋体" w:hAnsi="宋体" w:eastAsia="宋体"/>
                <w:szCs w:val="21"/>
              </w:rPr>
              <w:t>9、屏体色温3200～9300K可调；</w:t>
            </w:r>
            <w:r>
              <w:rPr>
                <w:rFonts w:hint="eastAsia" w:ascii="宋体" w:hAnsi="宋体" w:eastAsia="宋体"/>
                <w:szCs w:val="21"/>
              </w:rPr>
              <w:br w:type="page"/>
            </w:r>
            <w:r>
              <w:rPr>
                <w:rFonts w:hint="eastAsia" w:ascii="宋体" w:hAnsi="宋体" w:eastAsia="宋体"/>
                <w:szCs w:val="21"/>
              </w:rPr>
              <w:t>10、平均功耗（不含电源冗余）150-200 瓦/平米；</w:t>
            </w:r>
            <w:r>
              <w:rPr>
                <w:rFonts w:hint="eastAsia" w:ascii="宋体" w:hAnsi="宋体" w:eastAsia="宋体"/>
                <w:szCs w:val="21"/>
              </w:rPr>
              <w:br w:type="page"/>
            </w:r>
            <w:r>
              <w:rPr>
                <w:rFonts w:hint="eastAsia" w:ascii="宋体" w:hAnsi="宋体" w:eastAsia="宋体"/>
                <w:szCs w:val="21"/>
              </w:rPr>
              <w:t>11、灰度等级16bit；刷新频率≥3840 Hz；工作电压AC：110~220V、50/60Hz</w:t>
            </w:r>
            <w:r>
              <w:rPr>
                <w:rFonts w:hint="eastAsia" w:ascii="宋体" w:hAnsi="宋体" w:eastAsia="宋体"/>
                <w:szCs w:val="21"/>
              </w:rPr>
              <w:br w:type="page"/>
            </w:r>
            <w:r>
              <w:rPr>
                <w:rFonts w:hint="eastAsia" w:ascii="宋体" w:hAnsi="宋体" w:eastAsia="宋体"/>
                <w:szCs w:val="21"/>
              </w:rPr>
              <w:t>；12、连续工作时间≥7×24hrs，支持连续不间断显示；</w:t>
            </w:r>
            <w:r>
              <w:rPr>
                <w:rFonts w:hint="eastAsia" w:ascii="宋体" w:hAnsi="宋体" w:eastAsia="宋体"/>
                <w:szCs w:val="21"/>
              </w:rPr>
              <w:br w:type="page"/>
            </w:r>
            <w:r>
              <w:rPr>
                <w:rFonts w:hint="eastAsia" w:ascii="宋体" w:hAnsi="宋体" w:eastAsia="宋体"/>
                <w:szCs w:val="21"/>
              </w:rPr>
              <w:t>13、平均无故障工作时间≥100000 小时；</w:t>
            </w:r>
            <w:r>
              <w:rPr>
                <w:rFonts w:hint="eastAsia" w:ascii="宋体" w:hAnsi="宋体" w:eastAsia="宋体"/>
                <w:szCs w:val="21"/>
              </w:rPr>
              <w:br w:type="page"/>
            </w:r>
            <w:r>
              <w:rPr>
                <w:rFonts w:hint="eastAsia" w:ascii="宋体" w:hAnsi="宋体" w:eastAsia="宋体"/>
                <w:szCs w:val="21"/>
              </w:rPr>
              <w:t>14、LED 寿命100000 小时；像素点失效率≤5/1000000。</w:t>
            </w:r>
          </w:p>
          <w:p w14:paraId="059609C7">
            <w:pPr>
              <w:widowControl w:val="0"/>
              <w:spacing w:line="276" w:lineRule="auto"/>
              <w:jc w:val="both"/>
              <w:rPr>
                <w:rFonts w:hint="eastAsia" w:ascii="宋体" w:hAnsi="宋体" w:eastAsia="宋体"/>
                <w:szCs w:val="21"/>
              </w:rPr>
            </w:pPr>
            <w:r>
              <w:rPr>
                <w:rFonts w:hint="eastAsia" w:ascii="宋体" w:hAnsi="宋体" w:eastAsia="宋体"/>
                <w:szCs w:val="21"/>
              </w:rPr>
              <w:t>（2）发送卡。1、</w:t>
            </w:r>
            <w:r>
              <w:rPr>
                <w:rFonts w:ascii="宋体" w:hAnsi="宋体" w:eastAsia="宋体"/>
                <w:szCs w:val="21"/>
              </w:rPr>
              <w:t>控制接口</w:t>
            </w:r>
            <w:r>
              <w:rPr>
                <w:rFonts w:hint="eastAsia" w:ascii="宋体" w:hAnsi="宋体" w:eastAsia="宋体"/>
                <w:szCs w:val="21"/>
              </w:rPr>
              <w:t>：</w:t>
            </w:r>
            <w:r>
              <w:rPr>
                <w:rFonts w:ascii="宋体" w:hAnsi="宋体" w:eastAsia="宋体"/>
                <w:szCs w:val="21"/>
              </w:rPr>
              <w:t>RS232/USB 控制接口，可用于设备级联</w:t>
            </w:r>
            <w:r>
              <w:rPr>
                <w:rFonts w:hint="eastAsia" w:ascii="宋体" w:hAnsi="宋体" w:eastAsia="宋体"/>
                <w:szCs w:val="21"/>
              </w:rPr>
              <w:t>；2、</w:t>
            </w:r>
            <w:r>
              <w:rPr>
                <w:rFonts w:ascii="宋体" w:hAnsi="宋体" w:eastAsia="宋体"/>
                <w:szCs w:val="21"/>
              </w:rPr>
              <w:t>支持最大分辨率为1920×1200@60Hz</w:t>
            </w:r>
            <w:r>
              <w:rPr>
                <w:rFonts w:hint="eastAsia" w:ascii="宋体" w:hAnsi="宋体" w:eastAsia="宋体"/>
                <w:szCs w:val="21"/>
              </w:rPr>
              <w:t>；3、</w:t>
            </w:r>
            <w:r>
              <w:rPr>
                <w:rFonts w:ascii="宋体" w:hAnsi="宋体" w:eastAsia="宋体"/>
                <w:szCs w:val="21"/>
              </w:rPr>
              <w:t>支持最大分辨率为 1920×1200@60Hz</w:t>
            </w:r>
            <w:r>
              <w:rPr>
                <w:rFonts w:hint="eastAsia" w:ascii="宋体" w:hAnsi="宋体" w:eastAsia="宋体"/>
                <w:szCs w:val="21"/>
              </w:rPr>
              <w:t>；4、</w:t>
            </w:r>
            <w:r>
              <w:rPr>
                <w:rFonts w:ascii="宋体" w:hAnsi="宋体" w:eastAsia="宋体"/>
                <w:szCs w:val="21"/>
              </w:rPr>
              <w:t>平均功耗：不大于20W</w:t>
            </w:r>
            <w:r>
              <w:rPr>
                <w:rFonts w:hint="eastAsia" w:ascii="宋体" w:hAnsi="宋体" w:eastAsia="宋体"/>
                <w:szCs w:val="21"/>
              </w:rPr>
              <w:t>；</w:t>
            </w:r>
            <w:r>
              <w:rPr>
                <w:rFonts w:ascii="宋体" w:hAnsi="宋体" w:eastAsia="宋体"/>
                <w:szCs w:val="21"/>
              </w:rPr>
              <w:t>供电要求：AC100V-240V～50/60Hz</w:t>
            </w:r>
            <w:r>
              <w:rPr>
                <w:rFonts w:hint="eastAsia" w:ascii="宋体" w:hAnsi="宋体" w:eastAsia="宋体"/>
                <w:szCs w:val="21"/>
              </w:rPr>
              <w:t>。</w:t>
            </w:r>
          </w:p>
          <w:p w14:paraId="1522DB50">
            <w:pPr>
              <w:widowControl w:val="0"/>
              <w:spacing w:line="276" w:lineRule="auto"/>
              <w:jc w:val="both"/>
              <w:rPr>
                <w:rFonts w:ascii="宋体" w:hAnsi="宋体" w:eastAsia="宋体"/>
                <w:szCs w:val="21"/>
              </w:rPr>
            </w:pPr>
            <w:r>
              <w:rPr>
                <w:rFonts w:hint="eastAsia" w:ascii="宋体" w:hAnsi="宋体" w:eastAsia="宋体"/>
                <w:color w:val="auto"/>
                <w:szCs w:val="21"/>
              </w:rPr>
              <w:t>其他详见设计图纸及规范要求。</w:t>
            </w:r>
          </w:p>
        </w:tc>
        <w:tc>
          <w:tcPr>
            <w:tcW w:w="960" w:type="dxa"/>
            <w:vAlign w:val="center"/>
          </w:tcPr>
          <w:p w14:paraId="5A15315B">
            <w:pPr>
              <w:widowControl w:val="0"/>
              <w:spacing w:line="276" w:lineRule="auto"/>
              <w:jc w:val="center"/>
              <w:rPr>
                <w:rFonts w:ascii="宋体" w:hAnsi="宋体" w:eastAsia="宋体"/>
                <w:szCs w:val="21"/>
              </w:rPr>
            </w:pPr>
            <w:r>
              <w:rPr>
                <w:rFonts w:ascii="宋体" w:hAnsi="宋体" w:eastAsia="宋体"/>
                <w:szCs w:val="21"/>
              </w:rPr>
              <w:t>14.9714</w:t>
            </w:r>
          </w:p>
        </w:tc>
        <w:tc>
          <w:tcPr>
            <w:tcW w:w="499" w:type="dxa"/>
            <w:vAlign w:val="center"/>
          </w:tcPr>
          <w:p w14:paraId="36B00CCB">
            <w:pPr>
              <w:widowControl w:val="0"/>
              <w:spacing w:line="276" w:lineRule="auto"/>
              <w:jc w:val="center"/>
              <w:rPr>
                <w:rFonts w:ascii="宋体" w:hAnsi="宋体" w:eastAsia="宋体"/>
                <w:szCs w:val="21"/>
              </w:rPr>
            </w:pPr>
            <w:r>
              <w:rPr>
                <w:rFonts w:hint="eastAsia" w:ascii="宋体" w:hAnsi="宋体" w:eastAsia="宋体"/>
                <w:szCs w:val="21"/>
              </w:rPr>
              <w:t>m2</w:t>
            </w:r>
          </w:p>
        </w:tc>
      </w:tr>
      <w:tr w14:paraId="5250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86AB1B2">
            <w:pPr>
              <w:widowControl w:val="0"/>
              <w:spacing w:line="276" w:lineRule="auto"/>
              <w:jc w:val="center"/>
              <w:rPr>
                <w:rFonts w:ascii="宋体" w:hAnsi="宋体" w:eastAsia="宋体"/>
                <w:szCs w:val="21"/>
              </w:rPr>
            </w:pPr>
            <w:r>
              <w:rPr>
                <w:rFonts w:ascii="宋体" w:hAnsi="宋体" w:eastAsia="宋体"/>
                <w:szCs w:val="21"/>
              </w:rPr>
              <w:t>19</w:t>
            </w:r>
          </w:p>
        </w:tc>
        <w:tc>
          <w:tcPr>
            <w:tcW w:w="2001" w:type="dxa"/>
            <w:vAlign w:val="center"/>
          </w:tcPr>
          <w:p w14:paraId="664A3D4F">
            <w:pPr>
              <w:widowControl w:val="0"/>
              <w:spacing w:line="276" w:lineRule="auto"/>
              <w:jc w:val="center"/>
              <w:rPr>
                <w:rFonts w:ascii="宋体" w:hAnsi="宋体" w:eastAsia="宋体"/>
                <w:szCs w:val="21"/>
              </w:rPr>
            </w:pPr>
            <w:r>
              <w:rPr>
                <w:rFonts w:hint="eastAsia" w:ascii="宋体" w:hAnsi="宋体" w:eastAsia="宋体"/>
                <w:szCs w:val="21"/>
              </w:rPr>
              <w:t>大屏安装支架</w:t>
            </w:r>
          </w:p>
        </w:tc>
        <w:tc>
          <w:tcPr>
            <w:tcW w:w="4576" w:type="dxa"/>
            <w:vAlign w:val="center"/>
          </w:tcPr>
          <w:p w14:paraId="7AF6B696">
            <w:pPr>
              <w:widowControl w:val="0"/>
              <w:spacing w:line="276" w:lineRule="auto"/>
              <w:jc w:val="both"/>
              <w:rPr>
                <w:rFonts w:ascii="宋体" w:hAnsi="宋体" w:eastAsia="宋体"/>
                <w:szCs w:val="21"/>
              </w:rPr>
            </w:pPr>
            <w:r>
              <w:rPr>
                <w:rFonts w:hint="eastAsia" w:ascii="宋体" w:hAnsi="宋体" w:eastAsia="宋体"/>
                <w:szCs w:val="21"/>
              </w:rPr>
              <w:t>定制</w:t>
            </w:r>
          </w:p>
        </w:tc>
        <w:tc>
          <w:tcPr>
            <w:tcW w:w="960" w:type="dxa"/>
            <w:vAlign w:val="center"/>
          </w:tcPr>
          <w:p w14:paraId="75E39B6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4690CA3">
            <w:pPr>
              <w:widowControl w:val="0"/>
              <w:spacing w:line="276" w:lineRule="auto"/>
              <w:jc w:val="center"/>
              <w:rPr>
                <w:rFonts w:ascii="宋体" w:hAnsi="宋体" w:eastAsia="宋体"/>
                <w:szCs w:val="21"/>
              </w:rPr>
            </w:pPr>
            <w:r>
              <w:rPr>
                <w:rFonts w:hint="eastAsia" w:ascii="宋体" w:hAnsi="宋体" w:eastAsia="宋体"/>
                <w:szCs w:val="21"/>
              </w:rPr>
              <w:t>套</w:t>
            </w:r>
          </w:p>
        </w:tc>
      </w:tr>
      <w:tr w14:paraId="6783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BE46128">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c>
          <w:tcPr>
            <w:tcW w:w="2001" w:type="dxa"/>
            <w:vAlign w:val="center"/>
          </w:tcPr>
          <w:p w14:paraId="1AECD5BC">
            <w:pPr>
              <w:widowControl w:val="0"/>
              <w:spacing w:line="276" w:lineRule="auto"/>
              <w:jc w:val="center"/>
              <w:rPr>
                <w:rFonts w:hint="eastAsia" w:ascii="宋体" w:hAnsi="宋体" w:eastAsia="宋体"/>
                <w:szCs w:val="21"/>
              </w:rPr>
            </w:pPr>
            <w:r>
              <w:rPr>
                <w:rFonts w:hint="eastAsia" w:ascii="宋体" w:hAnsi="宋体" w:eastAsia="宋体"/>
                <w:szCs w:val="21"/>
                <w:lang w:eastAsia="zh-CN"/>
              </w:rPr>
              <w:t>高清</w:t>
            </w:r>
            <w:r>
              <w:rPr>
                <w:rFonts w:hint="eastAsia" w:ascii="宋体" w:hAnsi="宋体" w:eastAsia="宋体"/>
                <w:szCs w:val="21"/>
              </w:rPr>
              <w:t>视频解码器</w:t>
            </w:r>
          </w:p>
          <w:p w14:paraId="2A96C8DC">
            <w:pPr>
              <w:widowControl w:val="0"/>
              <w:spacing w:line="276" w:lineRule="auto"/>
              <w:jc w:val="center"/>
              <w:rPr>
                <w:rFonts w:ascii="宋体" w:hAnsi="宋体" w:eastAsia="宋体"/>
                <w:szCs w:val="21"/>
              </w:rPr>
            </w:pPr>
            <w:r>
              <w:rPr>
                <w:rFonts w:hint="eastAsia" w:ascii="宋体" w:hAnsi="宋体" w:eastAsia="宋体"/>
                <w:szCs w:val="21"/>
              </w:rPr>
              <w:t>（16路）</w:t>
            </w:r>
          </w:p>
        </w:tc>
        <w:tc>
          <w:tcPr>
            <w:tcW w:w="4576" w:type="dxa"/>
            <w:vAlign w:val="center"/>
          </w:tcPr>
          <w:p w14:paraId="348DA0B8">
            <w:pPr>
              <w:widowControl w:val="0"/>
              <w:numPr>
                <w:ilvl w:val="0"/>
                <w:numId w:val="2"/>
              </w:numPr>
              <w:spacing w:line="276" w:lineRule="auto"/>
              <w:jc w:val="both"/>
              <w:rPr>
                <w:rFonts w:hint="eastAsia" w:ascii="宋体" w:hAnsi="宋体" w:eastAsia="宋体"/>
                <w:szCs w:val="21"/>
              </w:rPr>
            </w:pPr>
            <w:r>
              <w:rPr>
                <w:rFonts w:ascii="宋体" w:hAnsi="宋体" w:eastAsia="宋体"/>
                <w:color w:val="auto"/>
                <w:szCs w:val="21"/>
              </w:rPr>
              <w:t>★</w:t>
            </w:r>
            <w:r>
              <w:rPr>
                <w:rFonts w:hint="eastAsia" w:ascii="宋体" w:hAnsi="宋体" w:eastAsia="宋体"/>
                <w:color w:val="auto"/>
                <w:szCs w:val="21"/>
              </w:rPr>
              <w:t>支持16 路HDMI信号输出，其中16 路支持4K 高清信号输出；（提供相关证明材料）</w:t>
            </w:r>
            <w:r>
              <w:rPr>
                <w:rFonts w:hint="eastAsia" w:ascii="宋体" w:hAnsi="宋体" w:eastAsia="宋体"/>
                <w:szCs w:val="21"/>
              </w:rPr>
              <w:br w:type="textWrapping"/>
            </w:r>
            <w:r>
              <w:rPr>
                <w:rFonts w:hint="eastAsia" w:ascii="宋体" w:hAnsi="宋体" w:eastAsia="宋体"/>
                <w:szCs w:val="21"/>
              </w:rPr>
              <w:t>2、单路支持1/4/6/8/9/16/25 画面分割</w:t>
            </w:r>
            <w:r>
              <w:rPr>
                <w:rFonts w:hint="eastAsia" w:ascii="宋体" w:hAnsi="宋体" w:eastAsia="宋体"/>
                <w:szCs w:val="21"/>
              </w:rPr>
              <w:br w:type="textWrapping"/>
            </w:r>
            <w:r>
              <w:rPr>
                <w:rFonts w:hint="eastAsia" w:ascii="宋体" w:hAnsi="宋体" w:eastAsia="宋体"/>
                <w:szCs w:val="21"/>
              </w:rPr>
              <w:t>3、显示分辨率1080P/960P/720P/960H/D1</w:t>
            </w:r>
            <w:r>
              <w:rPr>
                <w:rFonts w:hint="eastAsia" w:ascii="宋体" w:hAnsi="宋体" w:eastAsia="宋体"/>
                <w:szCs w:val="21"/>
              </w:rPr>
              <w:br w:type="textWrapping"/>
            </w:r>
            <w:r>
              <w:rPr>
                <w:rFonts w:hint="eastAsia" w:ascii="宋体" w:hAnsi="宋体" w:eastAsia="宋体"/>
                <w:szCs w:val="21"/>
              </w:rPr>
              <w:t>4、2个RJ45 100 M/1000 Mbps 自适应以太网接口</w:t>
            </w:r>
            <w:r>
              <w:rPr>
                <w:rFonts w:hint="eastAsia" w:ascii="宋体" w:hAnsi="宋体" w:eastAsia="宋体"/>
                <w:szCs w:val="21"/>
              </w:rPr>
              <w:br w:type="textWrapping"/>
            </w:r>
            <w:r>
              <w:rPr>
                <w:rFonts w:hint="eastAsia" w:ascii="宋体" w:hAnsi="宋体" w:eastAsia="宋体"/>
                <w:szCs w:val="21"/>
              </w:rPr>
              <w:t>5、不低于1 路HDMI或者DVI 输入口</w:t>
            </w:r>
            <w:r>
              <w:rPr>
                <w:rFonts w:hint="eastAsia" w:ascii="宋体" w:hAnsi="宋体" w:eastAsia="宋体"/>
                <w:szCs w:val="21"/>
              </w:rPr>
              <w:br w:type="textWrapping"/>
            </w:r>
            <w:r>
              <w:rPr>
                <w:rFonts w:hint="eastAsia" w:ascii="宋体" w:hAnsi="宋体" w:eastAsia="宋体"/>
                <w:szCs w:val="21"/>
              </w:rPr>
              <w:t>6、支持H.265、H.264、MJPEG 等主流的编码格式；</w:t>
            </w:r>
            <w:r>
              <w:rPr>
                <w:rFonts w:hint="eastAsia" w:ascii="宋体" w:hAnsi="宋体" w:eastAsia="宋体"/>
                <w:szCs w:val="21"/>
              </w:rPr>
              <w:br w:type="textWrapping"/>
            </w:r>
            <w:r>
              <w:rPr>
                <w:rFonts w:hint="eastAsia" w:ascii="宋体" w:hAnsi="宋体" w:eastAsia="宋体"/>
                <w:szCs w:val="21"/>
              </w:rPr>
              <w:t>7、支持RS485 协议/支持多种云台控制协议；</w:t>
            </w:r>
            <w:r>
              <w:rPr>
                <w:rFonts w:hint="eastAsia" w:ascii="宋体" w:hAnsi="宋体" w:eastAsia="宋体"/>
                <w:szCs w:val="21"/>
              </w:rPr>
              <w:br w:type="textWrapping"/>
            </w:r>
            <w:r>
              <w:rPr>
                <w:rFonts w:hint="eastAsia" w:ascii="宋体" w:hAnsi="宋体" w:eastAsia="宋体"/>
                <w:szCs w:val="21"/>
              </w:rPr>
              <w:t>8、支持TCP/IP、UDP、RTSP 等多种网络协议；</w:t>
            </w:r>
            <w:r>
              <w:rPr>
                <w:rFonts w:hint="eastAsia" w:ascii="宋体" w:hAnsi="宋体" w:eastAsia="宋体"/>
                <w:szCs w:val="21"/>
              </w:rPr>
              <w:br w:type="textWrapping"/>
            </w:r>
            <w:r>
              <w:rPr>
                <w:rFonts w:hint="eastAsia" w:ascii="宋体" w:hAnsi="宋体" w:eastAsia="宋体"/>
                <w:szCs w:val="21"/>
              </w:rPr>
              <w:t>9、支持HDMI、VGA 视频输出，分辨率1920x1080</w:t>
            </w:r>
            <w:r>
              <w:rPr>
                <w:rFonts w:hint="eastAsia" w:ascii="宋体" w:hAnsi="宋体" w:eastAsia="宋体"/>
                <w:szCs w:val="21"/>
              </w:rPr>
              <w:br w:type="textWrapping"/>
            </w:r>
            <w:r>
              <w:rPr>
                <w:rFonts w:hint="eastAsia" w:ascii="宋体" w:hAnsi="宋体" w:eastAsia="宋体"/>
                <w:szCs w:val="21"/>
              </w:rPr>
              <w:t>10、支持视频图像巡回切换/支持通过USB 调节菜单。</w:t>
            </w:r>
          </w:p>
          <w:p w14:paraId="7A3FF402">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EC2C21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7E38B5F">
            <w:pPr>
              <w:widowControl w:val="0"/>
              <w:spacing w:line="276" w:lineRule="auto"/>
              <w:jc w:val="center"/>
              <w:rPr>
                <w:rFonts w:ascii="宋体" w:hAnsi="宋体" w:eastAsia="宋体"/>
                <w:szCs w:val="21"/>
              </w:rPr>
            </w:pPr>
            <w:r>
              <w:rPr>
                <w:rFonts w:hint="eastAsia" w:ascii="宋体" w:hAnsi="宋体" w:eastAsia="宋体"/>
                <w:szCs w:val="21"/>
              </w:rPr>
              <w:t>台</w:t>
            </w:r>
          </w:p>
        </w:tc>
      </w:tr>
      <w:tr w14:paraId="45EF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E47E903">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1</w:t>
            </w:r>
          </w:p>
        </w:tc>
        <w:tc>
          <w:tcPr>
            <w:tcW w:w="2001" w:type="dxa"/>
            <w:vAlign w:val="center"/>
          </w:tcPr>
          <w:p w14:paraId="150A9B89">
            <w:pPr>
              <w:widowControl w:val="0"/>
              <w:spacing w:line="276" w:lineRule="auto"/>
              <w:jc w:val="center"/>
              <w:rPr>
                <w:rFonts w:ascii="宋体" w:hAnsi="宋体" w:eastAsia="宋体"/>
                <w:szCs w:val="21"/>
              </w:rPr>
            </w:pPr>
            <w:r>
              <w:rPr>
                <w:rFonts w:hint="eastAsia" w:ascii="宋体" w:hAnsi="宋体" w:eastAsia="宋体"/>
                <w:szCs w:val="21"/>
              </w:rPr>
              <w:t>下一代防火墙（含IPS/AV/AC功能）</w:t>
            </w:r>
          </w:p>
        </w:tc>
        <w:tc>
          <w:tcPr>
            <w:tcW w:w="4576" w:type="dxa"/>
            <w:vAlign w:val="center"/>
          </w:tcPr>
          <w:p w14:paraId="1E942356">
            <w:pPr>
              <w:widowControl w:val="0"/>
              <w:spacing w:line="276" w:lineRule="auto"/>
              <w:jc w:val="both"/>
              <w:rPr>
                <w:rFonts w:ascii="宋体" w:hAnsi="宋体" w:eastAsia="宋体"/>
                <w:color w:val="auto"/>
                <w:szCs w:val="21"/>
              </w:rPr>
            </w:pPr>
            <w:r>
              <w:rPr>
                <w:rFonts w:hint="eastAsia" w:ascii="宋体" w:hAnsi="宋体" w:eastAsia="宋体"/>
                <w:szCs w:val="21"/>
              </w:rPr>
              <w:t>（1）硬件参数：</w:t>
            </w:r>
            <w:r>
              <w:rPr>
                <w:rFonts w:hint="eastAsia" w:ascii="宋体" w:hAnsi="宋体" w:eastAsia="宋体"/>
                <w:szCs w:val="21"/>
              </w:rPr>
              <w:br w:type="textWrapping"/>
            </w:r>
            <w:r>
              <w:rPr>
                <w:rFonts w:hint="eastAsia" w:ascii="宋体" w:hAnsi="宋体" w:eastAsia="宋体"/>
                <w:szCs w:val="21"/>
              </w:rPr>
              <w:t>1、国产化CPU和国产化操作系统；吞吐量≥12Gbps，最大并发连接数≥350 万，新</w:t>
            </w:r>
            <w:r>
              <w:rPr>
                <w:rFonts w:hint="eastAsia" w:ascii="宋体" w:hAnsi="宋体" w:eastAsia="宋体"/>
                <w:szCs w:val="21"/>
              </w:rPr>
              <w:br w:type="textWrapping"/>
            </w:r>
            <w:r>
              <w:rPr>
                <w:rFonts w:hint="eastAsia" w:ascii="宋体" w:hAnsi="宋体" w:eastAsia="宋体"/>
                <w:szCs w:val="21"/>
              </w:rPr>
              <w:t>建连接数≥9 万；三年入侵防御、病毒检测规则库升级服务，三年硬件质保服务。</w:t>
            </w:r>
            <w:r>
              <w:rPr>
                <w:rFonts w:hint="eastAsia" w:ascii="宋体" w:hAnsi="宋体" w:eastAsia="宋体"/>
                <w:szCs w:val="21"/>
              </w:rPr>
              <w:br w:type="textWrapping"/>
            </w:r>
            <w:r>
              <w:rPr>
                <w:rFonts w:hint="eastAsia" w:ascii="宋体" w:hAnsi="宋体" w:eastAsia="宋体"/>
                <w:szCs w:val="21"/>
              </w:rPr>
              <w:t>2、标准机架，双电源，≥6 个千兆电口，≥2 个千兆光口，≥2 个接口扩展槽位；</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1、支持传统防火墙的包过滤、状态检测、网络地址转换（NAT）、入侵防御、防病</w:t>
            </w:r>
            <w:r>
              <w:rPr>
                <w:rFonts w:hint="eastAsia" w:ascii="宋体" w:hAnsi="宋体" w:eastAsia="宋体"/>
                <w:szCs w:val="21"/>
              </w:rPr>
              <w:br w:type="textWrapping"/>
            </w:r>
            <w:r>
              <w:rPr>
                <w:rFonts w:hint="eastAsia" w:ascii="宋体" w:hAnsi="宋体" w:eastAsia="宋体"/>
                <w:szCs w:val="21"/>
              </w:rPr>
              <w:t>毒等功能。</w:t>
            </w:r>
            <w:r>
              <w:rPr>
                <w:rFonts w:hint="eastAsia" w:ascii="宋体" w:hAnsi="宋体" w:eastAsia="宋体"/>
                <w:szCs w:val="21"/>
              </w:rPr>
              <w:br w:type="textWrapping"/>
            </w:r>
            <w:r>
              <w:rPr>
                <w:rFonts w:hint="eastAsia" w:ascii="宋体" w:hAnsi="宋体" w:eastAsia="宋体"/>
                <w:szCs w:val="21"/>
              </w:rPr>
              <w:t>2、支持应用控制、URL过滤、病毒防护、入侵防御、威胁情报检测等高级功能。</w:t>
            </w:r>
            <w:r>
              <w:rPr>
                <w:rFonts w:hint="eastAsia" w:ascii="宋体" w:hAnsi="宋体" w:eastAsia="宋体"/>
                <w:szCs w:val="21"/>
              </w:rPr>
              <w:br w:type="textWrapping"/>
            </w:r>
            <w:r>
              <w:rPr>
                <w:rFonts w:hint="eastAsia" w:ascii="宋体" w:hAnsi="宋体" w:eastAsia="宋体"/>
                <w:szCs w:val="21"/>
              </w:rPr>
              <w:t>3、支持一体化安全策略配置，可以通过一条策略实现五元组、应用、服务、时间、IP 限速、IPS、AV、URL过滤、行为审计等功能配置,简化用户管理。</w:t>
            </w:r>
            <w:r>
              <w:rPr>
                <w:rFonts w:hint="eastAsia" w:ascii="宋体" w:hAnsi="宋体" w:eastAsia="宋体"/>
                <w:szCs w:val="21"/>
              </w:rPr>
              <w:br w:type="textWrapping"/>
            </w:r>
            <w:r>
              <w:rPr>
                <w:rFonts w:hint="eastAsia" w:ascii="宋体" w:hAnsi="宋体" w:eastAsia="宋体"/>
                <w:szCs w:val="21"/>
              </w:rPr>
              <w:t>4、支持日志外发功能，支持syslog 协议自动外发。</w:t>
            </w:r>
            <w:r>
              <w:rPr>
                <w:rFonts w:hint="eastAsia" w:ascii="宋体" w:hAnsi="宋体" w:eastAsia="宋体"/>
                <w:szCs w:val="21"/>
              </w:rPr>
              <w:br w:type="textWrapping"/>
            </w:r>
            <w:r>
              <w:rPr>
                <w:rFonts w:hint="eastAsia" w:ascii="宋体" w:hAnsi="宋体" w:eastAsia="宋体"/>
                <w:szCs w:val="21"/>
              </w:rPr>
              <w:t>5、支持第三方平台策略下发管控。</w:t>
            </w:r>
          </w:p>
          <w:p w14:paraId="13220A99">
            <w:pPr>
              <w:widowControl w:val="0"/>
              <w:spacing w:line="276" w:lineRule="auto"/>
              <w:jc w:val="both"/>
              <w:rPr>
                <w:rFonts w:hint="eastAsia" w:ascii="宋体" w:hAnsi="宋体" w:eastAsia="宋体"/>
                <w:color w:val="auto"/>
                <w:szCs w:val="21"/>
              </w:rPr>
            </w:pPr>
            <w:r>
              <w:rPr>
                <w:rFonts w:hint="eastAsia" w:ascii="宋体" w:hAnsi="宋体" w:eastAsia="宋体"/>
                <w:color w:val="auto"/>
                <w:szCs w:val="21"/>
              </w:rPr>
              <w:t>6、为保障数据传输安全，投标人需提供所投下一代防火墙</w:t>
            </w:r>
            <w:r>
              <w:rPr>
                <w:rFonts w:ascii="宋体" w:hAnsi="宋体" w:eastAsia="宋体"/>
                <w:color w:val="auto"/>
                <w:szCs w:val="21"/>
              </w:rPr>
              <w:t>(含IPS/AV功能)产品能与省中心现有防火墙VPN通道搭建无缝对接的承诺</w:t>
            </w:r>
            <w:r>
              <w:rPr>
                <w:rFonts w:hint="eastAsia" w:ascii="宋体" w:hAnsi="宋体" w:eastAsia="宋体"/>
                <w:color w:val="auto"/>
                <w:szCs w:val="21"/>
              </w:rPr>
              <w:t>。</w:t>
            </w:r>
          </w:p>
          <w:p w14:paraId="4DB24855">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7B64B7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2262182">
            <w:pPr>
              <w:widowControl w:val="0"/>
              <w:spacing w:line="276" w:lineRule="auto"/>
              <w:jc w:val="center"/>
              <w:rPr>
                <w:rFonts w:ascii="宋体" w:hAnsi="宋体" w:eastAsia="宋体"/>
                <w:szCs w:val="21"/>
              </w:rPr>
            </w:pPr>
            <w:r>
              <w:rPr>
                <w:rFonts w:hint="eastAsia" w:ascii="宋体" w:hAnsi="宋体" w:eastAsia="宋体"/>
                <w:szCs w:val="21"/>
              </w:rPr>
              <w:t>套</w:t>
            </w:r>
          </w:p>
        </w:tc>
      </w:tr>
      <w:tr w14:paraId="71C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F85AF49">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2</w:t>
            </w:r>
          </w:p>
        </w:tc>
        <w:tc>
          <w:tcPr>
            <w:tcW w:w="2001" w:type="dxa"/>
            <w:vAlign w:val="center"/>
          </w:tcPr>
          <w:p w14:paraId="13A6BC91">
            <w:pPr>
              <w:widowControl w:val="0"/>
              <w:spacing w:line="276" w:lineRule="auto"/>
              <w:jc w:val="center"/>
              <w:rPr>
                <w:rFonts w:ascii="宋体" w:hAnsi="宋体" w:eastAsia="宋体"/>
                <w:szCs w:val="21"/>
              </w:rPr>
            </w:pPr>
            <w:r>
              <w:rPr>
                <w:rFonts w:hint="eastAsia" w:ascii="宋体" w:hAnsi="宋体" w:eastAsia="宋体"/>
                <w:szCs w:val="21"/>
              </w:rPr>
              <w:t>数据对接网关</w:t>
            </w:r>
          </w:p>
        </w:tc>
        <w:tc>
          <w:tcPr>
            <w:tcW w:w="4576" w:type="dxa"/>
            <w:vAlign w:val="center"/>
          </w:tcPr>
          <w:p w14:paraId="643E1F02">
            <w:pPr>
              <w:widowControl w:val="0"/>
              <w:spacing w:line="276" w:lineRule="auto"/>
              <w:jc w:val="both"/>
              <w:rPr>
                <w:rFonts w:ascii="宋体" w:hAnsi="宋体" w:eastAsia="宋体"/>
                <w:szCs w:val="21"/>
              </w:rPr>
            </w:pPr>
            <w:r>
              <w:rPr>
                <w:rFonts w:hint="eastAsia" w:ascii="宋体" w:hAnsi="宋体" w:eastAsia="宋体"/>
                <w:szCs w:val="21"/>
              </w:rPr>
              <w:t>协议转换网关能够进行数据的处理和转换，将视频、情报板、广播、雷视一体机、车牌抓拍单元、桥梁检测传感器、边坡检测传感器等设备的原始的数据格式转化为适合其他设备接入的格式，实现外场数据接入省中心。</w:t>
            </w:r>
          </w:p>
        </w:tc>
        <w:tc>
          <w:tcPr>
            <w:tcW w:w="960" w:type="dxa"/>
            <w:vAlign w:val="center"/>
          </w:tcPr>
          <w:p w14:paraId="5A4CB63B">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925B5BB">
            <w:pPr>
              <w:widowControl w:val="0"/>
              <w:spacing w:line="276" w:lineRule="auto"/>
              <w:jc w:val="center"/>
              <w:rPr>
                <w:rFonts w:ascii="宋体" w:hAnsi="宋体" w:eastAsia="宋体"/>
                <w:szCs w:val="21"/>
              </w:rPr>
            </w:pPr>
            <w:r>
              <w:rPr>
                <w:rFonts w:hint="eastAsia" w:ascii="宋体" w:hAnsi="宋体" w:eastAsia="宋体"/>
                <w:szCs w:val="21"/>
              </w:rPr>
              <w:t>套</w:t>
            </w:r>
          </w:p>
        </w:tc>
      </w:tr>
      <w:tr w14:paraId="5F87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7CCF10D">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2001" w:type="dxa"/>
            <w:vAlign w:val="center"/>
          </w:tcPr>
          <w:p w14:paraId="291627D1">
            <w:pPr>
              <w:widowControl w:val="0"/>
              <w:spacing w:line="276" w:lineRule="auto"/>
              <w:jc w:val="center"/>
              <w:rPr>
                <w:rFonts w:ascii="宋体" w:hAnsi="宋体" w:eastAsia="宋体"/>
                <w:szCs w:val="21"/>
              </w:rPr>
            </w:pPr>
            <w:r>
              <w:rPr>
                <w:rFonts w:hint="eastAsia" w:ascii="宋体" w:hAnsi="宋体" w:eastAsia="宋体"/>
                <w:szCs w:val="21"/>
              </w:rPr>
              <w:t>数据库防火墙（含数据库审计功能）</w:t>
            </w:r>
          </w:p>
        </w:tc>
        <w:tc>
          <w:tcPr>
            <w:tcW w:w="4576" w:type="dxa"/>
            <w:vAlign w:val="center"/>
          </w:tcPr>
          <w:p w14:paraId="6D4905EA">
            <w:pPr>
              <w:widowControl w:val="0"/>
              <w:numPr>
                <w:ilvl w:val="0"/>
                <w:numId w:val="3"/>
              </w:numPr>
              <w:spacing w:line="276" w:lineRule="auto"/>
              <w:jc w:val="both"/>
              <w:rPr>
                <w:rFonts w:hint="eastAsia" w:ascii="宋体" w:hAnsi="宋体" w:eastAsia="宋体"/>
                <w:szCs w:val="21"/>
              </w:rPr>
            </w:pPr>
            <w:r>
              <w:rPr>
                <w:rFonts w:hint="eastAsia" w:ascii="宋体" w:hAnsi="宋体" w:eastAsia="宋体"/>
                <w:szCs w:val="21"/>
              </w:rPr>
              <w:t>硬件参数：国产化CPU和国产化操作系统；内存≥16GB；硬盘≥4TB；内置双电源；≥6 个</w:t>
            </w:r>
            <w:r>
              <w:rPr>
                <w:rFonts w:hint="eastAsia" w:ascii="宋体" w:hAnsi="宋体" w:eastAsia="宋体"/>
                <w:szCs w:val="21"/>
              </w:rPr>
              <w:br w:type="textWrapping"/>
            </w:r>
            <w:r>
              <w:rPr>
                <w:rFonts w:hint="eastAsia" w:ascii="宋体" w:hAnsi="宋体" w:eastAsia="宋体"/>
                <w:szCs w:val="21"/>
              </w:rPr>
              <w:t>千兆电口，≥4个千兆光口，2个接口扩展槽位；SQL处理能力（速率）≥20000SQL/S,并发会话数≥5000，数据库实例10 个，三年质保和升级服务。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1、支持关系型数据库，如:SQL Server、MySQL、Oracle、Sybase、DB2、Informix、</w:t>
            </w:r>
            <w:r>
              <w:rPr>
                <w:rFonts w:hint="eastAsia" w:ascii="宋体" w:hAnsi="宋体" w:eastAsia="宋体"/>
                <w:szCs w:val="21"/>
              </w:rPr>
              <w:br w:type="textWrapping"/>
            </w:r>
            <w:r>
              <w:rPr>
                <w:rFonts w:hint="eastAsia" w:ascii="宋体" w:hAnsi="宋体" w:eastAsia="宋体"/>
                <w:szCs w:val="21"/>
              </w:rPr>
              <w:t>PostgreSQL、MariaDB、Caché、DM（达梦）、GaussDB、GBase的安全防护；</w:t>
            </w:r>
            <w:r>
              <w:rPr>
                <w:rFonts w:hint="eastAsia" w:ascii="宋体" w:hAnsi="宋体" w:eastAsia="宋体"/>
                <w:szCs w:val="21"/>
              </w:rPr>
              <w:br w:type="textWrapping"/>
            </w:r>
            <w:r>
              <w:rPr>
                <w:rFonts w:hint="eastAsia" w:ascii="宋体" w:hAnsi="宋体" w:eastAsia="宋体"/>
                <w:szCs w:val="21"/>
              </w:rPr>
              <w:t>2、支持对操作时间、SQL语句、执行结果、执行时长、数据库用户名、实例名、源/目的IP、目的端口、源MAC 等条件进行审计防护；</w:t>
            </w:r>
            <w:r>
              <w:rPr>
                <w:rFonts w:hint="eastAsia" w:ascii="宋体" w:hAnsi="宋体" w:eastAsia="宋体"/>
                <w:szCs w:val="21"/>
              </w:rPr>
              <w:br w:type="textWrapping"/>
            </w:r>
            <w:r>
              <w:rPr>
                <w:rFonts w:hint="eastAsia" w:ascii="宋体" w:hAnsi="宋体" w:eastAsia="宋体"/>
                <w:szCs w:val="21"/>
              </w:rPr>
              <w:t>3、支持基于SQL 语法解析实现SQL 操作的风险识别能力，支持拦截指定数据库对象的高危操作行为；</w:t>
            </w:r>
            <w:r>
              <w:rPr>
                <w:rFonts w:hint="eastAsia" w:ascii="宋体" w:hAnsi="宋体" w:eastAsia="宋体"/>
                <w:szCs w:val="21"/>
              </w:rPr>
              <w:br w:type="textWrapping"/>
            </w:r>
            <w:r>
              <w:rPr>
                <w:rFonts w:hint="eastAsia" w:ascii="宋体" w:hAnsi="宋体" w:eastAsia="宋体"/>
                <w:szCs w:val="21"/>
              </w:rPr>
              <w:t>4、支持自定义安全防护策略，防护策略的条件包括不限于操作类型、关键字、访问工具、客户端IP、客户端MAC、数据库账号、数据库名、表名、字段名、语句长度、语句执行回应、语句执行时间、返回行数、返回内容、正则表达式、规则生效时间；</w:t>
            </w:r>
            <w:r>
              <w:rPr>
                <w:rFonts w:hint="eastAsia" w:ascii="宋体" w:hAnsi="宋体" w:eastAsia="宋体"/>
                <w:szCs w:val="21"/>
              </w:rPr>
              <w:br w:type="textWrapping"/>
            </w:r>
            <w:r>
              <w:rPr>
                <w:rFonts w:hint="eastAsia" w:ascii="宋体" w:hAnsi="宋体" w:eastAsia="宋体"/>
                <w:szCs w:val="21"/>
              </w:rPr>
              <w:t>5、系统内置敏感数据类型，支持敏感数据自定义；</w:t>
            </w:r>
            <w:r>
              <w:rPr>
                <w:rFonts w:hint="eastAsia" w:ascii="宋体" w:hAnsi="宋体" w:eastAsia="宋体"/>
                <w:szCs w:val="21"/>
              </w:rPr>
              <w:br w:type="textWrapping"/>
            </w:r>
            <w:r>
              <w:rPr>
                <w:rFonts w:hint="eastAsia" w:ascii="宋体" w:hAnsi="宋体" w:eastAsia="宋体"/>
                <w:szCs w:val="21"/>
              </w:rPr>
              <w:t>6、内置安全特征库和审计规则库，无需单独配置，直接调用。如SQL注入攻击等。</w:t>
            </w:r>
          </w:p>
          <w:p w14:paraId="5E62800D">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A9F9D0E">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4F6AC1F">
            <w:pPr>
              <w:widowControl w:val="0"/>
              <w:spacing w:line="276" w:lineRule="auto"/>
              <w:jc w:val="center"/>
              <w:rPr>
                <w:rFonts w:ascii="宋体" w:hAnsi="宋体" w:eastAsia="宋体"/>
                <w:szCs w:val="21"/>
              </w:rPr>
            </w:pPr>
            <w:r>
              <w:rPr>
                <w:rFonts w:hint="eastAsia" w:ascii="宋体" w:hAnsi="宋体" w:eastAsia="宋体"/>
                <w:szCs w:val="21"/>
              </w:rPr>
              <w:t>套</w:t>
            </w:r>
          </w:p>
        </w:tc>
      </w:tr>
      <w:tr w14:paraId="4D23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E0E998F">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4</w:t>
            </w:r>
          </w:p>
        </w:tc>
        <w:tc>
          <w:tcPr>
            <w:tcW w:w="2001" w:type="dxa"/>
            <w:vAlign w:val="center"/>
          </w:tcPr>
          <w:p w14:paraId="69E3D66D">
            <w:pPr>
              <w:widowControl w:val="0"/>
              <w:spacing w:line="276" w:lineRule="auto"/>
              <w:jc w:val="center"/>
              <w:rPr>
                <w:rFonts w:ascii="宋体" w:hAnsi="宋体" w:eastAsia="宋体"/>
                <w:szCs w:val="21"/>
              </w:rPr>
            </w:pPr>
            <w:r>
              <w:rPr>
                <w:rFonts w:hint="eastAsia" w:ascii="宋体" w:hAnsi="宋体" w:eastAsia="宋体"/>
                <w:szCs w:val="21"/>
              </w:rPr>
              <w:t>日志审计系统</w:t>
            </w:r>
          </w:p>
        </w:tc>
        <w:tc>
          <w:tcPr>
            <w:tcW w:w="4576" w:type="dxa"/>
            <w:vAlign w:val="center"/>
          </w:tcPr>
          <w:p w14:paraId="5EB3F08E">
            <w:pPr>
              <w:widowControl w:val="0"/>
              <w:numPr>
                <w:ilvl w:val="0"/>
                <w:numId w:val="4"/>
              </w:numPr>
              <w:spacing w:line="276" w:lineRule="auto"/>
              <w:jc w:val="both"/>
              <w:rPr>
                <w:rFonts w:hint="eastAsia" w:ascii="宋体" w:hAnsi="宋体" w:eastAsia="宋体"/>
                <w:szCs w:val="21"/>
              </w:rPr>
            </w:pPr>
            <w:r>
              <w:rPr>
                <w:rFonts w:hint="eastAsia" w:ascii="宋体" w:hAnsi="宋体" w:eastAsia="宋体"/>
                <w:szCs w:val="21"/>
              </w:rPr>
              <w:t>硬件参数：国产化CPU和国产化操作系统；硬盘≥4TB；内置双电源；≥4 个千兆电口，≥4个千兆光口;全流量采集分析≥1Gbps，三年质保和特征库升级服务。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、支持常见协议识别,支持：tcp、udp、icmp、http、dns、dhcp、smtp、pop3、imap；</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、支持常见攻击行为检测，支持流量动态检测，检出类型包括：SQL 注入，命令执行，代码执行，跨站脚本攻击，权限绕过，暴力破解，扫描工具，数据库攻击，敏感信息泄露，挖矿检测，蠕虫传播等；</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、支持隐秘信道检测，检测类型包括：ICMP、DNS 协议等攻击检测，恶意软件通信的检测，web 应用的流量检测，非法应用通信的检测，漏洞与攻击的检测，攻击行为检测。</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、支持XSS 攻击检测，命令注入检测，WEBshell 上传，PHP 检测，TLS 加密流量</w:t>
            </w:r>
            <w:r>
              <w:rPr>
                <w:rFonts w:hint="eastAsia" w:ascii="宋体" w:hAnsi="宋体" w:eastAsia="宋体"/>
                <w:szCs w:val="21"/>
              </w:rPr>
              <w:br w:type="textWrapping"/>
            </w:r>
            <w:r>
              <w:rPr>
                <w:rFonts w:hint="eastAsia" w:ascii="宋体" w:hAnsi="宋体" w:eastAsia="宋体"/>
                <w:szCs w:val="21"/>
              </w:rPr>
              <w:t>检测；</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、支持设备状态监控，包括CPU使用率，内存使用率，硬盘使用率。</w:t>
            </w:r>
          </w:p>
          <w:p w14:paraId="02ACF92A">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D7A4DB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5D907A9">
            <w:pPr>
              <w:widowControl w:val="0"/>
              <w:spacing w:line="276" w:lineRule="auto"/>
              <w:jc w:val="center"/>
              <w:rPr>
                <w:rFonts w:ascii="宋体" w:hAnsi="宋体" w:eastAsia="宋体"/>
                <w:szCs w:val="21"/>
              </w:rPr>
            </w:pPr>
            <w:r>
              <w:rPr>
                <w:rFonts w:hint="eastAsia" w:ascii="宋体" w:hAnsi="宋体" w:eastAsia="宋体"/>
                <w:szCs w:val="21"/>
              </w:rPr>
              <w:t>套</w:t>
            </w:r>
          </w:p>
        </w:tc>
      </w:tr>
      <w:tr w14:paraId="3451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C24633B">
            <w:pPr>
              <w:widowControl w:val="0"/>
              <w:spacing w:line="276" w:lineRule="auto"/>
              <w:jc w:val="center"/>
              <w:rPr>
                <w:rFonts w:ascii="宋体" w:hAnsi="宋体" w:eastAsia="宋体"/>
                <w:szCs w:val="21"/>
              </w:rPr>
            </w:pPr>
            <w:r>
              <w:rPr>
                <w:rFonts w:ascii="宋体" w:hAnsi="宋体" w:eastAsia="宋体"/>
                <w:szCs w:val="21"/>
              </w:rPr>
              <w:t>25</w:t>
            </w:r>
          </w:p>
        </w:tc>
        <w:tc>
          <w:tcPr>
            <w:tcW w:w="2001" w:type="dxa"/>
            <w:vAlign w:val="center"/>
          </w:tcPr>
          <w:p w14:paraId="4B8A43BD">
            <w:pPr>
              <w:widowControl w:val="0"/>
              <w:spacing w:line="276" w:lineRule="auto"/>
              <w:jc w:val="center"/>
              <w:rPr>
                <w:rFonts w:ascii="宋体" w:hAnsi="宋体" w:eastAsia="宋体"/>
                <w:szCs w:val="21"/>
              </w:rPr>
            </w:pPr>
            <w:r>
              <w:rPr>
                <w:rFonts w:hint="eastAsia" w:ascii="宋体" w:hAnsi="宋体" w:eastAsia="宋体"/>
                <w:szCs w:val="21"/>
              </w:rPr>
              <w:t>杀毒软件（主机安全及防病毒系统）</w:t>
            </w:r>
          </w:p>
        </w:tc>
        <w:tc>
          <w:tcPr>
            <w:tcW w:w="4576" w:type="dxa"/>
            <w:vAlign w:val="center"/>
          </w:tcPr>
          <w:p w14:paraId="436DA814">
            <w:pPr>
              <w:widowControl w:val="0"/>
              <w:spacing w:line="276" w:lineRule="auto"/>
              <w:jc w:val="both"/>
              <w:rPr>
                <w:rFonts w:ascii="宋体" w:hAnsi="宋体" w:eastAsia="宋体"/>
                <w:szCs w:val="21"/>
              </w:rPr>
            </w:pPr>
            <w:r>
              <w:rPr>
                <w:rFonts w:hint="eastAsia" w:ascii="宋体" w:hAnsi="宋体" w:eastAsia="宋体"/>
                <w:szCs w:val="21"/>
              </w:rPr>
              <w:t>（1）硬件参数：适配国产化CPU和国产化操作系统；授权要求：≥30 个PC 客户端，≥20 个服务</w:t>
            </w:r>
            <w:r>
              <w:rPr>
                <w:rFonts w:hint="eastAsia" w:ascii="宋体" w:hAnsi="宋体" w:eastAsia="宋体"/>
                <w:szCs w:val="21"/>
              </w:rPr>
              <w:br w:type="page"/>
            </w:r>
            <w:r>
              <w:rPr>
                <w:rFonts w:hint="eastAsia" w:ascii="宋体" w:hAnsi="宋体" w:eastAsia="宋体"/>
                <w:szCs w:val="21"/>
              </w:rPr>
              <w:t>器的防护授权；三年质保和升级服务。</w:t>
            </w:r>
            <w:r>
              <w:rPr>
                <w:rFonts w:hint="eastAsia" w:ascii="宋体" w:hAnsi="宋体" w:eastAsia="宋体"/>
                <w:szCs w:val="21"/>
              </w:rPr>
              <w:br w:type="page"/>
            </w:r>
            <w:r>
              <w:rPr>
                <w:rFonts w:hint="eastAsia" w:ascii="宋体" w:hAnsi="宋体" w:eastAsia="宋体"/>
                <w:szCs w:val="21"/>
              </w:rPr>
              <w:t>（2）功能指标：</w:t>
            </w:r>
            <w:r>
              <w:rPr>
                <w:rFonts w:hint="eastAsia" w:ascii="宋体" w:hAnsi="宋体" w:eastAsia="宋体"/>
                <w:szCs w:val="21"/>
              </w:rPr>
              <w:br w:type="page"/>
            </w:r>
            <w:r>
              <w:rPr>
                <w:rFonts w:hint="eastAsia" w:ascii="宋体" w:hAnsi="宋体" w:eastAsia="宋体"/>
                <w:szCs w:val="21"/>
              </w:rPr>
              <w:t>1、支持显示终端在线数、离线数、终端类型、终端名称、授权状态、IP 地址等信息。</w:t>
            </w:r>
            <w:r>
              <w:rPr>
                <w:rFonts w:hint="eastAsia" w:ascii="宋体" w:hAnsi="宋体" w:eastAsia="宋体"/>
                <w:szCs w:val="21"/>
              </w:rPr>
              <w:br w:type="page"/>
            </w:r>
            <w:r>
              <w:rPr>
                <w:rFonts w:hint="eastAsia" w:ascii="宋体" w:hAnsi="宋体" w:eastAsia="宋体"/>
                <w:szCs w:val="21"/>
              </w:rPr>
              <w:t>2、产品包含管理中心服务器及客户端软件，管理方式采用B/S 架构。包含防病毒、</w:t>
            </w:r>
            <w:r>
              <w:rPr>
                <w:rFonts w:hint="eastAsia" w:ascii="宋体" w:hAnsi="宋体" w:eastAsia="宋体"/>
                <w:szCs w:val="21"/>
              </w:rPr>
              <w:br w:type="page"/>
            </w:r>
            <w:r>
              <w:rPr>
                <w:rFonts w:hint="eastAsia" w:ascii="宋体" w:hAnsi="宋体" w:eastAsia="宋体"/>
                <w:szCs w:val="21"/>
              </w:rPr>
              <w:t>补丁管理、终端管控、主机防护、资产管理、响应处置、漏洞扫描、软件下发、</w:t>
            </w:r>
            <w:r>
              <w:rPr>
                <w:rFonts w:hint="eastAsia" w:ascii="宋体" w:hAnsi="宋体" w:eastAsia="宋体"/>
                <w:szCs w:val="21"/>
              </w:rPr>
              <w:br w:type="page"/>
            </w:r>
            <w:r>
              <w:rPr>
                <w:rFonts w:hint="eastAsia" w:ascii="宋体" w:hAnsi="宋体" w:eastAsia="宋体"/>
                <w:szCs w:val="21"/>
              </w:rPr>
              <w:t>非法外联能力，提供系统加固等立体防御体系。支持按照IP 五元组配置访问控</w:t>
            </w:r>
            <w:r>
              <w:rPr>
                <w:rFonts w:hint="eastAsia" w:ascii="宋体" w:hAnsi="宋体" w:eastAsia="宋体"/>
                <w:szCs w:val="21"/>
              </w:rPr>
              <w:br w:type="page"/>
            </w:r>
            <w:r>
              <w:rPr>
                <w:rFonts w:hint="eastAsia" w:ascii="宋体" w:hAnsi="宋体" w:eastAsia="宋体"/>
                <w:szCs w:val="21"/>
              </w:rPr>
              <w:t>制规则，包括IP、端口、协议、入站、出站等细粒度权限控制。支持TCP、UDP、</w:t>
            </w:r>
            <w:r>
              <w:rPr>
                <w:rFonts w:hint="eastAsia" w:ascii="宋体" w:hAnsi="宋体" w:eastAsia="宋体"/>
                <w:szCs w:val="21"/>
              </w:rPr>
              <w:br w:type="page"/>
            </w:r>
            <w:r>
              <w:rPr>
                <w:rFonts w:hint="eastAsia" w:ascii="宋体" w:hAnsi="宋体" w:eastAsia="宋体"/>
                <w:szCs w:val="21"/>
              </w:rPr>
              <w:t>ICMP 协议。</w:t>
            </w:r>
            <w:r>
              <w:rPr>
                <w:rFonts w:hint="eastAsia" w:ascii="宋体" w:hAnsi="宋体" w:eastAsia="宋体"/>
                <w:szCs w:val="21"/>
              </w:rPr>
              <w:br w:type="page"/>
            </w:r>
            <w:r>
              <w:rPr>
                <w:rFonts w:hint="eastAsia" w:ascii="宋体" w:hAnsi="宋体" w:eastAsia="宋体"/>
                <w:szCs w:val="21"/>
              </w:rPr>
              <w:t>3、支持对进程防护、U盘安全防护、文件防护。</w:t>
            </w:r>
            <w:r>
              <w:rPr>
                <w:rFonts w:hint="eastAsia" w:ascii="宋体" w:hAnsi="宋体" w:eastAsia="宋体"/>
                <w:szCs w:val="21"/>
              </w:rPr>
              <w:br w:type="page"/>
            </w:r>
            <w:r>
              <w:rPr>
                <w:rFonts w:hint="eastAsia" w:ascii="宋体" w:hAnsi="宋体" w:eastAsia="宋体"/>
                <w:szCs w:val="21"/>
              </w:rPr>
              <w:t>4、支持终端进程黑名单、白名单功能，可保护核心进程不被结束；支持对违规外联</w:t>
            </w:r>
            <w:r>
              <w:rPr>
                <w:rFonts w:hint="eastAsia" w:ascii="宋体" w:hAnsi="宋体" w:eastAsia="宋体"/>
                <w:szCs w:val="21"/>
              </w:rPr>
              <w:br w:type="page"/>
            </w:r>
            <w:r>
              <w:rPr>
                <w:rFonts w:hint="eastAsia" w:ascii="宋体" w:hAnsi="宋体" w:eastAsia="宋体"/>
                <w:szCs w:val="21"/>
              </w:rPr>
              <w:t>发现、审计或者断开网络处理。</w:t>
            </w:r>
            <w:r>
              <w:rPr>
                <w:rFonts w:hint="eastAsia" w:ascii="宋体" w:hAnsi="宋体" w:eastAsia="宋体"/>
                <w:szCs w:val="21"/>
              </w:rPr>
              <w:br w:type="page"/>
            </w:r>
            <w:r>
              <w:rPr>
                <w:rFonts w:hint="eastAsia" w:ascii="宋体" w:hAnsi="宋体" w:eastAsia="宋体"/>
                <w:szCs w:val="21"/>
              </w:rPr>
              <w:t>5、具有高级威胁防护功能，支持勒索病毒防护，预防勒索病毒变种。支持僵尸网络</w:t>
            </w:r>
            <w:r>
              <w:rPr>
                <w:rFonts w:hint="eastAsia" w:ascii="宋体" w:hAnsi="宋体" w:eastAsia="宋体"/>
                <w:szCs w:val="21"/>
              </w:rPr>
              <w:br w:type="page"/>
            </w:r>
            <w:r>
              <w:rPr>
                <w:rFonts w:hint="eastAsia" w:ascii="宋体" w:hAnsi="宋体" w:eastAsia="宋体"/>
                <w:szCs w:val="21"/>
              </w:rPr>
              <w:t>攻击和网络入侵拦截对流入本机的网络包数据和行为进行检测，在网络层拦截漏</w:t>
            </w:r>
            <w:r>
              <w:rPr>
                <w:rFonts w:hint="eastAsia" w:ascii="宋体" w:hAnsi="宋体" w:eastAsia="宋体"/>
                <w:szCs w:val="21"/>
              </w:rPr>
              <w:br w:type="page"/>
            </w:r>
            <w:r>
              <w:rPr>
                <w:rFonts w:hint="eastAsia" w:ascii="宋体" w:hAnsi="宋体" w:eastAsia="宋体"/>
                <w:szCs w:val="21"/>
              </w:rPr>
              <w:t>洞攻击、黑客入侵等威胁。</w:t>
            </w:r>
            <w:r>
              <w:rPr>
                <w:rFonts w:hint="eastAsia" w:ascii="宋体" w:hAnsi="宋体" w:eastAsia="宋体"/>
                <w:szCs w:val="21"/>
              </w:rPr>
              <w:br w:type="page"/>
            </w:r>
            <w:r>
              <w:rPr>
                <w:rFonts w:hint="eastAsia" w:ascii="宋体" w:hAnsi="宋体" w:eastAsia="宋体"/>
                <w:szCs w:val="21"/>
              </w:rPr>
              <w:t>需提供实现相关功能的证明材料。其他详见设计图纸及规范要求。</w:t>
            </w:r>
          </w:p>
        </w:tc>
        <w:tc>
          <w:tcPr>
            <w:tcW w:w="960" w:type="dxa"/>
            <w:vAlign w:val="center"/>
          </w:tcPr>
          <w:p w14:paraId="4EB7E50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D7B40B6">
            <w:pPr>
              <w:widowControl w:val="0"/>
              <w:spacing w:line="276" w:lineRule="auto"/>
              <w:jc w:val="center"/>
              <w:rPr>
                <w:rFonts w:ascii="宋体" w:hAnsi="宋体" w:eastAsia="宋体"/>
                <w:szCs w:val="21"/>
              </w:rPr>
            </w:pPr>
            <w:r>
              <w:rPr>
                <w:rFonts w:hint="eastAsia" w:ascii="宋体" w:hAnsi="宋体" w:eastAsia="宋体"/>
                <w:szCs w:val="21"/>
              </w:rPr>
              <w:t>套</w:t>
            </w:r>
          </w:p>
        </w:tc>
      </w:tr>
      <w:tr w14:paraId="7B35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4CCA590">
            <w:pPr>
              <w:widowControl w:val="0"/>
              <w:spacing w:line="276" w:lineRule="auto"/>
              <w:jc w:val="center"/>
              <w:rPr>
                <w:rFonts w:ascii="宋体" w:hAnsi="宋体" w:eastAsia="宋体"/>
                <w:szCs w:val="21"/>
              </w:rPr>
            </w:pPr>
            <w:r>
              <w:rPr>
                <w:rFonts w:ascii="宋体" w:hAnsi="宋体" w:eastAsia="宋体"/>
                <w:szCs w:val="21"/>
              </w:rPr>
              <w:t>26</w:t>
            </w:r>
          </w:p>
        </w:tc>
        <w:tc>
          <w:tcPr>
            <w:tcW w:w="2001" w:type="dxa"/>
            <w:vAlign w:val="center"/>
          </w:tcPr>
          <w:p w14:paraId="19728BC0">
            <w:pPr>
              <w:widowControl w:val="0"/>
              <w:spacing w:line="276" w:lineRule="auto"/>
              <w:jc w:val="center"/>
              <w:rPr>
                <w:rFonts w:ascii="宋体" w:hAnsi="宋体" w:eastAsia="宋体"/>
                <w:szCs w:val="21"/>
              </w:rPr>
            </w:pPr>
            <w:r>
              <w:rPr>
                <w:rFonts w:hint="eastAsia" w:ascii="宋体" w:hAnsi="宋体" w:eastAsia="宋体"/>
                <w:szCs w:val="21"/>
              </w:rPr>
              <w:t>全流量探针</w:t>
            </w:r>
          </w:p>
        </w:tc>
        <w:tc>
          <w:tcPr>
            <w:tcW w:w="4576" w:type="dxa"/>
            <w:vAlign w:val="center"/>
          </w:tcPr>
          <w:p w14:paraId="1B793832">
            <w:pPr>
              <w:widowControl w:val="0"/>
              <w:spacing w:line="276" w:lineRule="auto"/>
              <w:jc w:val="both"/>
              <w:rPr>
                <w:rFonts w:ascii="宋体" w:hAnsi="宋体" w:eastAsia="宋体"/>
                <w:szCs w:val="21"/>
              </w:rPr>
            </w:pPr>
            <w:r>
              <w:rPr>
                <w:rFonts w:hint="eastAsia" w:ascii="宋体" w:hAnsi="宋体" w:eastAsia="宋体"/>
                <w:szCs w:val="21"/>
              </w:rPr>
              <w:t>（1）硬件参数：国产化CPU和国产化操作系统；硬盘≥4TB；内置双电源；≥4个千兆电口，≥4个千兆光口;全流量采集分析≥1Gbps，三年质保和特征库升级服务。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1、支持常见协议识别,支持：tcp、udp、icmp、http、dns、dhcp、smtp、pop3、imap；</w:t>
            </w:r>
            <w:r>
              <w:rPr>
                <w:rFonts w:hint="eastAsia" w:ascii="宋体" w:hAnsi="宋体" w:eastAsia="宋体"/>
                <w:szCs w:val="21"/>
              </w:rPr>
              <w:br w:type="textWrapping"/>
            </w:r>
            <w:r>
              <w:rPr>
                <w:rFonts w:hint="eastAsia" w:ascii="宋体" w:hAnsi="宋体" w:eastAsia="宋体"/>
                <w:szCs w:val="21"/>
              </w:rPr>
              <w:t>2、支持常见攻击行为检测，支持流量动态检测，检出类型包括：SQL 注入，命令执行，代码执行，跨站脚本攻击，权限绕过，暴力破解，扫描工具，数据库攻击，敏感信息泄露，挖矿检测，蠕虫传播等；</w:t>
            </w:r>
            <w:r>
              <w:rPr>
                <w:rFonts w:hint="eastAsia" w:ascii="宋体" w:hAnsi="宋体" w:eastAsia="宋体"/>
                <w:szCs w:val="21"/>
              </w:rPr>
              <w:br w:type="textWrapping"/>
            </w:r>
            <w:r>
              <w:rPr>
                <w:rFonts w:hint="eastAsia" w:ascii="宋体" w:hAnsi="宋体" w:eastAsia="宋体"/>
                <w:szCs w:val="21"/>
              </w:rPr>
              <w:t>3、支持隐秘信道检测，检测类型包括：ICMP、DNS 协议等攻击检测，恶意软件通信的检测，web 应用的流量检测，非法应用通信的检测，漏洞与攻击的检测，攻击行为检测；</w:t>
            </w:r>
            <w:r>
              <w:rPr>
                <w:rFonts w:hint="eastAsia" w:ascii="宋体" w:hAnsi="宋体" w:eastAsia="宋体"/>
                <w:szCs w:val="21"/>
              </w:rPr>
              <w:br w:type="textWrapping"/>
            </w:r>
            <w:r>
              <w:rPr>
                <w:rFonts w:hint="eastAsia" w:ascii="宋体" w:hAnsi="宋体" w:eastAsia="宋体"/>
                <w:szCs w:val="21"/>
              </w:rPr>
              <w:t>4、支持XSS 攻击检测，命令注入检测，WEBshell 上传，PHP 检测，TLS 加密流量检测；</w:t>
            </w:r>
            <w:r>
              <w:rPr>
                <w:rFonts w:hint="eastAsia" w:ascii="宋体" w:hAnsi="宋体" w:eastAsia="宋体"/>
                <w:szCs w:val="21"/>
              </w:rPr>
              <w:br w:type="textWrapping"/>
            </w:r>
            <w:r>
              <w:rPr>
                <w:rFonts w:hint="eastAsia" w:ascii="宋体" w:hAnsi="宋体" w:eastAsia="宋体"/>
                <w:szCs w:val="21"/>
              </w:rPr>
              <w:t>5、支持设备状态监控，包括CPU使用率，内存使用率，硬盘使用率；果更加直观地展示。</w:t>
            </w:r>
          </w:p>
          <w:p w14:paraId="74E2C0CE">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6A0A0A9">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C3F2D78">
            <w:pPr>
              <w:widowControl w:val="0"/>
              <w:spacing w:line="276" w:lineRule="auto"/>
              <w:jc w:val="center"/>
              <w:rPr>
                <w:rFonts w:ascii="宋体" w:hAnsi="宋体" w:eastAsia="宋体"/>
                <w:szCs w:val="21"/>
              </w:rPr>
            </w:pPr>
            <w:r>
              <w:rPr>
                <w:rFonts w:hint="eastAsia" w:ascii="宋体" w:hAnsi="宋体" w:eastAsia="宋体"/>
                <w:szCs w:val="21"/>
              </w:rPr>
              <w:t>套</w:t>
            </w:r>
          </w:p>
        </w:tc>
      </w:tr>
      <w:tr w14:paraId="7356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FF2594E">
            <w:pPr>
              <w:widowControl w:val="0"/>
              <w:spacing w:line="276" w:lineRule="auto"/>
              <w:jc w:val="center"/>
              <w:rPr>
                <w:rFonts w:ascii="宋体" w:hAnsi="宋体" w:eastAsia="宋体"/>
                <w:szCs w:val="21"/>
              </w:rPr>
            </w:pPr>
            <w:r>
              <w:rPr>
                <w:rFonts w:ascii="宋体" w:hAnsi="宋体" w:eastAsia="宋体"/>
                <w:szCs w:val="21"/>
              </w:rPr>
              <w:t>27</w:t>
            </w:r>
          </w:p>
        </w:tc>
        <w:tc>
          <w:tcPr>
            <w:tcW w:w="2001" w:type="dxa"/>
            <w:vAlign w:val="center"/>
          </w:tcPr>
          <w:p w14:paraId="69B7B6ED">
            <w:pPr>
              <w:widowControl w:val="0"/>
              <w:spacing w:line="276" w:lineRule="auto"/>
              <w:jc w:val="center"/>
              <w:rPr>
                <w:rFonts w:ascii="宋体" w:hAnsi="宋体" w:eastAsia="宋体"/>
                <w:szCs w:val="21"/>
              </w:rPr>
            </w:pPr>
            <w:r>
              <w:rPr>
                <w:rFonts w:hint="eastAsia" w:ascii="宋体" w:hAnsi="宋体" w:eastAsia="宋体"/>
                <w:szCs w:val="21"/>
              </w:rPr>
              <w:t>设备安全接入网关（含软件）</w:t>
            </w:r>
          </w:p>
        </w:tc>
        <w:tc>
          <w:tcPr>
            <w:tcW w:w="4576" w:type="dxa"/>
            <w:vAlign w:val="center"/>
          </w:tcPr>
          <w:p w14:paraId="1863C36B">
            <w:pPr>
              <w:widowControl w:val="0"/>
              <w:spacing w:line="276" w:lineRule="auto"/>
              <w:jc w:val="both"/>
              <w:rPr>
                <w:rFonts w:ascii="宋体" w:hAnsi="宋体" w:eastAsia="宋体"/>
                <w:szCs w:val="21"/>
              </w:rPr>
            </w:pPr>
            <w:r>
              <w:rPr>
                <w:rFonts w:hint="eastAsia" w:ascii="宋体" w:hAnsi="宋体" w:eastAsia="宋体"/>
                <w:szCs w:val="21"/>
              </w:rPr>
              <w:t>（1）硬件参数：</w:t>
            </w:r>
            <w:r>
              <w:rPr>
                <w:rFonts w:hint="eastAsia" w:ascii="宋体" w:hAnsi="宋体" w:eastAsia="宋体"/>
                <w:szCs w:val="21"/>
              </w:rPr>
              <w:br w:type="page"/>
            </w:r>
            <w:r>
              <w:rPr>
                <w:rFonts w:hint="eastAsia" w:ascii="宋体" w:hAnsi="宋体" w:eastAsia="宋体"/>
                <w:szCs w:val="21"/>
              </w:rPr>
              <w:t>1、国产化CPU 及操作系统，1 个RJ-45 Console 口，≥6 个10/100/1000M 自适应电</w:t>
            </w:r>
            <w:r>
              <w:rPr>
                <w:rFonts w:hint="eastAsia" w:ascii="宋体" w:hAnsi="宋体" w:eastAsia="宋体"/>
                <w:szCs w:val="21"/>
              </w:rPr>
              <w:br w:type="page"/>
            </w:r>
            <w:r>
              <w:rPr>
                <w:rFonts w:hint="eastAsia" w:ascii="宋体" w:hAnsi="宋体" w:eastAsia="宋体"/>
                <w:szCs w:val="21"/>
              </w:rPr>
              <w:t>口，≥4 个千兆SFP 光口，2 个USB口；交流冗余电源； 配置≥500个资产管理</w:t>
            </w:r>
            <w:r>
              <w:rPr>
                <w:rFonts w:hint="eastAsia" w:ascii="宋体" w:hAnsi="宋体" w:eastAsia="宋体"/>
                <w:szCs w:val="21"/>
              </w:rPr>
              <w:br w:type="page"/>
            </w:r>
            <w:r>
              <w:rPr>
                <w:rFonts w:hint="eastAsia" w:ascii="宋体" w:hAnsi="宋体" w:eastAsia="宋体"/>
                <w:szCs w:val="21"/>
              </w:rPr>
              <w:t>授权；</w:t>
            </w:r>
            <w:r>
              <w:rPr>
                <w:rFonts w:hint="eastAsia" w:ascii="宋体" w:hAnsi="宋体" w:eastAsia="宋体"/>
                <w:szCs w:val="21"/>
              </w:rPr>
              <w:br w:type="page"/>
            </w:r>
            <w:r>
              <w:rPr>
                <w:rFonts w:hint="eastAsia" w:ascii="宋体" w:hAnsi="宋体" w:eastAsia="宋体"/>
                <w:szCs w:val="21"/>
              </w:rPr>
              <w:t>2、吞吐量≥20G，最大并发≥600 万，每秒新建≥8 万；最大终端接入管控数量≥1000</w:t>
            </w:r>
            <w:r>
              <w:rPr>
                <w:rFonts w:hint="eastAsia" w:ascii="宋体" w:hAnsi="宋体" w:eastAsia="宋体"/>
                <w:szCs w:val="21"/>
              </w:rPr>
              <w:br w:type="page"/>
            </w:r>
            <w:r>
              <w:rPr>
                <w:rFonts w:hint="eastAsia" w:ascii="宋体" w:hAnsi="宋体" w:eastAsia="宋体"/>
                <w:szCs w:val="21"/>
              </w:rPr>
              <w:t>个，纯视频终端（4M）管控数量≥500 个；三年质保和升级服务。</w:t>
            </w:r>
            <w:r>
              <w:rPr>
                <w:rFonts w:hint="eastAsia" w:ascii="宋体" w:hAnsi="宋体" w:eastAsia="宋体"/>
                <w:szCs w:val="21"/>
              </w:rPr>
              <w:br w:type="page"/>
            </w:r>
            <w:r>
              <w:rPr>
                <w:rFonts w:hint="eastAsia" w:ascii="宋体" w:hAnsi="宋体" w:eastAsia="宋体"/>
                <w:szCs w:val="21"/>
              </w:rPr>
              <w:t>（2）功能指标：</w:t>
            </w:r>
            <w:r>
              <w:rPr>
                <w:rFonts w:hint="eastAsia" w:ascii="宋体" w:hAnsi="宋体" w:eastAsia="宋体"/>
                <w:szCs w:val="21"/>
              </w:rPr>
              <w:br w:type="page"/>
            </w:r>
            <w:r>
              <w:rPr>
                <w:rFonts w:hint="eastAsia" w:ascii="宋体" w:hAnsi="宋体" w:eastAsia="宋体"/>
                <w:szCs w:val="21"/>
              </w:rPr>
              <w:t>1、支持资产管理，资产识别；</w:t>
            </w:r>
            <w:r>
              <w:rPr>
                <w:rFonts w:hint="eastAsia" w:ascii="宋体" w:hAnsi="宋体" w:eastAsia="宋体"/>
                <w:szCs w:val="21"/>
              </w:rPr>
              <w:br w:type="page"/>
            </w:r>
            <w:r>
              <w:rPr>
                <w:rFonts w:hint="eastAsia" w:ascii="宋体" w:hAnsi="宋体" w:eastAsia="宋体"/>
                <w:szCs w:val="21"/>
              </w:rPr>
              <w:t>2、支持资产准入控制、支持防护弱口令、高危漏洞、高危端口；</w:t>
            </w:r>
            <w:r>
              <w:rPr>
                <w:rFonts w:hint="eastAsia" w:ascii="宋体" w:hAnsi="宋体" w:eastAsia="宋体"/>
                <w:szCs w:val="21"/>
              </w:rPr>
              <w:br w:type="page"/>
            </w:r>
            <w:r>
              <w:rPr>
                <w:rFonts w:hint="eastAsia" w:ascii="宋体" w:hAnsi="宋体" w:eastAsia="宋体"/>
                <w:szCs w:val="21"/>
              </w:rPr>
              <w:t>3、支持资产仿冒控制，非法外联功能；</w:t>
            </w:r>
            <w:r>
              <w:rPr>
                <w:rFonts w:hint="eastAsia" w:ascii="宋体" w:hAnsi="宋体" w:eastAsia="宋体"/>
                <w:szCs w:val="21"/>
              </w:rPr>
              <w:br w:type="page"/>
            </w:r>
            <w:r>
              <w:rPr>
                <w:rFonts w:hint="eastAsia" w:ascii="宋体" w:hAnsi="宋体" w:eastAsia="宋体"/>
                <w:szCs w:val="21"/>
              </w:rPr>
              <w:t>4、支持信息统计，对网络流量的异常特征检测结果的图表展示，告警统计等。</w:t>
            </w:r>
            <w:r>
              <w:rPr>
                <w:rFonts w:hint="eastAsia" w:ascii="宋体" w:hAnsi="宋体" w:eastAsia="宋体"/>
                <w:szCs w:val="21"/>
              </w:rPr>
              <w:br w:type="page"/>
            </w:r>
            <w:r>
              <w:rPr>
                <w:rFonts w:hint="eastAsia" w:ascii="宋体" w:hAnsi="宋体" w:eastAsia="宋体"/>
                <w:szCs w:val="21"/>
              </w:rPr>
              <w:t>5、支持物联网资产多维度统计分析展示；</w:t>
            </w:r>
            <w:r>
              <w:rPr>
                <w:rFonts w:hint="eastAsia" w:ascii="宋体" w:hAnsi="宋体" w:eastAsia="宋体"/>
                <w:szCs w:val="21"/>
              </w:rPr>
              <w:br w:type="page"/>
            </w:r>
            <w:r>
              <w:rPr>
                <w:rFonts w:hint="eastAsia" w:ascii="宋体" w:hAnsi="宋体" w:eastAsia="宋体"/>
                <w:szCs w:val="21"/>
              </w:rPr>
              <w:t>6、支持网络访问行为学习功能，支持境外访问关系识别；</w:t>
            </w:r>
            <w:r>
              <w:rPr>
                <w:rFonts w:hint="eastAsia" w:ascii="宋体" w:hAnsi="宋体" w:eastAsia="宋体"/>
                <w:szCs w:val="21"/>
              </w:rPr>
              <w:br w:type="page"/>
            </w:r>
            <w:r>
              <w:rPr>
                <w:rFonts w:hint="eastAsia" w:ascii="宋体" w:hAnsi="宋体" w:eastAsia="宋体"/>
                <w:szCs w:val="21"/>
              </w:rPr>
              <w:t>7、支持5元组访问控制。</w:t>
            </w:r>
          </w:p>
          <w:p w14:paraId="366161D1">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BECF9F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4444915">
            <w:pPr>
              <w:widowControl w:val="0"/>
              <w:spacing w:line="276" w:lineRule="auto"/>
              <w:jc w:val="center"/>
              <w:rPr>
                <w:rFonts w:ascii="宋体" w:hAnsi="宋体" w:eastAsia="宋体"/>
                <w:szCs w:val="21"/>
              </w:rPr>
            </w:pPr>
            <w:r>
              <w:rPr>
                <w:rFonts w:hint="eastAsia" w:ascii="宋体" w:hAnsi="宋体" w:eastAsia="宋体"/>
                <w:szCs w:val="21"/>
              </w:rPr>
              <w:t>套</w:t>
            </w:r>
          </w:p>
        </w:tc>
      </w:tr>
      <w:tr w14:paraId="097A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D116D3E">
            <w:pPr>
              <w:widowControl w:val="0"/>
              <w:spacing w:line="276" w:lineRule="auto"/>
              <w:jc w:val="center"/>
              <w:rPr>
                <w:rFonts w:ascii="宋体" w:hAnsi="宋体" w:eastAsia="宋体"/>
                <w:szCs w:val="21"/>
              </w:rPr>
            </w:pPr>
            <w:r>
              <w:rPr>
                <w:rFonts w:ascii="宋体" w:hAnsi="宋体" w:eastAsia="宋体"/>
                <w:szCs w:val="21"/>
              </w:rPr>
              <w:t>28</w:t>
            </w:r>
          </w:p>
        </w:tc>
        <w:tc>
          <w:tcPr>
            <w:tcW w:w="2001" w:type="dxa"/>
            <w:vAlign w:val="center"/>
          </w:tcPr>
          <w:p w14:paraId="2718AC3B">
            <w:pPr>
              <w:widowControl w:val="0"/>
              <w:spacing w:line="276" w:lineRule="auto"/>
              <w:jc w:val="center"/>
              <w:rPr>
                <w:rFonts w:ascii="宋体" w:hAnsi="宋体" w:eastAsia="宋体"/>
                <w:szCs w:val="21"/>
              </w:rPr>
            </w:pPr>
            <w:r>
              <w:rPr>
                <w:rFonts w:hint="eastAsia" w:ascii="宋体" w:hAnsi="宋体" w:eastAsia="宋体"/>
                <w:szCs w:val="21"/>
              </w:rPr>
              <w:t>信息安全等级保护测评（二级等保）</w:t>
            </w:r>
          </w:p>
        </w:tc>
        <w:tc>
          <w:tcPr>
            <w:tcW w:w="4576" w:type="dxa"/>
            <w:vAlign w:val="center"/>
          </w:tcPr>
          <w:p w14:paraId="4716DBD3">
            <w:pPr>
              <w:widowControl w:val="0"/>
              <w:spacing w:line="276" w:lineRule="auto"/>
              <w:jc w:val="both"/>
              <w:rPr>
                <w:rFonts w:ascii="宋体" w:hAnsi="宋体" w:eastAsia="宋体"/>
                <w:szCs w:val="21"/>
              </w:rPr>
            </w:pPr>
            <w:r>
              <w:rPr>
                <w:rFonts w:hint="eastAsia" w:ascii="宋体" w:hAnsi="宋体" w:eastAsia="宋体"/>
                <w:szCs w:val="21"/>
              </w:rPr>
              <w:t>二级等保。满足完成本项目所述信息系统的网络安全等级保护测评工作，并取得公安机关颁发的《信息系统安全等级保护备案证明》及测评机构出具的《网络安全等级保护测评报告》，且测评结果结论为“基本符合”或以上。</w:t>
            </w:r>
          </w:p>
        </w:tc>
        <w:tc>
          <w:tcPr>
            <w:tcW w:w="960" w:type="dxa"/>
            <w:vAlign w:val="center"/>
          </w:tcPr>
          <w:p w14:paraId="0F7D909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BDED13A">
            <w:pPr>
              <w:widowControl w:val="0"/>
              <w:spacing w:line="276" w:lineRule="auto"/>
              <w:jc w:val="center"/>
              <w:rPr>
                <w:rFonts w:ascii="宋体" w:hAnsi="宋体" w:eastAsia="宋体"/>
                <w:szCs w:val="21"/>
              </w:rPr>
            </w:pPr>
            <w:r>
              <w:rPr>
                <w:rFonts w:hint="eastAsia" w:ascii="宋体" w:hAnsi="宋体" w:eastAsia="宋体"/>
                <w:szCs w:val="21"/>
              </w:rPr>
              <w:t>项</w:t>
            </w:r>
          </w:p>
        </w:tc>
      </w:tr>
      <w:tr w14:paraId="7AE7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C090CEE">
            <w:pPr>
              <w:widowControl w:val="0"/>
              <w:spacing w:line="276" w:lineRule="auto"/>
              <w:jc w:val="center"/>
              <w:rPr>
                <w:rFonts w:ascii="宋体" w:hAnsi="宋体" w:eastAsia="宋体"/>
                <w:szCs w:val="21"/>
              </w:rPr>
            </w:pPr>
            <w:r>
              <w:rPr>
                <w:rFonts w:ascii="宋体" w:hAnsi="宋体" w:eastAsia="宋体"/>
                <w:szCs w:val="21"/>
              </w:rPr>
              <w:t>29</w:t>
            </w:r>
          </w:p>
        </w:tc>
        <w:tc>
          <w:tcPr>
            <w:tcW w:w="2001" w:type="dxa"/>
            <w:vAlign w:val="center"/>
          </w:tcPr>
          <w:p w14:paraId="44D96385">
            <w:pPr>
              <w:widowControl w:val="0"/>
              <w:spacing w:line="276" w:lineRule="auto"/>
              <w:jc w:val="center"/>
              <w:rPr>
                <w:rFonts w:ascii="宋体" w:hAnsi="宋体" w:eastAsia="宋体"/>
                <w:szCs w:val="21"/>
              </w:rPr>
            </w:pPr>
            <w:r>
              <w:rPr>
                <w:rFonts w:hint="eastAsia" w:ascii="宋体" w:hAnsi="宋体" w:eastAsia="宋体"/>
                <w:szCs w:val="21"/>
              </w:rPr>
              <w:t>联网费用（500兆宽带VPN，含2.5年资费）</w:t>
            </w:r>
          </w:p>
        </w:tc>
        <w:tc>
          <w:tcPr>
            <w:tcW w:w="4576" w:type="dxa"/>
            <w:vAlign w:val="center"/>
          </w:tcPr>
          <w:p w14:paraId="7A286817">
            <w:pPr>
              <w:widowControl w:val="0"/>
              <w:spacing w:line="276" w:lineRule="auto"/>
              <w:jc w:val="both"/>
              <w:rPr>
                <w:rFonts w:ascii="宋体" w:hAnsi="宋体" w:eastAsia="宋体"/>
                <w:szCs w:val="21"/>
              </w:rPr>
            </w:pPr>
            <w:r>
              <w:rPr>
                <w:rFonts w:hint="eastAsia" w:ascii="宋体" w:hAnsi="宋体" w:eastAsia="宋体"/>
                <w:szCs w:val="21"/>
              </w:rPr>
              <w:t>500兆宽带VPN，含2.5年资费。</w:t>
            </w:r>
          </w:p>
        </w:tc>
        <w:tc>
          <w:tcPr>
            <w:tcW w:w="960" w:type="dxa"/>
            <w:vAlign w:val="center"/>
          </w:tcPr>
          <w:p w14:paraId="6C6E75F1">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C0F952B">
            <w:pPr>
              <w:widowControl w:val="0"/>
              <w:spacing w:line="276" w:lineRule="auto"/>
              <w:jc w:val="center"/>
              <w:rPr>
                <w:rFonts w:ascii="宋体" w:hAnsi="宋体" w:eastAsia="宋体"/>
                <w:szCs w:val="21"/>
              </w:rPr>
            </w:pPr>
            <w:r>
              <w:rPr>
                <w:rFonts w:hint="eastAsia" w:ascii="宋体" w:hAnsi="宋体" w:eastAsia="宋体"/>
                <w:szCs w:val="21"/>
              </w:rPr>
              <w:t>项</w:t>
            </w:r>
          </w:p>
        </w:tc>
      </w:tr>
      <w:tr w14:paraId="461E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7DE4CD7">
            <w:pPr>
              <w:widowControl w:val="0"/>
              <w:spacing w:line="276" w:lineRule="auto"/>
              <w:jc w:val="center"/>
              <w:rPr>
                <w:rFonts w:ascii="宋体" w:hAnsi="宋体" w:eastAsia="宋体"/>
                <w:szCs w:val="21"/>
              </w:rPr>
            </w:pPr>
            <w:r>
              <w:rPr>
                <w:rFonts w:ascii="宋体" w:hAnsi="宋体" w:eastAsia="宋体"/>
                <w:szCs w:val="21"/>
              </w:rPr>
              <w:t>30</w:t>
            </w:r>
          </w:p>
        </w:tc>
        <w:tc>
          <w:tcPr>
            <w:tcW w:w="2001" w:type="dxa"/>
            <w:vAlign w:val="center"/>
          </w:tcPr>
          <w:p w14:paraId="1300E684">
            <w:pPr>
              <w:widowControl w:val="0"/>
              <w:spacing w:line="276" w:lineRule="auto"/>
              <w:jc w:val="center"/>
              <w:rPr>
                <w:rFonts w:ascii="宋体" w:hAnsi="宋体" w:eastAsia="宋体"/>
                <w:szCs w:val="21"/>
              </w:rPr>
            </w:pPr>
            <w:r>
              <w:rPr>
                <w:rFonts w:hint="eastAsia" w:ascii="宋体" w:hAnsi="宋体" w:eastAsia="宋体"/>
                <w:szCs w:val="21"/>
              </w:rPr>
              <w:t>综合控制台</w:t>
            </w:r>
          </w:p>
        </w:tc>
        <w:tc>
          <w:tcPr>
            <w:tcW w:w="4576" w:type="dxa"/>
            <w:vAlign w:val="center"/>
          </w:tcPr>
          <w:p w14:paraId="591FDA72">
            <w:pPr>
              <w:widowControl w:val="0"/>
              <w:spacing w:line="276" w:lineRule="auto"/>
              <w:jc w:val="both"/>
              <w:rPr>
                <w:rFonts w:ascii="宋体" w:hAnsi="宋体" w:eastAsia="宋体"/>
                <w:szCs w:val="21"/>
              </w:rPr>
            </w:pPr>
            <w:r>
              <w:rPr>
                <w:rFonts w:hint="eastAsia" w:ascii="宋体" w:hAnsi="宋体" w:eastAsia="宋体"/>
                <w:szCs w:val="21"/>
              </w:rPr>
              <w:t>1、控制台设计采用钢木拼装式结构，各部分有机结合有利于操作人员的操作，并根据人体工程学的要求，从美学角度对各种设备、控制器件的排列与安装进行合理布置。使操作人员的工作环境轻松、舒适、控制台上各功能控制键，按控制类别分块安装，并对每个控制单元中的各个控制按键间保持一定距离，减小操作员误操作可能性，主要的操作键安装有防止误碰及误操作装置，控制台表面涂有两种相近颜色的电脑白色亚光漆，其颜色布局从整体的角度进行了调整。控制台的台面采用木质材料。控制台前面和背面设有活动开启门。控制台的各种连接缆、线均通过控制室的防静电地板下部引入，电源电缆与信号电缆分开铺设，电缆加有屏蔽保护措施，便于工作人员进行维护。</w:t>
            </w:r>
          </w:p>
          <w:p w14:paraId="7E1AC564">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控制台上可以安全，美观恰当地放置监控系统的设备。</w:t>
            </w:r>
          </w:p>
          <w:p w14:paraId="4FB0505B">
            <w:pPr>
              <w:widowControl w:val="0"/>
              <w:spacing w:line="276" w:lineRule="auto"/>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控制台尺寸：高度 700 毫米便于操作人员操作不至于疲劳；宽度 1200 毫米。控制台安放计算机显示器后高度为≤1150 毫米，保证操作人员坐在控制台前观察显示器保持平视。</w:t>
            </w:r>
          </w:p>
          <w:p w14:paraId="276DD8C2">
            <w:pPr>
              <w:widowControl w:val="0"/>
              <w:spacing w:line="276" w:lineRule="auto"/>
              <w:jc w:val="both"/>
              <w:rPr>
                <w:rFonts w:hint="eastAsia" w:ascii="宋体" w:hAnsi="宋体" w:eastAsia="宋体"/>
                <w:szCs w:val="21"/>
              </w:rPr>
            </w:pPr>
            <w:r>
              <w:rPr>
                <w:rFonts w:ascii="宋体" w:hAnsi="宋体" w:eastAsia="宋体"/>
                <w:szCs w:val="21"/>
              </w:rPr>
              <w:t>4</w:t>
            </w:r>
            <w:r>
              <w:rPr>
                <w:rFonts w:hint="eastAsia" w:ascii="宋体" w:hAnsi="宋体" w:eastAsia="宋体"/>
                <w:szCs w:val="21"/>
              </w:rPr>
              <w:t>、6个工位定制。</w:t>
            </w:r>
          </w:p>
          <w:p w14:paraId="21A0025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F25C2D4">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81B2E8F">
            <w:pPr>
              <w:widowControl w:val="0"/>
              <w:spacing w:line="276" w:lineRule="auto"/>
              <w:jc w:val="center"/>
              <w:rPr>
                <w:rFonts w:ascii="宋体" w:hAnsi="宋体" w:eastAsia="宋体"/>
                <w:szCs w:val="21"/>
              </w:rPr>
            </w:pPr>
            <w:r>
              <w:rPr>
                <w:rFonts w:hint="eastAsia" w:ascii="宋体" w:hAnsi="宋体" w:eastAsia="宋体"/>
                <w:szCs w:val="21"/>
              </w:rPr>
              <w:t>套</w:t>
            </w:r>
          </w:p>
        </w:tc>
      </w:tr>
      <w:tr w14:paraId="3482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83DCB76">
            <w:pPr>
              <w:widowControl w:val="0"/>
              <w:spacing w:line="276" w:lineRule="auto"/>
              <w:jc w:val="center"/>
              <w:rPr>
                <w:rFonts w:ascii="宋体" w:hAnsi="宋体" w:eastAsia="宋体"/>
                <w:szCs w:val="21"/>
              </w:rPr>
            </w:pPr>
            <w:r>
              <w:rPr>
                <w:rFonts w:ascii="宋体" w:hAnsi="宋体" w:eastAsia="宋体"/>
                <w:szCs w:val="21"/>
              </w:rPr>
              <w:t>31</w:t>
            </w:r>
          </w:p>
        </w:tc>
        <w:tc>
          <w:tcPr>
            <w:tcW w:w="2001" w:type="dxa"/>
            <w:vAlign w:val="center"/>
          </w:tcPr>
          <w:p w14:paraId="32A622F9">
            <w:pPr>
              <w:widowControl w:val="0"/>
              <w:spacing w:line="276" w:lineRule="auto"/>
              <w:jc w:val="center"/>
              <w:rPr>
                <w:rFonts w:ascii="宋体" w:hAnsi="宋体" w:eastAsia="宋体"/>
                <w:szCs w:val="21"/>
              </w:rPr>
            </w:pPr>
            <w:r>
              <w:rPr>
                <w:rFonts w:hint="eastAsia" w:ascii="宋体" w:hAnsi="宋体" w:eastAsia="宋体"/>
                <w:szCs w:val="21"/>
              </w:rPr>
              <w:t>网络摄像机控制键盘</w:t>
            </w:r>
          </w:p>
        </w:tc>
        <w:tc>
          <w:tcPr>
            <w:tcW w:w="4576" w:type="dxa"/>
            <w:vAlign w:val="center"/>
          </w:tcPr>
          <w:p w14:paraId="46A939FE">
            <w:pPr>
              <w:widowControl w:val="0"/>
              <w:spacing w:line="276" w:lineRule="auto"/>
              <w:jc w:val="both"/>
              <w:rPr>
                <w:rFonts w:hint="eastAsia" w:ascii="宋体" w:hAnsi="宋体" w:eastAsia="宋体"/>
                <w:szCs w:val="21"/>
              </w:rPr>
            </w:pPr>
            <w:r>
              <w:rPr>
                <w:rFonts w:hint="eastAsia" w:ascii="宋体" w:hAnsi="宋体" w:eastAsia="宋体"/>
                <w:szCs w:val="21"/>
              </w:rPr>
              <w:t>三维控制摇杆，市场主流配置。</w:t>
            </w:r>
          </w:p>
          <w:p w14:paraId="456961F1">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1948785">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FA9885E">
            <w:pPr>
              <w:widowControl w:val="0"/>
              <w:spacing w:line="276" w:lineRule="auto"/>
              <w:jc w:val="center"/>
              <w:rPr>
                <w:rFonts w:ascii="宋体" w:hAnsi="宋体" w:eastAsia="宋体"/>
                <w:szCs w:val="21"/>
              </w:rPr>
            </w:pPr>
            <w:r>
              <w:rPr>
                <w:rFonts w:hint="eastAsia" w:ascii="宋体" w:hAnsi="宋体" w:eastAsia="宋体"/>
                <w:szCs w:val="21"/>
              </w:rPr>
              <w:t>台</w:t>
            </w:r>
          </w:p>
        </w:tc>
      </w:tr>
      <w:tr w14:paraId="508D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468A874">
            <w:pPr>
              <w:widowControl w:val="0"/>
              <w:spacing w:line="276" w:lineRule="auto"/>
              <w:jc w:val="center"/>
              <w:rPr>
                <w:rFonts w:ascii="宋体" w:hAnsi="宋体" w:eastAsia="宋体"/>
                <w:szCs w:val="21"/>
              </w:rPr>
            </w:pPr>
            <w:r>
              <w:rPr>
                <w:rFonts w:ascii="宋体" w:hAnsi="宋体" w:eastAsia="宋体"/>
                <w:szCs w:val="21"/>
              </w:rPr>
              <w:t>32</w:t>
            </w:r>
          </w:p>
        </w:tc>
        <w:tc>
          <w:tcPr>
            <w:tcW w:w="2001" w:type="dxa"/>
            <w:vAlign w:val="center"/>
          </w:tcPr>
          <w:p w14:paraId="40628470">
            <w:pPr>
              <w:widowControl w:val="0"/>
              <w:spacing w:line="276" w:lineRule="auto"/>
              <w:jc w:val="center"/>
              <w:rPr>
                <w:rFonts w:ascii="宋体" w:hAnsi="宋体" w:eastAsia="宋体"/>
                <w:szCs w:val="21"/>
              </w:rPr>
            </w:pPr>
            <w:r>
              <w:rPr>
                <w:rFonts w:hint="eastAsia" w:ascii="宋体" w:hAnsi="宋体" w:eastAsia="宋体"/>
                <w:szCs w:val="21"/>
              </w:rPr>
              <w:t>UPS 20kVA</w:t>
            </w:r>
          </w:p>
        </w:tc>
        <w:tc>
          <w:tcPr>
            <w:tcW w:w="4576" w:type="dxa"/>
            <w:vAlign w:val="center"/>
          </w:tcPr>
          <w:p w14:paraId="5E482602">
            <w:pPr>
              <w:widowControl w:val="0"/>
              <w:spacing w:line="276" w:lineRule="auto"/>
              <w:jc w:val="both"/>
              <w:rPr>
                <w:rFonts w:ascii="宋体" w:hAnsi="宋体" w:eastAsia="宋体"/>
                <w:szCs w:val="21"/>
              </w:rPr>
            </w:pPr>
            <w:r>
              <w:rPr>
                <w:rFonts w:hint="eastAsia" w:ascii="宋体" w:hAnsi="宋体" w:eastAsia="宋体"/>
                <w:szCs w:val="21"/>
              </w:rPr>
              <w:t>1、额定容量≥20KVA；电池后备时间≥60 分钟；</w:t>
            </w:r>
            <w:r>
              <w:rPr>
                <w:rFonts w:hint="eastAsia" w:ascii="宋体" w:hAnsi="宋体" w:eastAsia="宋体"/>
                <w:szCs w:val="21"/>
              </w:rPr>
              <w:br w:type="textWrapping"/>
            </w:r>
            <w:r>
              <w:rPr>
                <w:rFonts w:hint="eastAsia" w:ascii="宋体" w:hAnsi="宋体" w:eastAsia="宋体"/>
                <w:szCs w:val="21"/>
              </w:rPr>
              <w:t>2、交流输入380V+10%－15%，50Hz±6%；</w:t>
            </w:r>
            <w:r>
              <w:rPr>
                <w:rFonts w:hint="eastAsia" w:ascii="宋体" w:hAnsi="宋体" w:eastAsia="宋体"/>
                <w:szCs w:val="21"/>
              </w:rPr>
              <w:br w:type="textWrapping"/>
            </w:r>
            <w:r>
              <w:rPr>
                <w:rFonts w:hint="eastAsia" w:ascii="宋体" w:hAnsi="宋体" w:eastAsia="宋体"/>
                <w:szCs w:val="21"/>
              </w:rPr>
              <w:t>3、交流输出220V±2%，50Hz±0.5%；</w:t>
            </w:r>
            <w:r>
              <w:rPr>
                <w:rFonts w:hint="eastAsia" w:ascii="宋体" w:hAnsi="宋体" w:eastAsia="宋体"/>
                <w:szCs w:val="21"/>
              </w:rPr>
              <w:br w:type="textWrapping"/>
            </w:r>
            <w:r>
              <w:rPr>
                <w:rFonts w:hint="eastAsia" w:ascii="宋体" w:hAnsi="宋体" w:eastAsia="宋体"/>
                <w:szCs w:val="21"/>
              </w:rPr>
              <w:t>4、有欠压、过压、过载保护、声光告警功能；</w:t>
            </w:r>
            <w:r>
              <w:rPr>
                <w:rFonts w:hint="eastAsia" w:ascii="宋体" w:hAnsi="宋体" w:eastAsia="宋体"/>
                <w:szCs w:val="21"/>
              </w:rPr>
              <w:br w:type="textWrapping"/>
            </w:r>
            <w:r>
              <w:rPr>
                <w:rFonts w:hint="eastAsia" w:ascii="宋体" w:hAnsi="宋体" w:eastAsia="宋体"/>
                <w:szCs w:val="21"/>
              </w:rPr>
              <w:t>5、具有网络控制接口。</w:t>
            </w:r>
            <w:r>
              <w:rPr>
                <w:rFonts w:hint="eastAsia" w:ascii="宋体" w:hAnsi="宋体" w:eastAsia="宋体"/>
                <w:szCs w:val="21"/>
              </w:rPr>
              <w:br w:type="textWrapping"/>
            </w:r>
            <w:r>
              <w:rPr>
                <w:rFonts w:hint="eastAsia" w:ascii="宋体" w:hAnsi="宋体" w:eastAsia="宋体"/>
                <w:szCs w:val="21"/>
              </w:rPr>
              <w:t>电池组参数：</w:t>
            </w:r>
            <w:r>
              <w:rPr>
                <w:rFonts w:hint="eastAsia" w:ascii="宋体" w:hAnsi="宋体" w:eastAsia="宋体"/>
                <w:szCs w:val="21"/>
              </w:rPr>
              <w:br w:type="textWrapping"/>
            </w:r>
            <w:r>
              <w:rPr>
                <w:rFonts w:hint="eastAsia" w:ascii="宋体" w:hAnsi="宋体" w:eastAsia="宋体"/>
                <w:szCs w:val="21"/>
              </w:rPr>
              <w:t>1、采用12V阀控式密封铅蓄电池；</w:t>
            </w:r>
            <w:r>
              <w:rPr>
                <w:rFonts w:hint="eastAsia" w:ascii="宋体" w:hAnsi="宋体" w:eastAsia="宋体"/>
                <w:szCs w:val="21"/>
              </w:rPr>
              <w:br w:type="textWrapping"/>
            </w:r>
            <w:r>
              <w:rPr>
                <w:rFonts w:hint="eastAsia" w:ascii="宋体" w:hAnsi="宋体" w:eastAsia="宋体"/>
                <w:szCs w:val="21"/>
              </w:rPr>
              <w:t>2、蓄电池的浮充设计寿命在环境温度20℃不小于12 年；</w:t>
            </w:r>
            <w:r>
              <w:rPr>
                <w:rFonts w:hint="eastAsia" w:ascii="宋体" w:hAnsi="宋体" w:eastAsia="宋体"/>
                <w:szCs w:val="21"/>
              </w:rPr>
              <w:br w:type="textWrapping"/>
            </w:r>
            <w:r>
              <w:rPr>
                <w:rFonts w:hint="eastAsia" w:ascii="宋体" w:hAnsi="宋体" w:eastAsia="宋体"/>
                <w:szCs w:val="21"/>
              </w:rPr>
              <w:t>3、蓄电池外观应干净，不得有变形、漏夜，电池壳体无裂纹、壳盖之间错位，标志要清晰，电池极性与极性标示正确；</w:t>
            </w:r>
            <w:r>
              <w:rPr>
                <w:rFonts w:hint="eastAsia" w:ascii="宋体" w:hAnsi="宋体" w:eastAsia="宋体"/>
                <w:szCs w:val="21"/>
              </w:rPr>
              <w:br w:type="textWrapping"/>
            </w:r>
            <w:r>
              <w:rPr>
                <w:rFonts w:hint="eastAsia" w:ascii="宋体" w:hAnsi="宋体" w:eastAsia="宋体"/>
                <w:szCs w:val="21"/>
              </w:rPr>
              <w:t>4、蓄电池应能承受50KPa的正压或负压不破裂、不开胶，压力释放后壳体无残余变形；</w:t>
            </w:r>
            <w:r>
              <w:rPr>
                <w:rFonts w:hint="eastAsia" w:ascii="宋体" w:hAnsi="宋体" w:eastAsia="宋体"/>
                <w:szCs w:val="21"/>
              </w:rPr>
              <w:br w:type="textWrapping"/>
            </w:r>
            <w:r>
              <w:rPr>
                <w:rFonts w:hint="eastAsia" w:ascii="宋体" w:hAnsi="宋体" w:eastAsia="宋体"/>
                <w:szCs w:val="21"/>
              </w:rPr>
              <w:t>5、80%放电深度的循环次数大于1200 次；</w:t>
            </w:r>
            <w:r>
              <w:rPr>
                <w:rFonts w:hint="eastAsia" w:ascii="宋体" w:hAnsi="宋体" w:eastAsia="宋体"/>
                <w:szCs w:val="21"/>
              </w:rPr>
              <w:br w:type="textWrapping"/>
            </w:r>
            <w:r>
              <w:rPr>
                <w:rFonts w:hint="eastAsia" w:ascii="宋体" w:hAnsi="宋体" w:eastAsia="宋体"/>
                <w:szCs w:val="21"/>
              </w:rPr>
              <w:t>6、蓄电池在正常工作过程中应无酸雾溢出；</w:t>
            </w:r>
            <w:r>
              <w:rPr>
                <w:rFonts w:hint="eastAsia" w:ascii="宋体" w:hAnsi="宋体" w:eastAsia="宋体"/>
                <w:szCs w:val="21"/>
              </w:rPr>
              <w:br w:type="textWrapping"/>
            </w:r>
            <w:r>
              <w:rPr>
                <w:rFonts w:hint="eastAsia" w:ascii="宋体" w:hAnsi="宋体" w:eastAsia="宋体"/>
                <w:szCs w:val="21"/>
              </w:rPr>
              <w:t>7、蓄电池用0.3I10A电流连续充电160h 后，其外观应无明显变形及渗液；</w:t>
            </w:r>
            <w:r>
              <w:rPr>
                <w:rFonts w:hint="eastAsia" w:ascii="宋体" w:hAnsi="宋体" w:eastAsia="宋体"/>
                <w:szCs w:val="21"/>
              </w:rPr>
              <w:br w:type="textWrapping"/>
            </w:r>
            <w:r>
              <w:rPr>
                <w:rFonts w:hint="eastAsia" w:ascii="宋体" w:hAnsi="宋体" w:eastAsia="宋体"/>
                <w:szCs w:val="21"/>
              </w:rPr>
              <w:t>8、蓄电池密封反应效率不低于95%；</w:t>
            </w:r>
            <w:r>
              <w:rPr>
                <w:rFonts w:hint="eastAsia" w:ascii="宋体" w:hAnsi="宋体" w:eastAsia="宋体"/>
                <w:szCs w:val="21"/>
              </w:rPr>
              <w:br w:type="textWrapping"/>
            </w:r>
            <w:r>
              <w:rPr>
                <w:rFonts w:hint="eastAsia" w:ascii="宋体" w:hAnsi="宋体" w:eastAsia="宋体"/>
                <w:szCs w:val="21"/>
              </w:rPr>
              <w:t>9、蓄电池要便于存储，自放电率每月不大于3%；</w:t>
            </w:r>
            <w:r>
              <w:rPr>
                <w:rFonts w:hint="eastAsia" w:ascii="宋体" w:hAnsi="宋体" w:eastAsia="宋体"/>
                <w:szCs w:val="21"/>
              </w:rPr>
              <w:br w:type="textWrapping"/>
            </w:r>
            <w:r>
              <w:rPr>
                <w:rFonts w:hint="eastAsia" w:ascii="宋体" w:hAnsi="宋体" w:eastAsia="宋体"/>
                <w:szCs w:val="21"/>
              </w:rPr>
              <w:t>10、蓄电池组采用相互隔离输出方式工作，可多组并联输出，无电流环流。</w:t>
            </w:r>
          </w:p>
          <w:p w14:paraId="46DD121D">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AECDFEF">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D3FC034">
            <w:pPr>
              <w:widowControl w:val="0"/>
              <w:spacing w:line="276" w:lineRule="auto"/>
              <w:jc w:val="center"/>
              <w:rPr>
                <w:rFonts w:ascii="宋体" w:hAnsi="宋体" w:eastAsia="宋体"/>
                <w:szCs w:val="21"/>
              </w:rPr>
            </w:pPr>
            <w:r>
              <w:rPr>
                <w:rFonts w:hint="eastAsia" w:ascii="宋体" w:hAnsi="宋体" w:eastAsia="宋体"/>
                <w:szCs w:val="21"/>
              </w:rPr>
              <w:t>台</w:t>
            </w:r>
          </w:p>
        </w:tc>
      </w:tr>
      <w:tr w14:paraId="6A58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97C4A95">
            <w:pPr>
              <w:widowControl w:val="0"/>
              <w:spacing w:line="276" w:lineRule="auto"/>
              <w:jc w:val="center"/>
              <w:rPr>
                <w:rFonts w:ascii="宋体" w:hAnsi="宋体" w:eastAsia="宋体"/>
                <w:szCs w:val="21"/>
              </w:rPr>
            </w:pPr>
            <w:r>
              <w:rPr>
                <w:rFonts w:ascii="宋体" w:hAnsi="宋体" w:eastAsia="宋体"/>
                <w:szCs w:val="21"/>
              </w:rPr>
              <w:t>33</w:t>
            </w:r>
          </w:p>
        </w:tc>
        <w:tc>
          <w:tcPr>
            <w:tcW w:w="2001" w:type="dxa"/>
            <w:vAlign w:val="center"/>
          </w:tcPr>
          <w:p w14:paraId="6958269D">
            <w:pPr>
              <w:widowControl w:val="0"/>
              <w:spacing w:line="276" w:lineRule="auto"/>
              <w:jc w:val="center"/>
              <w:rPr>
                <w:rFonts w:ascii="宋体" w:hAnsi="宋体" w:eastAsia="宋体"/>
                <w:szCs w:val="21"/>
              </w:rPr>
            </w:pPr>
            <w:r>
              <w:rPr>
                <w:rFonts w:hint="eastAsia" w:ascii="宋体" w:hAnsi="宋体" w:eastAsia="宋体"/>
                <w:szCs w:val="21"/>
              </w:rPr>
              <w:t>明装配电箱</w:t>
            </w:r>
          </w:p>
        </w:tc>
        <w:tc>
          <w:tcPr>
            <w:tcW w:w="4576" w:type="dxa"/>
            <w:vAlign w:val="center"/>
          </w:tcPr>
          <w:p w14:paraId="51296C4A">
            <w:pPr>
              <w:widowControl w:val="0"/>
              <w:spacing w:line="276" w:lineRule="auto"/>
              <w:jc w:val="both"/>
              <w:rPr>
                <w:rFonts w:ascii="宋体" w:hAnsi="宋体" w:eastAsia="宋体"/>
                <w:szCs w:val="21"/>
              </w:rPr>
            </w:pPr>
            <w:r>
              <w:rPr>
                <w:rFonts w:hint="eastAsia" w:ascii="宋体" w:hAnsi="宋体" w:eastAsia="宋体"/>
                <w:szCs w:val="21"/>
              </w:rPr>
              <w:t>1、箱体采用不小于1.5mm 厚不锈钢材料制作。</w:t>
            </w:r>
            <w:r>
              <w:rPr>
                <w:rFonts w:hint="eastAsia" w:ascii="宋体" w:hAnsi="宋体" w:eastAsia="宋体"/>
                <w:szCs w:val="21"/>
              </w:rPr>
              <w:br w:type="page"/>
            </w:r>
            <w:r>
              <w:rPr>
                <w:rFonts w:hint="eastAsia" w:ascii="宋体" w:hAnsi="宋体" w:eastAsia="宋体"/>
                <w:szCs w:val="21"/>
              </w:rPr>
              <w:t>2、箱体须采用前门方式，以便做到正面维修；箱体门设置专用密封胶条，箱体门应有自动锁定装置，箱门厚度应不小于2㎜。</w:t>
            </w:r>
            <w:r>
              <w:rPr>
                <w:rFonts w:hint="eastAsia" w:ascii="宋体" w:hAnsi="宋体" w:eastAsia="宋体"/>
                <w:szCs w:val="21"/>
              </w:rPr>
              <w:br w:type="page"/>
            </w:r>
            <w:r>
              <w:rPr>
                <w:rFonts w:hint="eastAsia" w:ascii="宋体" w:hAnsi="宋体" w:eastAsia="宋体"/>
                <w:szCs w:val="21"/>
              </w:rPr>
              <w:t>3、箱体底部预留进线位置、通风部位安装过滤网。</w:t>
            </w:r>
            <w:r>
              <w:rPr>
                <w:rFonts w:hint="eastAsia" w:ascii="宋体" w:hAnsi="宋体" w:eastAsia="宋体"/>
                <w:szCs w:val="21"/>
              </w:rPr>
              <w:br w:type="page"/>
            </w:r>
            <w:r>
              <w:rPr>
                <w:rFonts w:hint="eastAsia" w:ascii="宋体" w:hAnsi="宋体" w:eastAsia="宋体"/>
                <w:szCs w:val="21"/>
              </w:rPr>
              <w:t>4、箱体尺寸根据需要定制，箱体内放置断路器、接线端子，以及各类浪涌保护器等。</w:t>
            </w:r>
            <w:r>
              <w:rPr>
                <w:rFonts w:hint="eastAsia" w:ascii="宋体" w:hAnsi="宋体" w:eastAsia="宋体"/>
                <w:szCs w:val="21"/>
              </w:rPr>
              <w:br w:type="page"/>
            </w:r>
            <w:r>
              <w:rPr>
                <w:rFonts w:hint="eastAsia" w:ascii="宋体" w:hAnsi="宋体" w:eastAsia="宋体"/>
                <w:szCs w:val="21"/>
              </w:rPr>
              <w:t>5、箱体含断路器、接线端子；断路器根据用电设备选配；接线端子满足设备接线需要并留有一定剩余。</w:t>
            </w:r>
            <w:r>
              <w:rPr>
                <w:rFonts w:hint="eastAsia" w:ascii="宋体" w:hAnsi="宋体" w:eastAsia="宋体"/>
                <w:szCs w:val="21"/>
              </w:rPr>
              <w:br w:type="page"/>
            </w:r>
            <w:r>
              <w:rPr>
                <w:rFonts w:hint="eastAsia" w:ascii="宋体" w:hAnsi="宋体" w:eastAsia="宋体"/>
                <w:szCs w:val="21"/>
              </w:rPr>
              <w:t>6、箱体与其它金属构件需接地良好。</w:t>
            </w:r>
            <w:r>
              <w:rPr>
                <w:rFonts w:hint="eastAsia" w:ascii="宋体" w:hAnsi="宋体" w:eastAsia="宋体"/>
                <w:szCs w:val="21"/>
              </w:rPr>
              <w:br w:type="page"/>
            </w:r>
            <w:r>
              <w:rPr>
                <w:rFonts w:hint="eastAsia" w:ascii="宋体" w:hAnsi="宋体" w:eastAsia="宋体"/>
                <w:szCs w:val="21"/>
              </w:rPr>
              <w:t>7、工作环境：-25℃～50℃。</w:t>
            </w:r>
            <w:r>
              <w:rPr>
                <w:rFonts w:hint="eastAsia" w:ascii="宋体" w:hAnsi="宋体" w:eastAsia="宋体"/>
                <w:szCs w:val="21"/>
              </w:rPr>
              <w:br w:type="page"/>
            </w:r>
            <w:r>
              <w:rPr>
                <w:rFonts w:hint="eastAsia" w:ascii="宋体" w:hAnsi="宋体" w:eastAsia="宋体"/>
                <w:szCs w:val="21"/>
              </w:rPr>
              <w:t>8、工作湿度：0～90%，无凝露。</w:t>
            </w:r>
            <w:r>
              <w:rPr>
                <w:rFonts w:hint="eastAsia" w:ascii="宋体" w:hAnsi="宋体" w:eastAsia="宋体"/>
                <w:szCs w:val="21"/>
              </w:rPr>
              <w:br w:type="page"/>
            </w:r>
            <w:r>
              <w:rPr>
                <w:rFonts w:hint="eastAsia" w:ascii="宋体" w:hAnsi="宋体" w:eastAsia="宋体"/>
                <w:szCs w:val="21"/>
              </w:rPr>
              <w:t>9、防护等级：IP65。其他详见设计图纸及规范要求。</w:t>
            </w:r>
          </w:p>
        </w:tc>
        <w:tc>
          <w:tcPr>
            <w:tcW w:w="960" w:type="dxa"/>
            <w:vAlign w:val="center"/>
          </w:tcPr>
          <w:p w14:paraId="16EA325F">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C353ED5">
            <w:pPr>
              <w:widowControl w:val="0"/>
              <w:spacing w:line="276" w:lineRule="auto"/>
              <w:jc w:val="center"/>
              <w:rPr>
                <w:rFonts w:ascii="宋体" w:hAnsi="宋体" w:eastAsia="宋体"/>
                <w:szCs w:val="21"/>
              </w:rPr>
            </w:pPr>
            <w:r>
              <w:rPr>
                <w:rFonts w:hint="eastAsia" w:ascii="宋体" w:hAnsi="宋体" w:eastAsia="宋体"/>
                <w:szCs w:val="21"/>
              </w:rPr>
              <w:t>台</w:t>
            </w:r>
          </w:p>
        </w:tc>
      </w:tr>
      <w:tr w14:paraId="0702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86FD083">
            <w:pPr>
              <w:widowControl w:val="0"/>
              <w:spacing w:line="276" w:lineRule="auto"/>
              <w:jc w:val="center"/>
              <w:rPr>
                <w:rFonts w:ascii="宋体" w:hAnsi="宋体" w:eastAsia="宋体"/>
                <w:szCs w:val="21"/>
              </w:rPr>
            </w:pPr>
            <w:r>
              <w:rPr>
                <w:rFonts w:ascii="宋体" w:hAnsi="宋体" w:eastAsia="宋体"/>
                <w:szCs w:val="21"/>
              </w:rPr>
              <w:t>34</w:t>
            </w:r>
          </w:p>
        </w:tc>
        <w:tc>
          <w:tcPr>
            <w:tcW w:w="2001" w:type="dxa"/>
            <w:vAlign w:val="center"/>
          </w:tcPr>
          <w:p w14:paraId="1E490500">
            <w:pPr>
              <w:widowControl w:val="0"/>
              <w:spacing w:line="276" w:lineRule="auto"/>
              <w:jc w:val="center"/>
              <w:rPr>
                <w:rFonts w:ascii="宋体" w:hAnsi="宋体" w:eastAsia="宋体"/>
                <w:szCs w:val="21"/>
              </w:rPr>
            </w:pPr>
            <w:r>
              <w:rPr>
                <w:rFonts w:hint="eastAsia" w:ascii="宋体" w:hAnsi="宋体" w:eastAsia="宋体"/>
                <w:szCs w:val="21"/>
              </w:rPr>
              <w:t>机柜</w:t>
            </w:r>
          </w:p>
        </w:tc>
        <w:tc>
          <w:tcPr>
            <w:tcW w:w="4576" w:type="dxa"/>
            <w:vAlign w:val="center"/>
          </w:tcPr>
          <w:p w14:paraId="426A78CC">
            <w:pPr>
              <w:widowControl w:val="0"/>
              <w:spacing w:line="276" w:lineRule="auto"/>
              <w:jc w:val="both"/>
              <w:rPr>
                <w:rFonts w:ascii="宋体" w:hAnsi="宋体" w:eastAsia="宋体"/>
                <w:szCs w:val="21"/>
              </w:rPr>
            </w:pPr>
            <w:r>
              <w:rPr>
                <w:rFonts w:ascii="宋体" w:hAnsi="宋体" w:eastAsia="宋体"/>
                <w:szCs w:val="21"/>
              </w:rPr>
              <w:t>2.2m</w:t>
            </w:r>
            <w:r>
              <w:rPr>
                <w:rFonts w:hint="eastAsia" w:ascii="宋体" w:hAnsi="宋体" w:eastAsia="宋体"/>
                <w:szCs w:val="21"/>
              </w:rPr>
              <w:t>×</w:t>
            </w:r>
            <w:r>
              <w:rPr>
                <w:rFonts w:ascii="宋体" w:hAnsi="宋体" w:eastAsia="宋体"/>
                <w:szCs w:val="21"/>
              </w:rPr>
              <w:t>0.8m</w:t>
            </w:r>
            <w:r>
              <w:rPr>
                <w:rFonts w:hint="eastAsia" w:ascii="宋体" w:hAnsi="宋体" w:eastAsia="宋体"/>
                <w:szCs w:val="21"/>
              </w:rPr>
              <w:t>×1</w:t>
            </w:r>
            <w:r>
              <w:rPr>
                <w:rFonts w:ascii="宋体" w:hAnsi="宋体" w:eastAsia="宋体"/>
                <w:szCs w:val="21"/>
              </w:rPr>
              <w:t>m，</w:t>
            </w:r>
            <w:r>
              <w:rPr>
                <w:rFonts w:hint="eastAsia" w:ascii="宋体" w:hAnsi="宋体" w:eastAsia="宋体"/>
                <w:szCs w:val="21"/>
              </w:rPr>
              <w:t>标准机柜。</w:t>
            </w:r>
          </w:p>
        </w:tc>
        <w:tc>
          <w:tcPr>
            <w:tcW w:w="960" w:type="dxa"/>
            <w:vAlign w:val="center"/>
          </w:tcPr>
          <w:p w14:paraId="154035BC">
            <w:pPr>
              <w:widowControl w:val="0"/>
              <w:spacing w:line="276" w:lineRule="auto"/>
              <w:jc w:val="center"/>
              <w:rPr>
                <w:rFonts w:ascii="宋体" w:hAnsi="宋体" w:eastAsia="宋体"/>
                <w:szCs w:val="21"/>
              </w:rPr>
            </w:pPr>
            <w:r>
              <w:rPr>
                <w:rFonts w:ascii="宋体" w:hAnsi="宋体" w:eastAsia="宋体"/>
                <w:szCs w:val="21"/>
              </w:rPr>
              <w:t>3</w:t>
            </w:r>
          </w:p>
        </w:tc>
        <w:tc>
          <w:tcPr>
            <w:tcW w:w="499" w:type="dxa"/>
            <w:vAlign w:val="center"/>
          </w:tcPr>
          <w:p w14:paraId="39323DCC">
            <w:pPr>
              <w:widowControl w:val="0"/>
              <w:spacing w:line="276" w:lineRule="auto"/>
              <w:jc w:val="center"/>
              <w:rPr>
                <w:rFonts w:ascii="宋体" w:hAnsi="宋体" w:eastAsia="宋体"/>
                <w:szCs w:val="21"/>
              </w:rPr>
            </w:pPr>
            <w:r>
              <w:rPr>
                <w:rFonts w:hint="eastAsia" w:ascii="宋体" w:hAnsi="宋体" w:eastAsia="宋体"/>
                <w:szCs w:val="21"/>
              </w:rPr>
              <w:t>台</w:t>
            </w:r>
          </w:p>
        </w:tc>
      </w:tr>
      <w:tr w14:paraId="7D14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39BFCFC">
            <w:pPr>
              <w:widowControl w:val="0"/>
              <w:spacing w:line="276" w:lineRule="auto"/>
              <w:jc w:val="center"/>
              <w:rPr>
                <w:rFonts w:ascii="宋体" w:hAnsi="宋体" w:eastAsia="宋体"/>
                <w:szCs w:val="21"/>
              </w:rPr>
            </w:pPr>
            <w:r>
              <w:rPr>
                <w:rFonts w:ascii="宋体" w:hAnsi="宋体" w:eastAsia="宋体"/>
                <w:szCs w:val="21"/>
              </w:rPr>
              <w:t>35</w:t>
            </w:r>
          </w:p>
        </w:tc>
        <w:tc>
          <w:tcPr>
            <w:tcW w:w="2001" w:type="dxa"/>
            <w:vAlign w:val="center"/>
          </w:tcPr>
          <w:p w14:paraId="221222BD">
            <w:pPr>
              <w:widowControl w:val="0"/>
              <w:spacing w:line="276" w:lineRule="auto"/>
              <w:jc w:val="center"/>
              <w:rPr>
                <w:rFonts w:ascii="宋体" w:hAnsi="宋体" w:eastAsia="宋体"/>
                <w:szCs w:val="21"/>
              </w:rPr>
            </w:pPr>
            <w:r>
              <w:rPr>
                <w:rFonts w:hint="eastAsia" w:ascii="宋体" w:hAnsi="宋体" w:eastAsia="宋体"/>
                <w:szCs w:val="21"/>
              </w:rPr>
              <w:t>强电插座</w:t>
            </w:r>
          </w:p>
        </w:tc>
        <w:tc>
          <w:tcPr>
            <w:tcW w:w="4576" w:type="dxa"/>
            <w:vAlign w:val="center"/>
          </w:tcPr>
          <w:p w14:paraId="44FE8AFB">
            <w:pPr>
              <w:widowControl w:val="0"/>
              <w:spacing w:line="276" w:lineRule="auto"/>
              <w:jc w:val="both"/>
              <w:rPr>
                <w:rFonts w:ascii="宋体" w:hAnsi="宋体" w:eastAsia="宋体"/>
                <w:szCs w:val="21"/>
              </w:rPr>
            </w:pPr>
            <w:r>
              <w:rPr>
                <w:rFonts w:hint="eastAsia" w:ascii="宋体" w:hAnsi="宋体" w:eastAsia="宋体"/>
                <w:szCs w:val="21"/>
              </w:rPr>
              <w:t>每个工位预留2个强电插座，机房预留4个插座，显示屏预留4个插座，规格:250V,10A,安全型。</w:t>
            </w:r>
          </w:p>
        </w:tc>
        <w:tc>
          <w:tcPr>
            <w:tcW w:w="960" w:type="dxa"/>
            <w:vAlign w:val="center"/>
          </w:tcPr>
          <w:p w14:paraId="2A23C21B">
            <w:pPr>
              <w:widowControl w:val="0"/>
              <w:spacing w:line="276" w:lineRule="auto"/>
              <w:jc w:val="center"/>
              <w:rPr>
                <w:rFonts w:ascii="宋体" w:hAnsi="宋体" w:eastAsia="宋体"/>
                <w:szCs w:val="21"/>
              </w:rPr>
            </w:pPr>
            <w:r>
              <w:rPr>
                <w:rFonts w:ascii="宋体" w:hAnsi="宋体" w:eastAsia="宋体"/>
                <w:szCs w:val="21"/>
              </w:rPr>
              <w:t>20</w:t>
            </w:r>
          </w:p>
        </w:tc>
        <w:tc>
          <w:tcPr>
            <w:tcW w:w="499" w:type="dxa"/>
            <w:vAlign w:val="center"/>
          </w:tcPr>
          <w:p w14:paraId="4BA67950">
            <w:pPr>
              <w:widowControl w:val="0"/>
              <w:spacing w:line="276" w:lineRule="auto"/>
              <w:jc w:val="center"/>
              <w:rPr>
                <w:rFonts w:ascii="宋体" w:hAnsi="宋体" w:eastAsia="宋体"/>
                <w:szCs w:val="21"/>
              </w:rPr>
            </w:pPr>
            <w:r>
              <w:rPr>
                <w:rFonts w:hint="eastAsia" w:ascii="宋体" w:hAnsi="宋体" w:eastAsia="宋体"/>
                <w:szCs w:val="21"/>
              </w:rPr>
              <w:t>个</w:t>
            </w:r>
          </w:p>
        </w:tc>
      </w:tr>
      <w:tr w14:paraId="1007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C18D7B0">
            <w:pPr>
              <w:widowControl w:val="0"/>
              <w:spacing w:line="276" w:lineRule="auto"/>
              <w:jc w:val="center"/>
              <w:rPr>
                <w:rFonts w:ascii="宋体" w:hAnsi="宋体" w:eastAsia="宋体"/>
                <w:szCs w:val="21"/>
              </w:rPr>
            </w:pPr>
            <w:r>
              <w:rPr>
                <w:rFonts w:ascii="宋体" w:hAnsi="宋体" w:eastAsia="宋体"/>
                <w:szCs w:val="21"/>
              </w:rPr>
              <w:t>36</w:t>
            </w:r>
          </w:p>
        </w:tc>
        <w:tc>
          <w:tcPr>
            <w:tcW w:w="2001" w:type="dxa"/>
            <w:vAlign w:val="center"/>
          </w:tcPr>
          <w:p w14:paraId="6F1BBCA5">
            <w:pPr>
              <w:widowControl w:val="0"/>
              <w:spacing w:line="276" w:lineRule="auto"/>
              <w:jc w:val="center"/>
              <w:rPr>
                <w:rFonts w:ascii="宋体" w:hAnsi="宋体" w:eastAsia="宋体"/>
                <w:szCs w:val="21"/>
              </w:rPr>
            </w:pPr>
            <w:r>
              <w:rPr>
                <w:rFonts w:hint="eastAsia" w:ascii="宋体" w:hAnsi="宋体" w:eastAsia="宋体"/>
                <w:szCs w:val="21"/>
              </w:rPr>
              <w:t>电脑插座</w:t>
            </w:r>
          </w:p>
        </w:tc>
        <w:tc>
          <w:tcPr>
            <w:tcW w:w="4576" w:type="dxa"/>
            <w:vAlign w:val="center"/>
          </w:tcPr>
          <w:p w14:paraId="146E0A43">
            <w:pPr>
              <w:widowControl w:val="0"/>
              <w:spacing w:line="276" w:lineRule="auto"/>
              <w:jc w:val="both"/>
              <w:rPr>
                <w:rFonts w:ascii="宋体" w:hAnsi="宋体" w:eastAsia="宋体"/>
                <w:szCs w:val="21"/>
              </w:rPr>
            </w:pPr>
            <w:r>
              <w:rPr>
                <w:rFonts w:hint="eastAsia" w:ascii="宋体" w:hAnsi="宋体" w:eastAsia="宋体"/>
                <w:szCs w:val="21"/>
              </w:rPr>
              <w:t>六类，二位电脑插座。</w:t>
            </w:r>
          </w:p>
        </w:tc>
        <w:tc>
          <w:tcPr>
            <w:tcW w:w="960" w:type="dxa"/>
            <w:vAlign w:val="center"/>
          </w:tcPr>
          <w:p w14:paraId="09710DE1">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3BD64BE7">
            <w:pPr>
              <w:widowControl w:val="0"/>
              <w:spacing w:line="276" w:lineRule="auto"/>
              <w:jc w:val="center"/>
              <w:rPr>
                <w:rFonts w:ascii="宋体" w:hAnsi="宋体" w:eastAsia="宋体"/>
                <w:szCs w:val="21"/>
              </w:rPr>
            </w:pPr>
            <w:r>
              <w:rPr>
                <w:rFonts w:hint="eastAsia" w:ascii="宋体" w:hAnsi="宋体" w:eastAsia="宋体"/>
                <w:szCs w:val="21"/>
              </w:rPr>
              <w:t>个</w:t>
            </w:r>
          </w:p>
        </w:tc>
      </w:tr>
      <w:tr w14:paraId="6CA3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58437BC">
            <w:pPr>
              <w:widowControl w:val="0"/>
              <w:spacing w:line="276" w:lineRule="auto"/>
              <w:jc w:val="center"/>
              <w:rPr>
                <w:rFonts w:ascii="宋体" w:hAnsi="宋体" w:eastAsia="宋体"/>
                <w:szCs w:val="21"/>
              </w:rPr>
            </w:pPr>
            <w:r>
              <w:rPr>
                <w:rFonts w:ascii="宋体" w:hAnsi="宋体" w:eastAsia="宋体"/>
                <w:szCs w:val="21"/>
              </w:rPr>
              <w:t>37</w:t>
            </w:r>
          </w:p>
        </w:tc>
        <w:tc>
          <w:tcPr>
            <w:tcW w:w="2001" w:type="dxa"/>
            <w:vAlign w:val="center"/>
          </w:tcPr>
          <w:p w14:paraId="5F9054FD">
            <w:pPr>
              <w:widowControl w:val="0"/>
              <w:spacing w:line="276" w:lineRule="auto"/>
              <w:jc w:val="center"/>
              <w:rPr>
                <w:rFonts w:ascii="宋体" w:hAnsi="宋体" w:eastAsia="宋体"/>
                <w:szCs w:val="21"/>
              </w:rPr>
            </w:pPr>
            <w:r>
              <w:rPr>
                <w:rFonts w:hint="eastAsia" w:ascii="宋体" w:hAnsi="宋体" w:eastAsia="宋体"/>
                <w:szCs w:val="21"/>
              </w:rPr>
              <w:t>电话插座</w:t>
            </w:r>
          </w:p>
        </w:tc>
        <w:tc>
          <w:tcPr>
            <w:tcW w:w="4576" w:type="dxa"/>
            <w:vAlign w:val="center"/>
          </w:tcPr>
          <w:p w14:paraId="6CC1BF57">
            <w:pPr>
              <w:widowControl w:val="0"/>
              <w:spacing w:line="276" w:lineRule="auto"/>
              <w:jc w:val="both"/>
              <w:rPr>
                <w:rFonts w:ascii="宋体" w:hAnsi="宋体" w:eastAsia="宋体"/>
                <w:szCs w:val="21"/>
              </w:rPr>
            </w:pPr>
            <w:r>
              <w:rPr>
                <w:rFonts w:hint="eastAsia" w:ascii="宋体" w:hAnsi="宋体" w:eastAsia="宋体"/>
                <w:szCs w:val="21"/>
              </w:rPr>
              <w:t>额定电流10A/16A，额定电压220V/380V。</w:t>
            </w:r>
          </w:p>
        </w:tc>
        <w:tc>
          <w:tcPr>
            <w:tcW w:w="960" w:type="dxa"/>
            <w:vAlign w:val="center"/>
          </w:tcPr>
          <w:p w14:paraId="30826C79">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481CF732">
            <w:pPr>
              <w:widowControl w:val="0"/>
              <w:spacing w:line="276" w:lineRule="auto"/>
              <w:jc w:val="center"/>
              <w:rPr>
                <w:rFonts w:ascii="宋体" w:hAnsi="宋体" w:eastAsia="宋体"/>
                <w:szCs w:val="21"/>
              </w:rPr>
            </w:pPr>
            <w:r>
              <w:rPr>
                <w:rFonts w:hint="eastAsia" w:ascii="宋体" w:hAnsi="宋体" w:eastAsia="宋体"/>
                <w:szCs w:val="21"/>
              </w:rPr>
              <w:t>个</w:t>
            </w:r>
          </w:p>
        </w:tc>
      </w:tr>
      <w:tr w14:paraId="4426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5478CC9">
            <w:pPr>
              <w:widowControl w:val="0"/>
              <w:spacing w:line="276" w:lineRule="auto"/>
              <w:jc w:val="center"/>
              <w:rPr>
                <w:rFonts w:ascii="宋体" w:hAnsi="宋体" w:eastAsia="宋体"/>
                <w:szCs w:val="21"/>
              </w:rPr>
            </w:pPr>
            <w:r>
              <w:rPr>
                <w:rFonts w:ascii="宋体" w:hAnsi="宋体" w:eastAsia="宋体"/>
                <w:szCs w:val="21"/>
              </w:rPr>
              <w:t>38</w:t>
            </w:r>
          </w:p>
        </w:tc>
        <w:tc>
          <w:tcPr>
            <w:tcW w:w="2001" w:type="dxa"/>
            <w:vAlign w:val="center"/>
          </w:tcPr>
          <w:p w14:paraId="772F4F81">
            <w:pPr>
              <w:widowControl w:val="0"/>
              <w:spacing w:line="276" w:lineRule="auto"/>
              <w:jc w:val="center"/>
              <w:rPr>
                <w:rFonts w:ascii="宋体" w:hAnsi="宋体" w:eastAsia="宋体"/>
                <w:szCs w:val="21"/>
              </w:rPr>
            </w:pPr>
            <w:r>
              <w:rPr>
                <w:rFonts w:hint="eastAsia" w:ascii="宋体" w:hAnsi="宋体" w:eastAsia="宋体"/>
                <w:szCs w:val="21"/>
              </w:rPr>
              <w:t>大功率插座</w:t>
            </w:r>
          </w:p>
        </w:tc>
        <w:tc>
          <w:tcPr>
            <w:tcW w:w="4576" w:type="dxa"/>
            <w:vAlign w:val="center"/>
          </w:tcPr>
          <w:p w14:paraId="1D2660B0">
            <w:pPr>
              <w:widowControl w:val="0"/>
              <w:spacing w:line="276" w:lineRule="auto"/>
              <w:jc w:val="both"/>
              <w:rPr>
                <w:rFonts w:ascii="宋体" w:hAnsi="宋体" w:eastAsia="宋体"/>
                <w:szCs w:val="21"/>
              </w:rPr>
            </w:pPr>
            <w:r>
              <w:rPr>
                <w:rFonts w:hint="eastAsia" w:ascii="宋体" w:hAnsi="宋体" w:eastAsia="宋体"/>
                <w:szCs w:val="21"/>
              </w:rPr>
              <w:t>结合具体中标厂商配置。</w:t>
            </w:r>
          </w:p>
        </w:tc>
        <w:tc>
          <w:tcPr>
            <w:tcW w:w="960" w:type="dxa"/>
            <w:vAlign w:val="center"/>
          </w:tcPr>
          <w:p w14:paraId="2B10655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2B9F9B3">
            <w:pPr>
              <w:widowControl w:val="0"/>
              <w:spacing w:line="276" w:lineRule="auto"/>
              <w:jc w:val="center"/>
              <w:rPr>
                <w:rFonts w:ascii="宋体" w:hAnsi="宋体" w:eastAsia="宋体"/>
                <w:szCs w:val="21"/>
              </w:rPr>
            </w:pPr>
            <w:r>
              <w:rPr>
                <w:rFonts w:hint="eastAsia" w:ascii="宋体" w:hAnsi="宋体" w:eastAsia="宋体"/>
                <w:szCs w:val="21"/>
              </w:rPr>
              <w:t>个</w:t>
            </w:r>
          </w:p>
        </w:tc>
      </w:tr>
      <w:tr w14:paraId="7A08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B6C95E3">
            <w:pPr>
              <w:widowControl w:val="0"/>
              <w:spacing w:line="276" w:lineRule="auto"/>
              <w:jc w:val="center"/>
              <w:rPr>
                <w:rFonts w:ascii="宋体" w:hAnsi="宋体" w:eastAsia="宋体"/>
                <w:szCs w:val="21"/>
              </w:rPr>
            </w:pPr>
            <w:r>
              <w:rPr>
                <w:rFonts w:ascii="宋体" w:hAnsi="宋体" w:eastAsia="宋体"/>
                <w:szCs w:val="21"/>
              </w:rPr>
              <w:t>39</w:t>
            </w:r>
          </w:p>
        </w:tc>
        <w:tc>
          <w:tcPr>
            <w:tcW w:w="2001" w:type="dxa"/>
            <w:vAlign w:val="center"/>
          </w:tcPr>
          <w:p w14:paraId="2C91CDCD">
            <w:pPr>
              <w:widowControl w:val="0"/>
              <w:spacing w:line="276" w:lineRule="auto"/>
              <w:jc w:val="center"/>
              <w:rPr>
                <w:rFonts w:ascii="宋体" w:hAnsi="宋体" w:eastAsia="宋体"/>
                <w:szCs w:val="21"/>
              </w:rPr>
            </w:pPr>
            <w:r>
              <w:rPr>
                <w:rFonts w:hint="eastAsia" w:ascii="宋体" w:hAnsi="宋体" w:eastAsia="宋体"/>
                <w:szCs w:val="21"/>
              </w:rPr>
              <w:t>监控系统应用软件</w:t>
            </w:r>
          </w:p>
        </w:tc>
        <w:tc>
          <w:tcPr>
            <w:tcW w:w="4576" w:type="dxa"/>
            <w:vAlign w:val="center"/>
          </w:tcPr>
          <w:p w14:paraId="09141B7A">
            <w:pPr>
              <w:widowControl w:val="0"/>
              <w:spacing w:line="276" w:lineRule="auto"/>
              <w:jc w:val="both"/>
              <w:rPr>
                <w:rFonts w:hint="eastAsia" w:ascii="宋体" w:hAnsi="宋体" w:eastAsia="宋体"/>
                <w:szCs w:val="21"/>
              </w:rPr>
            </w:pPr>
            <w:r>
              <w:rPr>
                <w:rFonts w:hint="eastAsia" w:ascii="宋体" w:hAnsi="宋体" w:eastAsia="宋体"/>
                <w:szCs w:val="21"/>
              </w:rPr>
              <w:t>交通信息、气象信息和设备状态信息采集软件；信息显示软件；数据处理软件；图形处理软件；交通决策系统软件；交通诱导控制软件；视频监控系统管理软件具备1000路视频接入能力。需提供实现相关功能的证明材料。</w:t>
            </w:r>
          </w:p>
          <w:p w14:paraId="30B68399">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22D6DE56">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DD5C85A">
            <w:pPr>
              <w:widowControl w:val="0"/>
              <w:spacing w:line="276" w:lineRule="auto"/>
              <w:jc w:val="center"/>
              <w:rPr>
                <w:rFonts w:ascii="宋体" w:hAnsi="宋体" w:eastAsia="宋体"/>
                <w:szCs w:val="21"/>
              </w:rPr>
            </w:pPr>
            <w:r>
              <w:rPr>
                <w:rFonts w:hint="eastAsia" w:ascii="宋体" w:hAnsi="宋体" w:eastAsia="宋体"/>
                <w:szCs w:val="21"/>
              </w:rPr>
              <w:t>套</w:t>
            </w:r>
          </w:p>
        </w:tc>
      </w:tr>
      <w:tr w14:paraId="54D3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18B79D3">
            <w:pPr>
              <w:widowControl w:val="0"/>
              <w:spacing w:line="276" w:lineRule="auto"/>
              <w:jc w:val="center"/>
              <w:rPr>
                <w:rFonts w:ascii="宋体" w:hAnsi="宋体" w:eastAsia="宋体"/>
                <w:szCs w:val="21"/>
              </w:rPr>
            </w:pPr>
            <w:r>
              <w:rPr>
                <w:rFonts w:ascii="宋体" w:hAnsi="宋体" w:eastAsia="宋体"/>
                <w:szCs w:val="21"/>
              </w:rPr>
              <w:t>40</w:t>
            </w:r>
          </w:p>
        </w:tc>
        <w:tc>
          <w:tcPr>
            <w:tcW w:w="2001" w:type="dxa"/>
            <w:vAlign w:val="center"/>
          </w:tcPr>
          <w:p w14:paraId="05DCF264">
            <w:pPr>
              <w:widowControl w:val="0"/>
              <w:spacing w:line="276" w:lineRule="auto"/>
              <w:jc w:val="center"/>
              <w:rPr>
                <w:rFonts w:ascii="宋体" w:hAnsi="宋体" w:eastAsia="宋体"/>
                <w:szCs w:val="21"/>
              </w:rPr>
            </w:pPr>
            <w:r>
              <w:rPr>
                <w:rFonts w:hint="eastAsia" w:ascii="宋体" w:hAnsi="宋体" w:eastAsia="宋体"/>
                <w:szCs w:val="21"/>
              </w:rPr>
              <w:t>系统软件</w:t>
            </w:r>
          </w:p>
        </w:tc>
        <w:tc>
          <w:tcPr>
            <w:tcW w:w="4576" w:type="dxa"/>
            <w:vAlign w:val="center"/>
          </w:tcPr>
          <w:p w14:paraId="2D2DF030">
            <w:pPr>
              <w:widowControl w:val="0"/>
              <w:spacing w:line="276" w:lineRule="auto"/>
              <w:jc w:val="both"/>
              <w:rPr>
                <w:rFonts w:hint="eastAsia" w:ascii="宋体" w:hAnsi="宋体" w:eastAsia="宋体"/>
                <w:szCs w:val="21"/>
              </w:rPr>
            </w:pPr>
            <w:r>
              <w:rPr>
                <w:rFonts w:hint="eastAsia" w:ascii="宋体" w:hAnsi="宋体" w:eastAsia="宋体"/>
                <w:szCs w:val="21"/>
              </w:rPr>
              <w:t>服务器软件、工作站软件、数据库管理系统、开发及维护软件、网络管理软件、防病毒软件等，需提供实现相关功能的证明材料。</w:t>
            </w:r>
          </w:p>
          <w:p w14:paraId="7D455295">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EAEF7C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6431F70">
            <w:pPr>
              <w:widowControl w:val="0"/>
              <w:spacing w:line="276" w:lineRule="auto"/>
              <w:jc w:val="center"/>
              <w:rPr>
                <w:rFonts w:ascii="宋体" w:hAnsi="宋体" w:eastAsia="宋体"/>
                <w:szCs w:val="21"/>
              </w:rPr>
            </w:pPr>
            <w:r>
              <w:rPr>
                <w:rFonts w:hint="eastAsia" w:ascii="宋体" w:hAnsi="宋体" w:eastAsia="宋体"/>
                <w:szCs w:val="21"/>
              </w:rPr>
              <w:t>套</w:t>
            </w:r>
          </w:p>
        </w:tc>
      </w:tr>
      <w:tr w14:paraId="63AC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52ADD3F">
            <w:pPr>
              <w:widowControl w:val="0"/>
              <w:spacing w:line="276" w:lineRule="auto"/>
              <w:jc w:val="center"/>
              <w:rPr>
                <w:rFonts w:ascii="宋体" w:hAnsi="宋体" w:eastAsia="宋体"/>
                <w:szCs w:val="21"/>
              </w:rPr>
            </w:pPr>
            <w:r>
              <w:rPr>
                <w:rFonts w:ascii="宋体" w:hAnsi="宋体" w:eastAsia="宋体"/>
                <w:szCs w:val="21"/>
              </w:rPr>
              <w:t>41</w:t>
            </w:r>
          </w:p>
        </w:tc>
        <w:tc>
          <w:tcPr>
            <w:tcW w:w="2001" w:type="dxa"/>
            <w:vAlign w:val="center"/>
          </w:tcPr>
          <w:p w14:paraId="7D9118FA">
            <w:pPr>
              <w:widowControl w:val="0"/>
              <w:spacing w:line="276" w:lineRule="auto"/>
              <w:jc w:val="center"/>
              <w:rPr>
                <w:rFonts w:ascii="宋体" w:hAnsi="宋体" w:eastAsia="宋体"/>
                <w:szCs w:val="21"/>
              </w:rPr>
            </w:pPr>
            <w:r>
              <w:rPr>
                <w:rFonts w:hint="eastAsia" w:ascii="宋体" w:hAnsi="宋体" w:eastAsia="宋体"/>
                <w:szCs w:val="21"/>
              </w:rPr>
              <w:t>平整度采集单元</w:t>
            </w:r>
          </w:p>
        </w:tc>
        <w:tc>
          <w:tcPr>
            <w:tcW w:w="4576" w:type="dxa"/>
            <w:vAlign w:val="center"/>
          </w:tcPr>
          <w:p w14:paraId="77AE9C3E">
            <w:pPr>
              <w:widowControl w:val="0"/>
              <w:spacing w:line="276" w:lineRule="auto"/>
              <w:jc w:val="both"/>
              <w:rPr>
                <w:rFonts w:ascii="宋体" w:hAnsi="宋体" w:eastAsia="宋体"/>
                <w:szCs w:val="21"/>
              </w:rPr>
            </w:pPr>
            <w:r>
              <w:rPr>
                <w:rFonts w:hint="eastAsia" w:ascii="宋体" w:hAnsi="宋体" w:eastAsia="宋体"/>
                <w:szCs w:val="21"/>
              </w:rPr>
              <w:t>（1）主控模块</w:t>
            </w:r>
            <w:r>
              <w:rPr>
                <w:rFonts w:hint="eastAsia" w:ascii="宋体" w:hAnsi="宋体" w:eastAsia="宋体"/>
                <w:szCs w:val="21"/>
              </w:rPr>
              <w:br w:type="textWrapping"/>
            </w:r>
            <w:r>
              <w:rPr>
                <w:rFonts w:hint="eastAsia" w:ascii="宋体" w:hAnsi="宋体" w:eastAsia="宋体"/>
                <w:szCs w:val="21"/>
              </w:rPr>
              <w:t>1、GNSS定位精度：≤1米</w:t>
            </w:r>
            <w:r>
              <w:rPr>
                <w:rFonts w:hint="eastAsia" w:ascii="宋体" w:hAnsi="宋体" w:eastAsia="宋体"/>
                <w:szCs w:val="21"/>
              </w:rPr>
              <w:br w:type="textWrapping"/>
            </w:r>
            <w:r>
              <w:rPr>
                <w:rFonts w:hint="eastAsia" w:ascii="宋体" w:hAnsi="宋体" w:eastAsia="宋体"/>
                <w:szCs w:val="21"/>
              </w:rPr>
              <w:t>2、里程计测量误差：≤0.05%</w:t>
            </w:r>
            <w:r>
              <w:rPr>
                <w:rFonts w:hint="eastAsia" w:ascii="宋体" w:hAnsi="宋体" w:eastAsia="宋体"/>
                <w:szCs w:val="21"/>
              </w:rPr>
              <w:br w:type="textWrapping"/>
            </w:r>
            <w:r>
              <w:rPr>
                <w:rFonts w:hint="eastAsia" w:ascii="宋体" w:hAnsi="宋体" w:eastAsia="宋体"/>
                <w:szCs w:val="21"/>
              </w:rPr>
              <w:t>3、检测时速：0～80 公里/小时</w:t>
            </w:r>
            <w:r>
              <w:rPr>
                <w:rFonts w:hint="eastAsia" w:ascii="宋体" w:hAnsi="宋体" w:eastAsia="宋体"/>
                <w:szCs w:val="21"/>
              </w:rPr>
              <w:br w:type="textWrapping"/>
            </w:r>
            <w:r>
              <w:rPr>
                <w:rFonts w:hint="eastAsia" w:ascii="宋体" w:hAnsi="宋体" w:eastAsia="宋体"/>
                <w:szCs w:val="21"/>
              </w:rPr>
              <w:t>4、环境温度：-20℃～50℃</w:t>
            </w:r>
            <w:r>
              <w:rPr>
                <w:rFonts w:hint="eastAsia" w:ascii="宋体" w:hAnsi="宋体" w:eastAsia="宋体"/>
                <w:szCs w:val="21"/>
              </w:rPr>
              <w:br w:type="textWrapping"/>
            </w:r>
            <w:r>
              <w:rPr>
                <w:rFonts w:hint="eastAsia" w:ascii="宋体" w:hAnsi="宋体" w:eastAsia="宋体"/>
                <w:szCs w:val="21"/>
              </w:rPr>
              <w:t>5、报表输出间隔：10 米间隔，可自行设置</w:t>
            </w:r>
            <w:r>
              <w:rPr>
                <w:rFonts w:hint="eastAsia" w:ascii="宋体" w:hAnsi="宋体" w:eastAsia="宋体"/>
                <w:szCs w:val="21"/>
              </w:rPr>
              <w:br w:type="textWrapping"/>
            </w:r>
            <w:r>
              <w:rPr>
                <w:rFonts w:hint="eastAsia" w:ascii="宋体" w:hAnsi="宋体" w:eastAsia="宋体"/>
                <w:szCs w:val="21"/>
              </w:rPr>
              <w:t>（2）平整度</w:t>
            </w:r>
            <w:r>
              <w:rPr>
                <w:rFonts w:hint="eastAsia" w:ascii="宋体" w:hAnsi="宋体" w:eastAsia="宋体"/>
                <w:szCs w:val="21"/>
              </w:rPr>
              <w:br w:type="textWrapping"/>
            </w:r>
            <w:r>
              <w:rPr>
                <w:rFonts w:hint="eastAsia" w:ascii="宋体" w:hAnsi="宋体" w:eastAsia="宋体"/>
                <w:szCs w:val="21"/>
              </w:rPr>
              <w:t>1、相关性：≥95%</w:t>
            </w:r>
            <w:r>
              <w:rPr>
                <w:rFonts w:hint="eastAsia" w:ascii="宋体" w:hAnsi="宋体" w:eastAsia="宋体"/>
                <w:szCs w:val="21"/>
              </w:rPr>
              <w:br w:type="textWrapping"/>
            </w:r>
            <w:r>
              <w:rPr>
                <w:rFonts w:hint="eastAsia" w:ascii="宋体" w:hAnsi="宋体" w:eastAsia="宋体"/>
                <w:szCs w:val="21"/>
              </w:rPr>
              <w:t>2、重复性：≥95%</w:t>
            </w:r>
            <w:r>
              <w:rPr>
                <w:rFonts w:hint="eastAsia" w:ascii="宋体" w:hAnsi="宋体" w:eastAsia="宋体"/>
                <w:szCs w:val="21"/>
              </w:rPr>
              <w:br w:type="textWrapping"/>
            </w:r>
            <w:r>
              <w:rPr>
                <w:rFonts w:hint="eastAsia" w:ascii="宋体" w:hAnsi="宋体" w:eastAsia="宋体"/>
                <w:szCs w:val="21"/>
              </w:rPr>
              <w:t>3、测量误差：≤5%</w:t>
            </w:r>
            <w:r>
              <w:rPr>
                <w:rFonts w:hint="eastAsia" w:ascii="宋体" w:hAnsi="宋体" w:eastAsia="宋体"/>
                <w:szCs w:val="21"/>
              </w:rPr>
              <w:br w:type="textWrapping"/>
            </w:r>
            <w:r>
              <w:rPr>
                <w:rFonts w:hint="eastAsia" w:ascii="宋体" w:hAnsi="宋体" w:eastAsia="宋体"/>
                <w:szCs w:val="21"/>
              </w:rPr>
              <w:t>4、防护等级：IP65</w:t>
            </w:r>
            <w:r>
              <w:rPr>
                <w:rFonts w:hint="eastAsia" w:ascii="宋体" w:hAnsi="宋体" w:eastAsia="宋体"/>
                <w:szCs w:val="21"/>
              </w:rPr>
              <w:br w:type="textWrapping"/>
            </w:r>
            <w:r>
              <w:rPr>
                <w:rFonts w:hint="eastAsia" w:ascii="宋体" w:hAnsi="宋体" w:eastAsia="宋体"/>
                <w:szCs w:val="21"/>
              </w:rPr>
              <w:t>（3）激光传感器</w:t>
            </w:r>
            <w:r>
              <w:rPr>
                <w:rFonts w:hint="eastAsia" w:ascii="宋体" w:hAnsi="宋体" w:eastAsia="宋体"/>
                <w:szCs w:val="21"/>
              </w:rPr>
              <w:br w:type="textWrapping"/>
            </w:r>
            <w:r>
              <w:rPr>
                <w:rFonts w:hint="eastAsia" w:ascii="宋体" w:hAnsi="宋体" w:eastAsia="宋体"/>
                <w:szCs w:val="21"/>
              </w:rPr>
              <w:t>1、采样频率：5kHz</w:t>
            </w:r>
            <w:r>
              <w:rPr>
                <w:rFonts w:hint="eastAsia" w:ascii="宋体" w:hAnsi="宋体" w:eastAsia="宋体"/>
                <w:szCs w:val="21"/>
              </w:rPr>
              <w:br w:type="textWrapping"/>
            </w:r>
            <w:r>
              <w:rPr>
                <w:rFonts w:hint="eastAsia" w:ascii="宋体" w:hAnsi="宋体" w:eastAsia="宋体"/>
                <w:szCs w:val="21"/>
              </w:rPr>
              <w:t>2、采样间隔：≤100 毫米</w:t>
            </w:r>
            <w:r>
              <w:rPr>
                <w:rFonts w:hint="eastAsia" w:ascii="宋体" w:hAnsi="宋体" w:eastAsia="宋体"/>
                <w:szCs w:val="21"/>
              </w:rPr>
              <w:br w:type="textWrapping"/>
            </w:r>
            <w:r>
              <w:rPr>
                <w:rFonts w:hint="eastAsia" w:ascii="宋体" w:hAnsi="宋体" w:eastAsia="宋体"/>
                <w:szCs w:val="21"/>
              </w:rPr>
              <w:t>（4）加速度传感器</w:t>
            </w:r>
            <w:r>
              <w:rPr>
                <w:rFonts w:hint="eastAsia" w:ascii="宋体" w:hAnsi="宋体" w:eastAsia="宋体"/>
                <w:szCs w:val="21"/>
              </w:rPr>
              <w:br w:type="textWrapping"/>
            </w:r>
            <w:r>
              <w:rPr>
                <w:rFonts w:hint="eastAsia" w:ascii="宋体" w:hAnsi="宋体" w:eastAsia="宋体"/>
                <w:szCs w:val="21"/>
              </w:rPr>
              <w:t>1、测量范围：±20g</w:t>
            </w:r>
            <w:r>
              <w:rPr>
                <w:rFonts w:hint="eastAsia" w:ascii="宋体" w:hAnsi="宋体" w:eastAsia="宋体"/>
                <w:szCs w:val="21"/>
              </w:rPr>
              <w:br w:type="textWrapping"/>
            </w:r>
            <w:r>
              <w:rPr>
                <w:rFonts w:hint="eastAsia" w:ascii="宋体" w:hAnsi="宋体" w:eastAsia="宋体"/>
                <w:szCs w:val="21"/>
              </w:rPr>
              <w:t>2、频率响应：&gt;300Hz</w:t>
            </w:r>
            <w:r>
              <w:rPr>
                <w:rFonts w:hint="eastAsia" w:ascii="宋体" w:hAnsi="宋体" w:eastAsia="宋体"/>
                <w:szCs w:val="21"/>
              </w:rPr>
              <w:br w:type="textWrapping"/>
            </w:r>
            <w:r>
              <w:rPr>
                <w:rFonts w:hint="eastAsia" w:ascii="宋体" w:hAnsi="宋体" w:eastAsia="宋体"/>
                <w:szCs w:val="21"/>
              </w:rPr>
              <w:t>3、检测速度影响误差：≤5%</w:t>
            </w:r>
            <w:r>
              <w:rPr>
                <w:rFonts w:hint="eastAsia" w:ascii="宋体" w:hAnsi="宋体" w:eastAsia="宋体"/>
                <w:szCs w:val="21"/>
              </w:rPr>
              <w:br w:type="textWrapping"/>
            </w:r>
            <w:r>
              <w:rPr>
                <w:rFonts w:hint="eastAsia" w:ascii="宋体" w:hAnsi="宋体" w:eastAsia="宋体"/>
                <w:szCs w:val="21"/>
              </w:rPr>
              <w:t>4、纵向距离传感器示值相对误差：不大于0.05%。其他详见设计图纸及规范要求。</w:t>
            </w:r>
          </w:p>
        </w:tc>
        <w:tc>
          <w:tcPr>
            <w:tcW w:w="960" w:type="dxa"/>
            <w:vAlign w:val="center"/>
          </w:tcPr>
          <w:p w14:paraId="74D6850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6CDEB1F">
            <w:pPr>
              <w:widowControl w:val="0"/>
              <w:spacing w:line="276" w:lineRule="auto"/>
              <w:jc w:val="center"/>
              <w:rPr>
                <w:rFonts w:ascii="宋体" w:hAnsi="宋体" w:eastAsia="宋体"/>
                <w:szCs w:val="21"/>
              </w:rPr>
            </w:pPr>
            <w:r>
              <w:rPr>
                <w:rFonts w:hint="eastAsia" w:ascii="宋体" w:hAnsi="宋体" w:eastAsia="宋体"/>
                <w:szCs w:val="21"/>
              </w:rPr>
              <w:t>套</w:t>
            </w:r>
          </w:p>
        </w:tc>
      </w:tr>
      <w:tr w14:paraId="6FA1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0B8AB25">
            <w:pPr>
              <w:widowControl w:val="0"/>
              <w:spacing w:line="276" w:lineRule="auto"/>
              <w:jc w:val="center"/>
              <w:rPr>
                <w:rFonts w:ascii="宋体" w:hAnsi="宋体" w:eastAsia="宋体"/>
                <w:szCs w:val="21"/>
              </w:rPr>
            </w:pPr>
            <w:r>
              <w:rPr>
                <w:rFonts w:ascii="宋体" w:hAnsi="宋体" w:eastAsia="宋体"/>
                <w:szCs w:val="21"/>
              </w:rPr>
              <w:t>42</w:t>
            </w:r>
          </w:p>
        </w:tc>
        <w:tc>
          <w:tcPr>
            <w:tcW w:w="2001" w:type="dxa"/>
            <w:vAlign w:val="center"/>
          </w:tcPr>
          <w:p w14:paraId="57077C41">
            <w:pPr>
              <w:widowControl w:val="0"/>
              <w:spacing w:line="276" w:lineRule="auto"/>
              <w:jc w:val="center"/>
              <w:rPr>
                <w:rFonts w:ascii="宋体" w:hAnsi="宋体" w:eastAsia="宋体"/>
                <w:szCs w:val="21"/>
              </w:rPr>
            </w:pPr>
            <w:r>
              <w:rPr>
                <w:rFonts w:hint="eastAsia" w:ascii="宋体" w:hAnsi="宋体" w:eastAsia="宋体"/>
                <w:szCs w:val="21"/>
              </w:rPr>
              <w:t>前视摄像机</w:t>
            </w:r>
          </w:p>
        </w:tc>
        <w:tc>
          <w:tcPr>
            <w:tcW w:w="4576" w:type="dxa"/>
            <w:vAlign w:val="center"/>
          </w:tcPr>
          <w:p w14:paraId="1800D88D">
            <w:pPr>
              <w:widowControl w:val="0"/>
              <w:numPr>
                <w:ilvl w:val="0"/>
                <w:numId w:val="5"/>
              </w:numPr>
              <w:spacing w:line="276" w:lineRule="auto"/>
              <w:jc w:val="both"/>
              <w:rPr>
                <w:rFonts w:hint="eastAsia" w:ascii="宋体" w:hAnsi="宋体" w:eastAsia="宋体"/>
                <w:szCs w:val="21"/>
              </w:rPr>
            </w:pPr>
            <w:r>
              <w:rPr>
                <w:rFonts w:hint="eastAsia" w:ascii="宋体" w:hAnsi="宋体" w:eastAsia="宋体"/>
                <w:szCs w:val="21"/>
              </w:rPr>
              <w:t>传感器类型：1/1.8"ProgressiveScanCMOS；</w:t>
            </w:r>
            <w:r>
              <w:rPr>
                <w:rFonts w:hint="eastAsia" w:ascii="宋体" w:hAnsi="宋体" w:eastAsia="宋体"/>
                <w:szCs w:val="21"/>
              </w:rPr>
              <w:br w:type="page"/>
            </w:r>
            <w:r>
              <w:rPr>
                <w:rFonts w:hint="eastAsia" w:ascii="宋体" w:hAnsi="宋体" w:eastAsia="宋体"/>
                <w:szCs w:val="21"/>
              </w:rPr>
              <w:t>2、最低照度：彩色为0.002lux@（F1.2，AGCon），支持0luxwithlight（补光开启时）；</w:t>
            </w:r>
            <w:r>
              <w:rPr>
                <w:rFonts w:hint="eastAsia" w:ascii="宋体" w:hAnsi="宋体" w:eastAsia="宋体"/>
                <w:szCs w:val="21"/>
              </w:rPr>
              <w:br w:type="page"/>
            </w:r>
            <w:r>
              <w:rPr>
                <w:rFonts w:hint="eastAsia" w:ascii="宋体" w:hAnsi="宋体" w:eastAsia="宋体"/>
                <w:szCs w:val="21"/>
              </w:rPr>
              <w:t>3、快门：1/3s~1/100，000s</w:t>
            </w:r>
            <w:r>
              <w:rPr>
                <w:rFonts w:hint="eastAsia" w:ascii="宋体" w:hAnsi="宋体" w:eastAsia="宋体"/>
                <w:szCs w:val="21"/>
              </w:rPr>
              <w:br w:type="page"/>
            </w:r>
            <w:r>
              <w:rPr>
                <w:rFonts w:hint="eastAsia" w:ascii="宋体" w:hAnsi="宋体" w:eastAsia="宋体"/>
                <w:szCs w:val="21"/>
              </w:rPr>
              <w:t>；4、宽动态：120dB，能在光线对比强烈的环境中清晰成像；</w:t>
            </w:r>
            <w:r>
              <w:rPr>
                <w:rFonts w:hint="eastAsia" w:ascii="宋体" w:hAnsi="宋体" w:eastAsia="宋体"/>
                <w:szCs w:val="21"/>
              </w:rPr>
              <w:br w:type="page"/>
            </w:r>
            <w:r>
              <w:rPr>
                <w:rFonts w:hint="eastAsia" w:ascii="宋体" w:hAnsi="宋体" w:eastAsia="宋体"/>
                <w:szCs w:val="21"/>
              </w:rPr>
              <w:t>5、焦距＆视场角：4 毫米（水平视场角：79°，垂直视场角：43.3°，对角视场角：</w:t>
            </w:r>
            <w:r>
              <w:rPr>
                <w:rFonts w:hint="eastAsia" w:ascii="宋体" w:hAnsi="宋体" w:eastAsia="宋体"/>
                <w:szCs w:val="21"/>
              </w:rPr>
              <w:br w:type="page"/>
            </w:r>
            <w:r>
              <w:rPr>
                <w:rFonts w:hint="eastAsia" w:ascii="宋体" w:hAnsi="宋体" w:eastAsia="宋体"/>
                <w:szCs w:val="21"/>
              </w:rPr>
              <w:t>92°）</w:t>
            </w:r>
            <w:r>
              <w:rPr>
                <w:rFonts w:hint="eastAsia" w:ascii="宋体" w:hAnsi="宋体" w:eastAsia="宋体"/>
                <w:szCs w:val="21"/>
              </w:rPr>
              <w:br w:type="page"/>
            </w:r>
            <w:r>
              <w:rPr>
                <w:rFonts w:hint="eastAsia" w:ascii="宋体" w:hAnsi="宋体" w:eastAsia="宋体"/>
                <w:szCs w:val="21"/>
              </w:rPr>
              <w:t>；6、最大光圈数：F1.6</w:t>
            </w:r>
            <w:r>
              <w:rPr>
                <w:rFonts w:hint="eastAsia" w:ascii="宋体" w:hAnsi="宋体" w:eastAsia="宋体"/>
                <w:szCs w:val="21"/>
              </w:rPr>
              <w:br w:type="page"/>
            </w:r>
            <w:r>
              <w:rPr>
                <w:rFonts w:hint="eastAsia" w:ascii="宋体" w:hAnsi="宋体" w:eastAsia="宋体"/>
                <w:szCs w:val="21"/>
              </w:rPr>
              <w:t>；7、补光灯类型：红外、白光；</w:t>
            </w:r>
            <w:r>
              <w:rPr>
                <w:rFonts w:hint="eastAsia" w:ascii="宋体" w:hAnsi="宋体" w:eastAsia="宋体"/>
                <w:szCs w:val="21"/>
              </w:rPr>
              <w:br w:type="page"/>
            </w:r>
            <w:r>
              <w:rPr>
                <w:rFonts w:hint="eastAsia" w:ascii="宋体" w:hAnsi="宋体" w:eastAsia="宋体"/>
                <w:szCs w:val="21"/>
              </w:rPr>
              <w:t>8、补光距离：红外光最远可达50 米，白光最远可达30 米；</w:t>
            </w:r>
            <w:r>
              <w:rPr>
                <w:rFonts w:hint="eastAsia" w:ascii="宋体" w:hAnsi="宋体" w:eastAsia="宋体"/>
                <w:szCs w:val="21"/>
              </w:rPr>
              <w:br w:type="page"/>
            </w:r>
            <w:r>
              <w:rPr>
                <w:rFonts w:hint="eastAsia" w:ascii="宋体" w:hAnsi="宋体" w:eastAsia="宋体"/>
                <w:szCs w:val="21"/>
              </w:rPr>
              <w:t>9、防补光过曝：支持，可避免补光过强导致画面过曝；</w:t>
            </w:r>
            <w:r>
              <w:rPr>
                <w:rFonts w:hint="eastAsia" w:ascii="宋体" w:hAnsi="宋体" w:eastAsia="宋体"/>
                <w:szCs w:val="21"/>
              </w:rPr>
              <w:br w:type="page"/>
            </w:r>
            <w:r>
              <w:rPr>
                <w:rFonts w:hint="eastAsia" w:ascii="宋体" w:hAnsi="宋体" w:eastAsia="宋体"/>
                <w:szCs w:val="21"/>
              </w:rPr>
              <w:t>10、红外波长范围：850nm；</w:t>
            </w:r>
            <w:r>
              <w:rPr>
                <w:rFonts w:hint="eastAsia" w:ascii="宋体" w:hAnsi="宋体" w:eastAsia="宋体"/>
                <w:szCs w:val="21"/>
              </w:rPr>
              <w:br w:type="page"/>
            </w:r>
            <w:r>
              <w:rPr>
                <w:rFonts w:hint="eastAsia" w:ascii="宋体" w:hAnsi="宋体" w:eastAsia="宋体"/>
                <w:szCs w:val="21"/>
              </w:rPr>
              <w:t>11、 最大图像尺寸：3840×2160，可呈现超高清画质；</w:t>
            </w:r>
            <w:r>
              <w:rPr>
                <w:rFonts w:hint="eastAsia" w:ascii="宋体" w:hAnsi="宋体" w:eastAsia="宋体"/>
                <w:szCs w:val="21"/>
              </w:rPr>
              <w:br w:type="page"/>
            </w:r>
            <w:r>
              <w:rPr>
                <w:rFonts w:hint="eastAsia" w:ascii="宋体" w:hAnsi="宋体" w:eastAsia="宋体"/>
                <w:szCs w:val="21"/>
              </w:rPr>
              <w:t>12、主码流帧率分辨率：50Hz 时为20fps（3840×2160，3200×1800，2688×1520，</w:t>
            </w:r>
            <w:r>
              <w:rPr>
                <w:rFonts w:hint="eastAsia" w:ascii="宋体" w:hAnsi="宋体" w:eastAsia="宋体"/>
                <w:szCs w:val="21"/>
              </w:rPr>
              <w:br w:type="page"/>
            </w:r>
            <w:r>
              <w:rPr>
                <w:rFonts w:hint="eastAsia" w:ascii="宋体" w:hAnsi="宋体" w:eastAsia="宋体"/>
                <w:szCs w:val="21"/>
              </w:rPr>
              <w:t>1920×1080，1280×720）；</w:t>
            </w:r>
            <w:r>
              <w:rPr>
                <w:rFonts w:hint="eastAsia" w:ascii="宋体" w:hAnsi="宋体" w:eastAsia="宋体"/>
                <w:szCs w:val="21"/>
              </w:rPr>
              <w:br w:type="page"/>
            </w:r>
            <w:r>
              <w:rPr>
                <w:rFonts w:hint="eastAsia" w:ascii="宋体" w:hAnsi="宋体" w:eastAsia="宋体"/>
                <w:szCs w:val="21"/>
              </w:rPr>
              <w:t>13、子码流帧率分辨率：50Hz时为20fps（1280×720，640×480，640×360）</w:t>
            </w:r>
            <w:r>
              <w:rPr>
                <w:rFonts w:hint="eastAsia" w:ascii="宋体" w:hAnsi="宋体" w:eastAsia="宋体"/>
                <w:szCs w:val="21"/>
              </w:rPr>
              <w:br w:type="page"/>
            </w:r>
            <w:r>
              <w:rPr>
                <w:rFonts w:hint="eastAsia" w:ascii="宋体" w:hAnsi="宋体" w:eastAsia="宋体"/>
                <w:szCs w:val="21"/>
              </w:rPr>
              <w:t>；14、视频压缩标准：主码流为H.265/H.264，子码流为H.265/H.264/MJPEG；</w:t>
            </w:r>
            <w:r>
              <w:rPr>
                <w:rFonts w:hint="eastAsia" w:ascii="宋体" w:hAnsi="宋体" w:eastAsia="宋体"/>
                <w:szCs w:val="21"/>
              </w:rPr>
              <w:br w:type="page"/>
            </w:r>
            <w:r>
              <w:rPr>
                <w:rFonts w:hint="eastAsia" w:ascii="宋体" w:hAnsi="宋体" w:eastAsia="宋体"/>
                <w:szCs w:val="21"/>
              </w:rPr>
              <w:t>15、启动和工作温湿度：-30℃~60℃，湿度小于95%（无凝结）；</w:t>
            </w:r>
            <w:r>
              <w:rPr>
                <w:rFonts w:hint="eastAsia" w:ascii="宋体" w:hAnsi="宋体" w:eastAsia="宋体"/>
                <w:szCs w:val="21"/>
              </w:rPr>
              <w:br w:type="page"/>
            </w:r>
            <w:r>
              <w:rPr>
                <w:rFonts w:hint="eastAsia" w:ascii="宋体" w:hAnsi="宋体" w:eastAsia="宋体"/>
                <w:szCs w:val="21"/>
              </w:rPr>
              <w:t>16、电流及功耗：DC 为12V，1.0A，最大功耗：12.0W</w:t>
            </w:r>
            <w:r>
              <w:rPr>
                <w:rFonts w:hint="eastAsia" w:ascii="宋体" w:hAnsi="宋体" w:eastAsia="宋体"/>
                <w:szCs w:val="21"/>
              </w:rPr>
              <w:br w:type="page"/>
            </w:r>
            <w:r>
              <w:rPr>
                <w:rFonts w:hint="eastAsia" w:ascii="宋体" w:hAnsi="宋体" w:eastAsia="宋体"/>
                <w:szCs w:val="21"/>
              </w:rPr>
              <w:t>；17、供电方式：DC 为12V±25%，支持防反接保护。</w:t>
            </w:r>
          </w:p>
          <w:p w14:paraId="77088592">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208406A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82605B1">
            <w:pPr>
              <w:widowControl w:val="0"/>
              <w:spacing w:line="276" w:lineRule="auto"/>
              <w:jc w:val="center"/>
              <w:rPr>
                <w:rFonts w:ascii="宋体" w:hAnsi="宋体" w:eastAsia="宋体"/>
                <w:szCs w:val="21"/>
              </w:rPr>
            </w:pPr>
            <w:r>
              <w:rPr>
                <w:rFonts w:hint="eastAsia" w:ascii="宋体" w:hAnsi="宋体" w:eastAsia="宋体"/>
                <w:szCs w:val="21"/>
              </w:rPr>
              <w:t>套</w:t>
            </w:r>
          </w:p>
        </w:tc>
      </w:tr>
      <w:tr w14:paraId="7900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3D6AE17">
            <w:pPr>
              <w:widowControl w:val="0"/>
              <w:spacing w:line="276" w:lineRule="auto"/>
              <w:jc w:val="center"/>
              <w:rPr>
                <w:rFonts w:ascii="宋体" w:hAnsi="宋体" w:eastAsia="宋体"/>
                <w:szCs w:val="21"/>
              </w:rPr>
            </w:pPr>
            <w:r>
              <w:rPr>
                <w:rFonts w:ascii="宋体" w:hAnsi="宋体" w:eastAsia="宋体"/>
                <w:szCs w:val="21"/>
              </w:rPr>
              <w:t>43</w:t>
            </w:r>
          </w:p>
        </w:tc>
        <w:tc>
          <w:tcPr>
            <w:tcW w:w="2001" w:type="dxa"/>
            <w:vAlign w:val="center"/>
          </w:tcPr>
          <w:p w14:paraId="44A122A8">
            <w:pPr>
              <w:widowControl w:val="0"/>
              <w:spacing w:line="276" w:lineRule="auto"/>
              <w:jc w:val="center"/>
              <w:rPr>
                <w:rFonts w:ascii="宋体" w:hAnsi="宋体" w:eastAsia="宋体"/>
                <w:szCs w:val="21"/>
              </w:rPr>
            </w:pPr>
            <w:r>
              <w:rPr>
                <w:rFonts w:hint="eastAsia" w:ascii="宋体" w:hAnsi="宋体" w:eastAsia="宋体"/>
                <w:szCs w:val="21"/>
              </w:rPr>
              <w:t>后视摄像机</w:t>
            </w:r>
          </w:p>
        </w:tc>
        <w:tc>
          <w:tcPr>
            <w:tcW w:w="4576" w:type="dxa"/>
            <w:vAlign w:val="center"/>
          </w:tcPr>
          <w:p w14:paraId="704D3A4B">
            <w:pPr>
              <w:widowControl w:val="0"/>
              <w:numPr>
                <w:ilvl w:val="0"/>
                <w:numId w:val="6"/>
              </w:numPr>
              <w:spacing w:line="276" w:lineRule="auto"/>
              <w:jc w:val="both"/>
              <w:rPr>
                <w:rFonts w:hint="eastAsia" w:ascii="宋体" w:hAnsi="宋体" w:eastAsia="宋体"/>
                <w:szCs w:val="21"/>
              </w:rPr>
            </w:pPr>
            <w:r>
              <w:rPr>
                <w:rFonts w:hint="eastAsia" w:ascii="宋体" w:hAnsi="宋体" w:eastAsia="宋体"/>
                <w:szCs w:val="21"/>
              </w:rPr>
              <w:t>传感器类型：1/1.8"ProgressiveScanCMOS；</w:t>
            </w:r>
            <w:r>
              <w:rPr>
                <w:rFonts w:hint="eastAsia" w:ascii="宋体" w:hAnsi="宋体" w:eastAsia="宋体"/>
                <w:szCs w:val="21"/>
              </w:rPr>
              <w:br w:type="textWrapping"/>
            </w:r>
            <w:r>
              <w:rPr>
                <w:rFonts w:hint="eastAsia" w:ascii="宋体" w:hAnsi="宋体" w:eastAsia="宋体"/>
                <w:szCs w:val="21"/>
              </w:rPr>
              <w:t>2、最低照度：彩色为0.002lux@（F1.2，AGCon），支持0luxwithlight（补光开启时）；</w:t>
            </w:r>
            <w:r>
              <w:rPr>
                <w:rFonts w:hint="eastAsia" w:ascii="宋体" w:hAnsi="宋体" w:eastAsia="宋体"/>
                <w:szCs w:val="21"/>
              </w:rPr>
              <w:br w:type="textWrapping"/>
            </w:r>
            <w:r>
              <w:rPr>
                <w:rFonts w:hint="eastAsia" w:ascii="宋体" w:hAnsi="宋体" w:eastAsia="宋体"/>
                <w:szCs w:val="21"/>
              </w:rPr>
              <w:t>3、快门：1/3s~1/100，000s；</w:t>
            </w:r>
            <w:r>
              <w:rPr>
                <w:rFonts w:hint="eastAsia" w:ascii="宋体" w:hAnsi="宋体" w:eastAsia="宋体"/>
                <w:szCs w:val="21"/>
              </w:rPr>
              <w:br w:type="textWrapping"/>
            </w:r>
            <w:r>
              <w:rPr>
                <w:rFonts w:hint="eastAsia" w:ascii="宋体" w:hAnsi="宋体" w:eastAsia="宋体"/>
                <w:szCs w:val="21"/>
              </w:rPr>
              <w:t>4、宽动态：120dB，能在光线对比强烈的环境中清晰成像；</w:t>
            </w:r>
            <w:r>
              <w:rPr>
                <w:rFonts w:hint="eastAsia" w:ascii="宋体" w:hAnsi="宋体" w:eastAsia="宋体"/>
                <w:szCs w:val="21"/>
              </w:rPr>
              <w:br w:type="textWrapping"/>
            </w:r>
            <w:r>
              <w:rPr>
                <w:rFonts w:hint="eastAsia" w:ascii="宋体" w:hAnsi="宋体" w:eastAsia="宋体"/>
                <w:szCs w:val="21"/>
              </w:rPr>
              <w:t>5、焦距＆视场角：2.8 毫米（水平视场角：102.2°，垂直视场角：55.1°，对角视场角：120.2°）</w:t>
            </w:r>
            <w:r>
              <w:rPr>
                <w:rFonts w:hint="eastAsia" w:ascii="宋体" w:hAnsi="宋体" w:eastAsia="宋体"/>
                <w:szCs w:val="21"/>
              </w:rPr>
              <w:br w:type="textWrapping"/>
            </w:r>
            <w:r>
              <w:rPr>
                <w:rFonts w:hint="eastAsia" w:ascii="宋体" w:hAnsi="宋体" w:eastAsia="宋体"/>
                <w:szCs w:val="21"/>
              </w:rPr>
              <w:t>6、补光灯类型：红外、白光；</w:t>
            </w:r>
            <w:r>
              <w:rPr>
                <w:rFonts w:hint="eastAsia" w:ascii="宋体" w:hAnsi="宋体" w:eastAsia="宋体"/>
                <w:szCs w:val="21"/>
              </w:rPr>
              <w:br w:type="textWrapping"/>
            </w:r>
            <w:r>
              <w:rPr>
                <w:rFonts w:hint="eastAsia" w:ascii="宋体" w:hAnsi="宋体" w:eastAsia="宋体"/>
                <w:szCs w:val="21"/>
              </w:rPr>
              <w:t>7、防补光过曝：支持，可避免补光过强导致画面过曝；</w:t>
            </w:r>
            <w:r>
              <w:rPr>
                <w:rFonts w:hint="eastAsia" w:ascii="宋体" w:hAnsi="宋体" w:eastAsia="宋体"/>
                <w:szCs w:val="21"/>
              </w:rPr>
              <w:br w:type="textWrapping"/>
            </w:r>
            <w:r>
              <w:rPr>
                <w:rFonts w:hint="eastAsia" w:ascii="宋体" w:hAnsi="宋体" w:eastAsia="宋体"/>
                <w:szCs w:val="21"/>
              </w:rPr>
              <w:t>8、红外波长范围：850nm；</w:t>
            </w:r>
            <w:r>
              <w:rPr>
                <w:rFonts w:hint="eastAsia" w:ascii="宋体" w:hAnsi="宋体" w:eastAsia="宋体"/>
                <w:szCs w:val="21"/>
              </w:rPr>
              <w:br w:type="textWrapping"/>
            </w:r>
            <w:r>
              <w:rPr>
                <w:rFonts w:hint="eastAsia" w:ascii="宋体" w:hAnsi="宋体" w:eastAsia="宋体"/>
                <w:szCs w:val="21"/>
              </w:rPr>
              <w:t>9、最大图像尺寸：3840×2160，可呈现超高清画质；</w:t>
            </w:r>
            <w:r>
              <w:rPr>
                <w:rFonts w:hint="eastAsia" w:ascii="宋体" w:hAnsi="宋体" w:eastAsia="宋体"/>
                <w:szCs w:val="21"/>
              </w:rPr>
              <w:br w:type="textWrapping"/>
            </w:r>
            <w:r>
              <w:rPr>
                <w:rFonts w:hint="eastAsia" w:ascii="宋体" w:hAnsi="宋体" w:eastAsia="宋体"/>
                <w:szCs w:val="21"/>
              </w:rPr>
              <w:t>10、主码流帧率分辨率：50Hz 时为20fps（3840×2160，3200×1800，2688×1520，</w:t>
            </w:r>
            <w:r>
              <w:rPr>
                <w:rFonts w:hint="eastAsia" w:ascii="宋体" w:hAnsi="宋体" w:eastAsia="宋体"/>
                <w:szCs w:val="21"/>
              </w:rPr>
              <w:br w:type="textWrapping"/>
            </w:r>
            <w:r>
              <w:rPr>
                <w:rFonts w:hint="eastAsia" w:ascii="宋体" w:hAnsi="宋体" w:eastAsia="宋体"/>
                <w:szCs w:val="21"/>
              </w:rPr>
              <w:t>1920×1080，1280×720）；</w:t>
            </w:r>
            <w:r>
              <w:rPr>
                <w:rFonts w:hint="eastAsia" w:ascii="宋体" w:hAnsi="宋体" w:eastAsia="宋体"/>
                <w:szCs w:val="21"/>
              </w:rPr>
              <w:br w:type="textWrapping"/>
            </w:r>
            <w:r>
              <w:rPr>
                <w:rFonts w:hint="eastAsia" w:ascii="宋体" w:hAnsi="宋体" w:eastAsia="宋体"/>
                <w:szCs w:val="21"/>
              </w:rPr>
              <w:t>11、子码流帧率分辨率：50Hz时为20fps（1280×720，640×480，640×360）；</w:t>
            </w:r>
            <w:r>
              <w:rPr>
                <w:rFonts w:hint="eastAsia" w:ascii="宋体" w:hAnsi="宋体" w:eastAsia="宋体"/>
                <w:szCs w:val="21"/>
              </w:rPr>
              <w:br w:type="textWrapping"/>
            </w:r>
            <w:r>
              <w:rPr>
                <w:rFonts w:hint="eastAsia" w:ascii="宋体" w:hAnsi="宋体" w:eastAsia="宋体"/>
                <w:szCs w:val="21"/>
              </w:rPr>
              <w:t>12、视频压缩标准：主码流为H.265/H.264，子码流为H.265/H.264/MJPEG；</w:t>
            </w:r>
            <w:r>
              <w:rPr>
                <w:rFonts w:hint="eastAsia" w:ascii="宋体" w:hAnsi="宋体" w:eastAsia="宋体"/>
                <w:szCs w:val="21"/>
              </w:rPr>
              <w:br w:type="textWrapping"/>
            </w:r>
            <w:r>
              <w:rPr>
                <w:rFonts w:hint="eastAsia" w:ascii="宋体" w:hAnsi="宋体" w:eastAsia="宋体"/>
                <w:szCs w:val="21"/>
              </w:rPr>
              <w:t>13、视频压缩码率：32kbps~16Mbps；</w:t>
            </w:r>
            <w:r>
              <w:rPr>
                <w:rFonts w:hint="eastAsia" w:ascii="宋体" w:hAnsi="宋体" w:eastAsia="宋体"/>
                <w:szCs w:val="21"/>
              </w:rPr>
              <w:br w:type="textWrapping"/>
            </w:r>
            <w:r>
              <w:rPr>
                <w:rFonts w:hint="eastAsia" w:ascii="宋体" w:hAnsi="宋体" w:eastAsia="宋体"/>
                <w:szCs w:val="21"/>
              </w:rPr>
              <w:t>14、启动和工作温湿度：-30℃~60℃，湿度小于95%（无凝结）；</w:t>
            </w:r>
            <w:r>
              <w:rPr>
                <w:rFonts w:hint="eastAsia" w:ascii="宋体" w:hAnsi="宋体" w:eastAsia="宋体"/>
                <w:szCs w:val="21"/>
              </w:rPr>
              <w:br w:type="textWrapping"/>
            </w:r>
            <w:r>
              <w:rPr>
                <w:rFonts w:hint="eastAsia" w:ascii="宋体" w:hAnsi="宋体" w:eastAsia="宋体"/>
                <w:szCs w:val="21"/>
              </w:rPr>
              <w:t>15、电流及功耗：DC 为12V，1.0A，最大功耗：12.0W；</w:t>
            </w:r>
            <w:r>
              <w:rPr>
                <w:rFonts w:hint="eastAsia" w:ascii="宋体" w:hAnsi="宋体" w:eastAsia="宋体"/>
                <w:szCs w:val="21"/>
              </w:rPr>
              <w:br w:type="textWrapping"/>
            </w:r>
            <w:r>
              <w:rPr>
                <w:rFonts w:hint="eastAsia" w:ascii="宋体" w:hAnsi="宋体" w:eastAsia="宋体"/>
                <w:szCs w:val="21"/>
              </w:rPr>
              <w:t>16、供电方式：DC 为12V±25%，支持防反接保护。</w:t>
            </w:r>
          </w:p>
          <w:p w14:paraId="4F7811E7">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7E18F17">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6686007">
            <w:pPr>
              <w:widowControl w:val="0"/>
              <w:spacing w:line="276" w:lineRule="auto"/>
              <w:jc w:val="center"/>
              <w:rPr>
                <w:rFonts w:ascii="宋体" w:hAnsi="宋体" w:eastAsia="宋体"/>
                <w:szCs w:val="21"/>
              </w:rPr>
            </w:pPr>
            <w:r>
              <w:rPr>
                <w:rFonts w:hint="eastAsia" w:ascii="宋体" w:hAnsi="宋体" w:eastAsia="宋体"/>
                <w:szCs w:val="21"/>
              </w:rPr>
              <w:t>套</w:t>
            </w:r>
          </w:p>
        </w:tc>
      </w:tr>
      <w:tr w14:paraId="736F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B6AB2EE">
            <w:pPr>
              <w:widowControl w:val="0"/>
              <w:spacing w:line="276" w:lineRule="auto"/>
              <w:jc w:val="center"/>
              <w:rPr>
                <w:rFonts w:ascii="宋体" w:hAnsi="宋体" w:eastAsia="宋体"/>
                <w:szCs w:val="21"/>
              </w:rPr>
            </w:pPr>
            <w:r>
              <w:rPr>
                <w:rFonts w:ascii="宋体" w:hAnsi="宋体" w:eastAsia="宋体"/>
                <w:szCs w:val="21"/>
              </w:rPr>
              <w:t>44</w:t>
            </w:r>
          </w:p>
        </w:tc>
        <w:tc>
          <w:tcPr>
            <w:tcW w:w="2001" w:type="dxa"/>
            <w:vAlign w:val="center"/>
          </w:tcPr>
          <w:p w14:paraId="33890B4F">
            <w:pPr>
              <w:widowControl w:val="0"/>
              <w:spacing w:line="276" w:lineRule="auto"/>
              <w:jc w:val="center"/>
              <w:rPr>
                <w:rFonts w:ascii="宋体" w:hAnsi="宋体" w:eastAsia="宋体"/>
                <w:szCs w:val="21"/>
              </w:rPr>
            </w:pPr>
            <w:r>
              <w:rPr>
                <w:rFonts w:hint="eastAsia" w:ascii="宋体" w:hAnsi="宋体" w:eastAsia="宋体"/>
                <w:szCs w:val="21"/>
              </w:rPr>
              <w:t>车载边缘计算终端</w:t>
            </w:r>
          </w:p>
        </w:tc>
        <w:tc>
          <w:tcPr>
            <w:tcW w:w="4576" w:type="dxa"/>
            <w:vAlign w:val="center"/>
          </w:tcPr>
          <w:p w14:paraId="4AA4E096">
            <w:pPr>
              <w:widowControl w:val="0"/>
              <w:numPr>
                <w:ilvl w:val="0"/>
                <w:numId w:val="7"/>
              </w:numPr>
              <w:spacing w:line="276" w:lineRule="auto"/>
              <w:jc w:val="both"/>
              <w:rPr>
                <w:rFonts w:hint="eastAsia" w:ascii="宋体" w:hAnsi="宋体" w:eastAsia="宋体"/>
                <w:szCs w:val="21"/>
              </w:rPr>
            </w:pPr>
            <w:r>
              <w:rPr>
                <w:rFonts w:hint="eastAsia" w:ascii="宋体" w:hAnsi="宋体" w:eastAsia="宋体"/>
                <w:szCs w:val="21"/>
              </w:rPr>
              <w:t>AI性能：70TOPS（INT8）；</w:t>
            </w:r>
            <w:r>
              <w:rPr>
                <w:rFonts w:hint="eastAsia" w:ascii="宋体" w:hAnsi="宋体" w:eastAsia="宋体"/>
                <w:szCs w:val="21"/>
              </w:rPr>
              <w:br w:type="page"/>
            </w:r>
            <w:r>
              <w:rPr>
                <w:rFonts w:hint="eastAsia" w:ascii="宋体" w:hAnsi="宋体" w:eastAsia="宋体"/>
                <w:szCs w:val="21"/>
              </w:rPr>
              <w:t>2、存储：128GB，外部扩展2TB 固态移动硬盘；</w:t>
            </w:r>
            <w:r>
              <w:rPr>
                <w:rFonts w:hint="eastAsia" w:ascii="宋体" w:hAnsi="宋体" w:eastAsia="宋体"/>
                <w:szCs w:val="21"/>
              </w:rPr>
              <w:br w:type="page"/>
            </w:r>
            <w:r>
              <w:rPr>
                <w:rFonts w:hint="eastAsia" w:ascii="宋体" w:hAnsi="宋体" w:eastAsia="宋体"/>
                <w:szCs w:val="21"/>
              </w:rPr>
              <w:t>3、外部接口：2 路航空插头，信号自定义；</w:t>
            </w:r>
            <w:r>
              <w:rPr>
                <w:rFonts w:hint="eastAsia" w:ascii="宋体" w:hAnsi="宋体" w:eastAsia="宋体"/>
                <w:szCs w:val="21"/>
              </w:rPr>
              <w:br w:type="page"/>
            </w:r>
            <w:r>
              <w:rPr>
                <w:rFonts w:hint="eastAsia" w:ascii="宋体" w:hAnsi="宋体" w:eastAsia="宋体"/>
                <w:szCs w:val="21"/>
              </w:rPr>
              <w:t>4、显示：1 个HDMI2.1 接口，最大6Gbps，36bpp，支持3840×2160@60Hz；</w:t>
            </w:r>
            <w:r>
              <w:rPr>
                <w:rFonts w:hint="eastAsia" w:ascii="宋体" w:hAnsi="宋体" w:eastAsia="宋体"/>
                <w:szCs w:val="21"/>
              </w:rPr>
              <w:br w:type="page"/>
            </w:r>
            <w:r>
              <w:rPr>
                <w:rFonts w:hint="eastAsia" w:ascii="宋体" w:hAnsi="宋体" w:eastAsia="宋体"/>
                <w:szCs w:val="21"/>
              </w:rPr>
              <w:t>5、USB：2 个USB3.0TypeA 端口，支持USB2.0、USB3.0/USB3.1 信号，提供1.5A</w:t>
            </w:r>
            <w:r>
              <w:rPr>
                <w:rFonts w:hint="eastAsia" w:ascii="宋体" w:hAnsi="宋体" w:eastAsia="宋体"/>
                <w:szCs w:val="21"/>
              </w:rPr>
              <w:br w:type="page"/>
            </w:r>
            <w:r>
              <w:rPr>
                <w:rFonts w:hint="eastAsia" w:ascii="宋体" w:hAnsi="宋体" w:eastAsia="宋体"/>
                <w:szCs w:val="21"/>
              </w:rPr>
              <w:t>输出电流；</w:t>
            </w:r>
            <w:r>
              <w:rPr>
                <w:rFonts w:hint="eastAsia" w:ascii="宋体" w:hAnsi="宋体" w:eastAsia="宋体"/>
                <w:szCs w:val="21"/>
              </w:rPr>
              <w:br w:type="page"/>
            </w:r>
            <w:r>
              <w:rPr>
                <w:rFonts w:hint="eastAsia" w:ascii="宋体" w:hAnsi="宋体" w:eastAsia="宋体"/>
                <w:szCs w:val="21"/>
              </w:rPr>
              <w:t>6、网络：2 个RJ45千兆以太网，10/100/1000Mbps 自适应，半双工/全双工自适应；</w:t>
            </w:r>
            <w:r>
              <w:rPr>
                <w:rFonts w:hint="eastAsia" w:ascii="宋体" w:hAnsi="宋体" w:eastAsia="宋体"/>
                <w:szCs w:val="21"/>
              </w:rPr>
              <w:br w:type="page"/>
            </w:r>
            <w:r>
              <w:rPr>
                <w:rFonts w:hint="eastAsia" w:ascii="宋体" w:hAnsi="宋体" w:eastAsia="宋体"/>
                <w:szCs w:val="21"/>
              </w:rPr>
              <w:t>7、电源：DC9~20V</w:t>
            </w:r>
            <w:r>
              <w:rPr>
                <w:rFonts w:hint="eastAsia" w:ascii="宋体" w:hAnsi="宋体" w:eastAsia="宋体"/>
                <w:szCs w:val="21"/>
              </w:rPr>
              <w:br w:type="page"/>
            </w:r>
            <w:r>
              <w:rPr>
                <w:rFonts w:hint="eastAsia" w:ascii="宋体" w:hAnsi="宋体" w:eastAsia="宋体"/>
                <w:szCs w:val="21"/>
              </w:rPr>
              <w:t>8、工作温度：-40°C~+85°C</w:t>
            </w:r>
            <w:r>
              <w:rPr>
                <w:rFonts w:hint="eastAsia" w:ascii="宋体" w:hAnsi="宋体" w:eastAsia="宋体"/>
                <w:szCs w:val="21"/>
              </w:rPr>
              <w:br w:type="page"/>
            </w:r>
            <w:r>
              <w:rPr>
                <w:rFonts w:hint="eastAsia" w:ascii="宋体" w:hAnsi="宋体" w:eastAsia="宋体"/>
                <w:szCs w:val="21"/>
              </w:rPr>
              <w:t>9、功耗：20W。</w:t>
            </w:r>
          </w:p>
          <w:p w14:paraId="0532EAFF">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5237A15">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A395809">
            <w:pPr>
              <w:widowControl w:val="0"/>
              <w:spacing w:line="276" w:lineRule="auto"/>
              <w:jc w:val="center"/>
              <w:rPr>
                <w:rFonts w:ascii="宋体" w:hAnsi="宋体" w:eastAsia="宋体"/>
                <w:szCs w:val="21"/>
              </w:rPr>
            </w:pPr>
            <w:r>
              <w:rPr>
                <w:rFonts w:hint="eastAsia" w:ascii="宋体" w:hAnsi="宋体" w:eastAsia="宋体"/>
                <w:szCs w:val="21"/>
              </w:rPr>
              <w:t>套</w:t>
            </w:r>
          </w:p>
        </w:tc>
      </w:tr>
      <w:tr w14:paraId="0C7A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0C564CD">
            <w:pPr>
              <w:widowControl w:val="0"/>
              <w:spacing w:line="276" w:lineRule="auto"/>
              <w:jc w:val="center"/>
              <w:rPr>
                <w:rFonts w:ascii="宋体" w:hAnsi="宋体" w:eastAsia="宋体"/>
                <w:szCs w:val="21"/>
              </w:rPr>
            </w:pPr>
            <w:r>
              <w:rPr>
                <w:rFonts w:ascii="宋体" w:hAnsi="宋体" w:eastAsia="宋体"/>
                <w:szCs w:val="21"/>
              </w:rPr>
              <w:t>45</w:t>
            </w:r>
          </w:p>
        </w:tc>
        <w:tc>
          <w:tcPr>
            <w:tcW w:w="2001" w:type="dxa"/>
            <w:vAlign w:val="center"/>
          </w:tcPr>
          <w:p w14:paraId="4A9A46F8">
            <w:pPr>
              <w:widowControl w:val="0"/>
              <w:spacing w:line="276" w:lineRule="auto"/>
              <w:jc w:val="center"/>
              <w:rPr>
                <w:rFonts w:ascii="宋体" w:hAnsi="宋体" w:eastAsia="宋体"/>
                <w:szCs w:val="21"/>
              </w:rPr>
            </w:pPr>
            <w:r>
              <w:rPr>
                <w:rFonts w:hint="eastAsia" w:ascii="宋体" w:hAnsi="宋体" w:eastAsia="宋体"/>
                <w:szCs w:val="21"/>
              </w:rPr>
              <w:t>车载显示终端</w:t>
            </w:r>
          </w:p>
        </w:tc>
        <w:tc>
          <w:tcPr>
            <w:tcW w:w="4576" w:type="dxa"/>
            <w:vAlign w:val="center"/>
          </w:tcPr>
          <w:p w14:paraId="5B1BC9A6">
            <w:pPr>
              <w:widowControl w:val="0"/>
              <w:numPr>
                <w:ilvl w:val="0"/>
                <w:numId w:val="8"/>
              </w:numPr>
              <w:spacing w:line="276" w:lineRule="auto"/>
              <w:jc w:val="both"/>
              <w:rPr>
                <w:rFonts w:hint="eastAsia" w:ascii="宋体" w:hAnsi="宋体" w:eastAsia="宋体"/>
                <w:szCs w:val="21"/>
              </w:rPr>
            </w:pPr>
            <w:r>
              <w:rPr>
                <w:rFonts w:hint="eastAsia" w:ascii="宋体" w:hAnsi="宋体" w:eastAsia="宋体"/>
                <w:szCs w:val="21"/>
              </w:rPr>
              <w:t>屏幕类型：11英寸LCD</w:t>
            </w:r>
            <w:r>
              <w:rPr>
                <w:rFonts w:hint="eastAsia" w:ascii="宋体" w:hAnsi="宋体" w:eastAsia="宋体"/>
                <w:szCs w:val="21"/>
              </w:rPr>
              <w:br w:type="textWrapping"/>
            </w:r>
            <w:r>
              <w:rPr>
                <w:rFonts w:hint="eastAsia" w:ascii="宋体" w:hAnsi="宋体" w:eastAsia="宋体"/>
                <w:szCs w:val="21"/>
              </w:rPr>
              <w:t>2、分辨率：1920×1200</w:t>
            </w:r>
            <w:r>
              <w:rPr>
                <w:rFonts w:hint="eastAsia" w:ascii="宋体" w:hAnsi="宋体" w:eastAsia="宋体"/>
                <w:szCs w:val="21"/>
              </w:rPr>
              <w:br w:type="textWrapping"/>
            </w:r>
            <w:r>
              <w:rPr>
                <w:rFonts w:hint="eastAsia" w:ascii="宋体" w:hAnsi="宋体" w:eastAsia="宋体"/>
                <w:szCs w:val="21"/>
              </w:rPr>
              <w:t>3、刷新率：90Hz</w:t>
            </w:r>
            <w:r>
              <w:rPr>
                <w:rFonts w:hint="eastAsia" w:ascii="宋体" w:hAnsi="宋体" w:eastAsia="宋体"/>
                <w:szCs w:val="21"/>
              </w:rPr>
              <w:br w:type="textWrapping"/>
            </w:r>
            <w:r>
              <w:rPr>
                <w:rFonts w:hint="eastAsia" w:ascii="宋体" w:hAnsi="宋体" w:eastAsia="宋体"/>
                <w:szCs w:val="21"/>
              </w:rPr>
              <w:t>4、扬声器：四扬声器，支持杜比全景声</w:t>
            </w:r>
            <w:r>
              <w:rPr>
                <w:rFonts w:hint="eastAsia" w:ascii="宋体" w:hAnsi="宋体" w:eastAsia="宋体"/>
                <w:szCs w:val="21"/>
              </w:rPr>
              <w:br w:type="textWrapping"/>
            </w:r>
            <w:r>
              <w:rPr>
                <w:rFonts w:hint="eastAsia" w:ascii="宋体" w:hAnsi="宋体" w:eastAsia="宋体"/>
                <w:szCs w:val="21"/>
              </w:rPr>
              <w:t>5、麦克风：内置双麦克风</w:t>
            </w:r>
            <w:r>
              <w:rPr>
                <w:rFonts w:hint="eastAsia" w:ascii="宋体" w:hAnsi="宋体" w:eastAsia="宋体"/>
                <w:szCs w:val="21"/>
              </w:rPr>
              <w:br w:type="textWrapping"/>
            </w:r>
            <w:r>
              <w:rPr>
                <w:rFonts w:hint="eastAsia" w:ascii="宋体" w:hAnsi="宋体" w:eastAsia="宋体"/>
                <w:szCs w:val="21"/>
              </w:rPr>
              <w:t>6、WiFi：双频（2.4GHz+5GHz）。</w:t>
            </w:r>
          </w:p>
          <w:p w14:paraId="43AD8CC4">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90F3EC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30A0B12">
            <w:pPr>
              <w:widowControl w:val="0"/>
              <w:spacing w:line="276" w:lineRule="auto"/>
              <w:jc w:val="center"/>
              <w:rPr>
                <w:rFonts w:ascii="宋体" w:hAnsi="宋体" w:eastAsia="宋体"/>
                <w:szCs w:val="21"/>
              </w:rPr>
            </w:pPr>
            <w:r>
              <w:rPr>
                <w:rFonts w:hint="eastAsia" w:ascii="宋体" w:hAnsi="宋体" w:eastAsia="宋体"/>
                <w:szCs w:val="21"/>
              </w:rPr>
              <w:t>套</w:t>
            </w:r>
          </w:p>
        </w:tc>
      </w:tr>
      <w:tr w14:paraId="7011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1B46326">
            <w:pPr>
              <w:widowControl w:val="0"/>
              <w:spacing w:line="276" w:lineRule="auto"/>
              <w:jc w:val="center"/>
              <w:rPr>
                <w:rFonts w:ascii="宋体" w:hAnsi="宋体" w:eastAsia="宋体"/>
                <w:szCs w:val="21"/>
              </w:rPr>
            </w:pPr>
            <w:r>
              <w:rPr>
                <w:rFonts w:ascii="宋体" w:hAnsi="宋体" w:eastAsia="宋体"/>
                <w:szCs w:val="21"/>
              </w:rPr>
              <w:t>46</w:t>
            </w:r>
          </w:p>
        </w:tc>
        <w:tc>
          <w:tcPr>
            <w:tcW w:w="2001" w:type="dxa"/>
            <w:vAlign w:val="center"/>
          </w:tcPr>
          <w:p w14:paraId="46C19FFC">
            <w:pPr>
              <w:widowControl w:val="0"/>
              <w:spacing w:line="276" w:lineRule="auto"/>
              <w:jc w:val="center"/>
              <w:rPr>
                <w:rFonts w:ascii="宋体" w:hAnsi="宋体" w:eastAsia="宋体"/>
                <w:szCs w:val="21"/>
              </w:rPr>
            </w:pPr>
            <w:r>
              <w:rPr>
                <w:rFonts w:hint="eastAsia" w:ascii="宋体" w:hAnsi="宋体" w:eastAsia="宋体"/>
                <w:szCs w:val="21"/>
              </w:rPr>
              <w:t>车载移动电源</w:t>
            </w:r>
          </w:p>
        </w:tc>
        <w:tc>
          <w:tcPr>
            <w:tcW w:w="4576" w:type="dxa"/>
            <w:vAlign w:val="center"/>
          </w:tcPr>
          <w:p w14:paraId="7639465A">
            <w:pPr>
              <w:widowControl w:val="0"/>
              <w:numPr>
                <w:ilvl w:val="0"/>
                <w:numId w:val="9"/>
              </w:numPr>
              <w:spacing w:line="276" w:lineRule="auto"/>
              <w:jc w:val="both"/>
              <w:rPr>
                <w:rFonts w:hint="eastAsia" w:ascii="宋体" w:hAnsi="宋体" w:eastAsia="宋体"/>
                <w:szCs w:val="21"/>
              </w:rPr>
            </w:pPr>
            <w:r>
              <w:rPr>
                <w:rFonts w:hint="eastAsia" w:ascii="宋体" w:hAnsi="宋体" w:eastAsia="宋体"/>
                <w:szCs w:val="21"/>
              </w:rPr>
              <w:t>电池类型：磷酸铁锂电池</w:t>
            </w:r>
            <w:r>
              <w:rPr>
                <w:rFonts w:hint="eastAsia" w:ascii="宋体" w:hAnsi="宋体" w:eastAsia="宋体"/>
                <w:szCs w:val="21"/>
              </w:rPr>
              <w:br w:type="textWrapping"/>
            </w:r>
            <w:r>
              <w:rPr>
                <w:rFonts w:hint="eastAsia" w:ascii="宋体" w:hAnsi="宋体" w:eastAsia="宋体"/>
                <w:szCs w:val="21"/>
              </w:rPr>
              <w:t>2、电池容量：512Wh</w:t>
            </w:r>
            <w:r>
              <w:rPr>
                <w:rFonts w:hint="eastAsia" w:ascii="宋体" w:hAnsi="宋体" w:eastAsia="宋体"/>
                <w:szCs w:val="21"/>
              </w:rPr>
              <w:br w:type="textWrapping"/>
            </w:r>
            <w:r>
              <w:rPr>
                <w:rFonts w:hint="eastAsia" w:ascii="宋体" w:hAnsi="宋体" w:eastAsia="宋体"/>
                <w:szCs w:val="21"/>
              </w:rPr>
              <w:t>3、其他充电方式：支持车载点烟器充电、燃油发电机充电等</w:t>
            </w:r>
            <w:r>
              <w:rPr>
                <w:rFonts w:hint="eastAsia" w:ascii="宋体" w:hAnsi="宋体" w:eastAsia="宋体"/>
                <w:szCs w:val="21"/>
              </w:rPr>
              <w:br w:type="textWrapping"/>
            </w:r>
            <w:r>
              <w:rPr>
                <w:rFonts w:hint="eastAsia" w:ascii="宋体" w:hAnsi="宋体" w:eastAsia="宋体"/>
                <w:szCs w:val="21"/>
              </w:rPr>
              <w:t>4、交流输出接口：2 个</w:t>
            </w:r>
            <w:r>
              <w:rPr>
                <w:rFonts w:hint="eastAsia" w:ascii="宋体" w:hAnsi="宋体" w:eastAsia="宋体"/>
                <w:szCs w:val="21"/>
              </w:rPr>
              <w:br w:type="textWrapping"/>
            </w:r>
            <w:r>
              <w:rPr>
                <w:rFonts w:hint="eastAsia" w:ascii="宋体" w:hAnsi="宋体" w:eastAsia="宋体"/>
                <w:szCs w:val="21"/>
              </w:rPr>
              <w:t>5、USB快充接口：3个USB-A 接口和1 个USB-C 接口，支持100WPD快充</w:t>
            </w:r>
            <w:r>
              <w:rPr>
                <w:rFonts w:hint="eastAsia" w:ascii="宋体" w:hAnsi="宋体" w:eastAsia="宋体"/>
                <w:szCs w:val="21"/>
              </w:rPr>
              <w:br w:type="textWrapping"/>
            </w:r>
            <w:r>
              <w:rPr>
                <w:rFonts w:hint="eastAsia" w:ascii="宋体" w:hAnsi="宋体" w:eastAsia="宋体"/>
                <w:szCs w:val="21"/>
              </w:rPr>
              <w:t>6、其他接口：1 个点烟器接口和2 个DC5521直流电输出口。</w:t>
            </w:r>
          </w:p>
          <w:p w14:paraId="1DCEA6B9">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799E613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A774F4F">
            <w:pPr>
              <w:widowControl w:val="0"/>
              <w:spacing w:line="276" w:lineRule="auto"/>
              <w:jc w:val="center"/>
              <w:rPr>
                <w:rFonts w:ascii="宋体" w:hAnsi="宋体" w:eastAsia="宋体"/>
                <w:szCs w:val="21"/>
              </w:rPr>
            </w:pPr>
            <w:r>
              <w:rPr>
                <w:rFonts w:hint="eastAsia" w:ascii="宋体" w:hAnsi="宋体" w:eastAsia="宋体"/>
                <w:szCs w:val="21"/>
              </w:rPr>
              <w:t>套</w:t>
            </w:r>
          </w:p>
        </w:tc>
      </w:tr>
      <w:tr w14:paraId="4532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AC6246B">
            <w:pPr>
              <w:widowControl w:val="0"/>
              <w:spacing w:line="276" w:lineRule="auto"/>
              <w:jc w:val="center"/>
              <w:rPr>
                <w:rFonts w:ascii="宋体" w:hAnsi="宋体" w:eastAsia="宋体"/>
                <w:szCs w:val="21"/>
              </w:rPr>
            </w:pPr>
            <w:r>
              <w:rPr>
                <w:rFonts w:ascii="宋体" w:hAnsi="宋体" w:eastAsia="宋体"/>
                <w:szCs w:val="21"/>
              </w:rPr>
              <w:t>47</w:t>
            </w:r>
          </w:p>
        </w:tc>
        <w:tc>
          <w:tcPr>
            <w:tcW w:w="2001" w:type="dxa"/>
            <w:vAlign w:val="center"/>
          </w:tcPr>
          <w:p w14:paraId="314CCEC3">
            <w:pPr>
              <w:widowControl w:val="0"/>
              <w:spacing w:line="276" w:lineRule="auto"/>
              <w:jc w:val="center"/>
              <w:rPr>
                <w:rFonts w:ascii="宋体" w:hAnsi="宋体" w:eastAsia="宋体"/>
                <w:szCs w:val="21"/>
              </w:rPr>
            </w:pPr>
            <w:r>
              <w:rPr>
                <w:rFonts w:hint="eastAsia" w:ascii="宋体" w:hAnsi="宋体" w:eastAsia="宋体"/>
                <w:szCs w:val="21"/>
              </w:rPr>
              <w:t>500万抓拍单元</w:t>
            </w:r>
          </w:p>
        </w:tc>
        <w:tc>
          <w:tcPr>
            <w:tcW w:w="4576" w:type="dxa"/>
            <w:vAlign w:val="center"/>
          </w:tcPr>
          <w:p w14:paraId="0AFD15F3">
            <w:pPr>
              <w:widowControl w:val="0"/>
              <w:numPr>
                <w:ilvl w:val="0"/>
                <w:numId w:val="10"/>
              </w:numPr>
              <w:spacing w:line="276" w:lineRule="auto"/>
              <w:jc w:val="both"/>
              <w:rPr>
                <w:rFonts w:hint="eastAsia" w:ascii="宋体" w:hAnsi="宋体" w:eastAsia="宋体"/>
                <w:szCs w:val="21"/>
              </w:rPr>
            </w:pPr>
            <w:r>
              <w:rPr>
                <w:rFonts w:hint="eastAsia" w:ascii="宋体" w:hAnsi="宋体" w:eastAsia="宋体"/>
                <w:szCs w:val="21"/>
              </w:rPr>
              <w:t>采用500 万像素高帧率彩色高清智能摄像机，配置识别可见光和红外光的全局曝光</w:t>
            </w:r>
            <w:r>
              <w:rPr>
                <w:rFonts w:hint="eastAsia" w:ascii="宋体" w:hAnsi="宋体" w:eastAsia="宋体"/>
                <w:szCs w:val="21"/>
              </w:rPr>
              <w:br w:type="page"/>
            </w:r>
            <w:r>
              <w:rPr>
                <w:rFonts w:hint="eastAsia" w:ascii="宋体" w:hAnsi="宋体" w:eastAsia="宋体"/>
                <w:szCs w:val="21"/>
              </w:rPr>
              <w:t>CMOS，最大分辨率可达2448（H）×2048（V），帧率25 帧；</w:t>
            </w:r>
            <w:r>
              <w:rPr>
                <w:rFonts w:ascii="宋体" w:hAnsi="宋体" w:eastAsia="宋体"/>
                <w:szCs w:val="21"/>
              </w:rPr>
              <w:t>2</w:t>
            </w:r>
            <w:r>
              <w:rPr>
                <w:rFonts w:hint="eastAsia" w:ascii="宋体" w:hAnsi="宋体" w:eastAsia="宋体"/>
                <w:szCs w:val="21"/>
              </w:rPr>
              <w:t>、镜头规格：25 毫米；通讯接口：不少于2个RS-485 接口，1个RS-232接口，2个RJ45 10M/100M/1000M</w:t>
            </w:r>
            <w:r>
              <w:rPr>
                <w:rFonts w:hint="eastAsia" w:ascii="宋体" w:hAnsi="宋体" w:eastAsia="宋体"/>
                <w:szCs w:val="21"/>
              </w:rPr>
              <w:br w:type="page"/>
            </w:r>
            <w:r>
              <w:rPr>
                <w:rFonts w:hint="eastAsia" w:ascii="宋体" w:hAnsi="宋体" w:eastAsia="宋体"/>
                <w:szCs w:val="21"/>
              </w:rPr>
              <w:t>自适应以太网口；</w:t>
            </w:r>
            <w:r>
              <w:rPr>
                <w:rFonts w:hint="eastAsia" w:ascii="宋体" w:hAnsi="宋体" w:eastAsia="宋体"/>
                <w:szCs w:val="21"/>
              </w:rPr>
              <w:br w:type="page"/>
            </w:r>
            <w:r>
              <w:rPr>
                <w:rFonts w:hint="eastAsia" w:ascii="宋体" w:hAnsi="宋体" w:eastAsia="宋体"/>
                <w:szCs w:val="21"/>
              </w:rPr>
              <w:t>3、图片分辨率：2448（H）×2048（V）；</w:t>
            </w:r>
            <w:r>
              <w:rPr>
                <w:rFonts w:hint="eastAsia" w:ascii="宋体" w:hAnsi="宋体" w:eastAsia="宋体"/>
                <w:szCs w:val="21"/>
              </w:rPr>
              <w:br w:type="page"/>
            </w:r>
            <w:r>
              <w:rPr>
                <w:rFonts w:hint="eastAsia" w:ascii="宋体" w:hAnsi="宋体" w:eastAsia="宋体"/>
                <w:szCs w:val="21"/>
              </w:rPr>
              <w:t>4、图片格式：JPEG</w:t>
            </w:r>
            <w:r>
              <w:rPr>
                <w:rFonts w:hint="eastAsia" w:ascii="宋体" w:hAnsi="宋体" w:eastAsia="宋体"/>
                <w:szCs w:val="21"/>
              </w:rPr>
              <w:br w:type="page"/>
            </w:r>
            <w:r>
              <w:rPr>
                <w:rFonts w:hint="eastAsia" w:ascii="宋体" w:hAnsi="宋体" w:eastAsia="宋体"/>
                <w:szCs w:val="21"/>
              </w:rPr>
              <w:t>；5、传输接口：RJ45，100M/1000M 自适应，以太网；</w:t>
            </w:r>
            <w:r>
              <w:rPr>
                <w:rFonts w:hint="eastAsia" w:ascii="宋体" w:hAnsi="宋体" w:eastAsia="宋体"/>
                <w:szCs w:val="21"/>
              </w:rPr>
              <w:br w:type="page"/>
            </w:r>
            <w:r>
              <w:rPr>
                <w:rFonts w:hint="eastAsia" w:ascii="宋体" w:hAnsi="宋体" w:eastAsia="宋体"/>
                <w:szCs w:val="21"/>
              </w:rPr>
              <w:t>6、网络协议：IPv4、IPv6、HTTP、HTTPS、TCP、UDP、ARP、RTP、RTSP、RTCP、</w:t>
            </w:r>
            <w:r>
              <w:rPr>
                <w:rFonts w:hint="eastAsia" w:ascii="宋体" w:hAnsi="宋体" w:eastAsia="宋体"/>
                <w:szCs w:val="21"/>
              </w:rPr>
              <w:br w:type="page"/>
            </w:r>
            <w:r>
              <w:rPr>
                <w:rFonts w:hint="eastAsia" w:ascii="宋体" w:hAnsi="宋体" w:eastAsia="宋体"/>
                <w:szCs w:val="21"/>
              </w:rPr>
              <w:t>FTP、SFTP、DHCP等；</w:t>
            </w:r>
            <w:r>
              <w:rPr>
                <w:rFonts w:hint="eastAsia" w:ascii="宋体" w:hAnsi="宋体" w:eastAsia="宋体"/>
                <w:szCs w:val="21"/>
              </w:rPr>
              <w:br w:type="page"/>
            </w:r>
            <w:r>
              <w:rPr>
                <w:rFonts w:hint="eastAsia" w:ascii="宋体" w:hAnsi="宋体" w:eastAsia="宋体"/>
                <w:szCs w:val="21"/>
              </w:rPr>
              <w:t>7、平均无故障时间：MTBF ≥ 30000h；</w:t>
            </w:r>
            <w:r>
              <w:rPr>
                <w:rFonts w:hint="eastAsia" w:ascii="宋体" w:hAnsi="宋体" w:eastAsia="宋体"/>
                <w:szCs w:val="21"/>
              </w:rPr>
              <w:br w:type="page"/>
            </w:r>
            <w:r>
              <w:rPr>
                <w:rFonts w:hint="eastAsia" w:ascii="宋体" w:hAnsi="宋体" w:eastAsia="宋体"/>
                <w:szCs w:val="21"/>
              </w:rPr>
              <w:t>8、防护等级：IP66</w:t>
            </w:r>
            <w:r>
              <w:rPr>
                <w:rFonts w:hint="eastAsia" w:ascii="宋体" w:hAnsi="宋体" w:eastAsia="宋体"/>
                <w:szCs w:val="21"/>
              </w:rPr>
              <w:br w:type="page"/>
            </w:r>
            <w:r>
              <w:rPr>
                <w:rFonts w:hint="eastAsia" w:ascii="宋体" w:hAnsi="宋体" w:eastAsia="宋体"/>
                <w:szCs w:val="21"/>
              </w:rPr>
              <w:t>；9、功耗：≤ 30W（含温控模块）；</w:t>
            </w:r>
            <w:r>
              <w:rPr>
                <w:rFonts w:hint="eastAsia" w:ascii="宋体" w:hAnsi="宋体" w:eastAsia="宋体"/>
                <w:szCs w:val="21"/>
              </w:rPr>
              <w:br w:type="page"/>
            </w:r>
            <w:r>
              <w:rPr>
                <w:rFonts w:hint="eastAsia" w:ascii="宋体" w:hAnsi="宋体" w:eastAsia="宋体"/>
                <w:szCs w:val="21"/>
              </w:rPr>
              <w:t>10、具备较好的电源适应性，电压在100VAC～240VAC范围内变化时，设备可正常工</w:t>
            </w:r>
            <w:r>
              <w:rPr>
                <w:rFonts w:hint="eastAsia" w:ascii="宋体" w:hAnsi="宋体" w:eastAsia="宋体"/>
                <w:szCs w:val="21"/>
              </w:rPr>
              <w:br w:type="page"/>
            </w:r>
            <w:r>
              <w:rPr>
                <w:rFonts w:hint="eastAsia" w:ascii="宋体" w:hAnsi="宋体" w:eastAsia="宋体"/>
                <w:szCs w:val="21"/>
              </w:rPr>
              <w:t>作；</w:t>
            </w:r>
            <w:r>
              <w:rPr>
                <w:rFonts w:hint="eastAsia" w:ascii="宋体" w:hAnsi="宋体" w:eastAsia="宋体"/>
                <w:szCs w:val="21"/>
              </w:rPr>
              <w:br w:type="page"/>
            </w:r>
            <w:r>
              <w:rPr>
                <w:rFonts w:hint="eastAsia" w:ascii="宋体" w:hAnsi="宋体" w:eastAsia="宋体"/>
                <w:szCs w:val="21"/>
              </w:rPr>
              <w:t>11、工作环境温度：-40℃～70℃；</w:t>
            </w:r>
            <w:r>
              <w:rPr>
                <w:rFonts w:hint="eastAsia" w:ascii="宋体" w:hAnsi="宋体" w:eastAsia="宋体"/>
                <w:szCs w:val="21"/>
              </w:rPr>
              <w:br w:type="page"/>
            </w:r>
            <w:r>
              <w:rPr>
                <w:rFonts w:hint="eastAsia" w:ascii="宋体" w:hAnsi="宋体" w:eastAsia="宋体"/>
                <w:szCs w:val="21"/>
              </w:rPr>
              <w:t>12、工作环境相对湿度：＜95%；</w:t>
            </w:r>
            <w:r>
              <w:rPr>
                <w:rFonts w:hint="eastAsia" w:ascii="宋体" w:hAnsi="宋体" w:eastAsia="宋体"/>
                <w:szCs w:val="21"/>
              </w:rPr>
              <w:br w:type="page"/>
            </w:r>
            <w:r>
              <w:rPr>
                <w:rFonts w:hint="eastAsia" w:ascii="宋体" w:hAnsi="宋体" w:eastAsia="宋体"/>
                <w:szCs w:val="21"/>
              </w:rPr>
              <w:t>13、支持在线升级，动态加载，期间业务不中断；</w:t>
            </w:r>
            <w:r>
              <w:rPr>
                <w:rFonts w:hint="eastAsia" w:ascii="宋体" w:hAnsi="宋体" w:eastAsia="宋体"/>
                <w:szCs w:val="21"/>
              </w:rPr>
              <w:br w:type="page"/>
            </w:r>
            <w:r>
              <w:rPr>
                <w:rFonts w:hint="eastAsia" w:ascii="宋体" w:hAnsi="宋体" w:eastAsia="宋体"/>
                <w:szCs w:val="21"/>
              </w:rPr>
              <w:t>14、支持上电自动开机和远程硬重启；</w:t>
            </w:r>
            <w:r>
              <w:rPr>
                <w:rFonts w:hint="eastAsia" w:ascii="宋体" w:hAnsi="宋体" w:eastAsia="宋体"/>
                <w:szCs w:val="21"/>
              </w:rPr>
              <w:br w:type="page"/>
            </w:r>
            <w:r>
              <w:rPr>
                <w:rFonts w:hint="eastAsia" w:ascii="宋体" w:hAnsi="宋体" w:eastAsia="宋体"/>
                <w:szCs w:val="21"/>
              </w:rPr>
              <w:t>15、智能报警功能：IP 地址冲突、存储卡满；</w:t>
            </w:r>
            <w:r>
              <w:rPr>
                <w:rFonts w:hint="eastAsia" w:ascii="宋体" w:hAnsi="宋体" w:eastAsia="宋体"/>
                <w:szCs w:val="21"/>
              </w:rPr>
              <w:br w:type="page"/>
            </w:r>
            <w:r>
              <w:rPr>
                <w:rFonts w:hint="eastAsia" w:ascii="宋体" w:hAnsi="宋体" w:eastAsia="宋体"/>
                <w:szCs w:val="21"/>
              </w:rPr>
              <w:t>16、安装角度可调，含必要的支架、万向节等安装附属材；</w:t>
            </w:r>
            <w:r>
              <w:rPr>
                <w:rFonts w:hint="eastAsia" w:ascii="宋体" w:hAnsi="宋体" w:eastAsia="宋体"/>
                <w:szCs w:val="21"/>
              </w:rPr>
              <w:br w:type="page"/>
            </w:r>
            <w:r>
              <w:rPr>
                <w:rFonts w:hint="eastAsia" w:ascii="宋体" w:hAnsi="宋体" w:eastAsia="宋体"/>
                <w:szCs w:val="21"/>
              </w:rPr>
              <w:t>17、包含3年的数据校准和固件免费升级费用。</w:t>
            </w:r>
          </w:p>
          <w:p w14:paraId="6A7A9B32">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519039D">
            <w:pPr>
              <w:widowControl w:val="0"/>
              <w:spacing w:line="276" w:lineRule="auto"/>
              <w:jc w:val="center"/>
              <w:rPr>
                <w:rFonts w:ascii="宋体" w:hAnsi="宋体" w:eastAsia="宋体"/>
                <w:szCs w:val="21"/>
              </w:rPr>
            </w:pPr>
            <w:r>
              <w:rPr>
                <w:rFonts w:ascii="宋体" w:hAnsi="宋体" w:eastAsia="宋体"/>
                <w:szCs w:val="21"/>
              </w:rPr>
              <w:t>100</w:t>
            </w:r>
          </w:p>
        </w:tc>
        <w:tc>
          <w:tcPr>
            <w:tcW w:w="499" w:type="dxa"/>
            <w:vAlign w:val="center"/>
          </w:tcPr>
          <w:p w14:paraId="6DB957FF">
            <w:pPr>
              <w:widowControl w:val="0"/>
              <w:spacing w:line="276" w:lineRule="auto"/>
              <w:jc w:val="center"/>
              <w:rPr>
                <w:rFonts w:ascii="宋体" w:hAnsi="宋体" w:eastAsia="宋体"/>
                <w:szCs w:val="21"/>
              </w:rPr>
            </w:pPr>
            <w:r>
              <w:rPr>
                <w:rFonts w:hint="eastAsia" w:ascii="宋体" w:hAnsi="宋体" w:eastAsia="宋体"/>
                <w:szCs w:val="21"/>
              </w:rPr>
              <w:t>套</w:t>
            </w:r>
          </w:p>
        </w:tc>
      </w:tr>
      <w:tr w14:paraId="276A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4A59EAE">
            <w:pPr>
              <w:widowControl w:val="0"/>
              <w:spacing w:line="276" w:lineRule="auto"/>
              <w:jc w:val="center"/>
              <w:rPr>
                <w:rFonts w:ascii="宋体" w:hAnsi="宋体" w:eastAsia="宋体"/>
                <w:szCs w:val="21"/>
              </w:rPr>
            </w:pPr>
            <w:r>
              <w:rPr>
                <w:rFonts w:ascii="宋体" w:hAnsi="宋体" w:eastAsia="宋体"/>
                <w:szCs w:val="21"/>
              </w:rPr>
              <w:t>48</w:t>
            </w:r>
          </w:p>
        </w:tc>
        <w:tc>
          <w:tcPr>
            <w:tcW w:w="2001" w:type="dxa"/>
            <w:vAlign w:val="center"/>
          </w:tcPr>
          <w:p w14:paraId="3BC950C5">
            <w:pPr>
              <w:widowControl w:val="0"/>
              <w:spacing w:line="276" w:lineRule="auto"/>
              <w:jc w:val="center"/>
              <w:rPr>
                <w:rFonts w:ascii="宋体" w:hAnsi="宋体" w:eastAsia="宋体"/>
                <w:szCs w:val="21"/>
              </w:rPr>
            </w:pPr>
            <w:r>
              <w:rPr>
                <w:rFonts w:hint="eastAsia" w:ascii="宋体" w:hAnsi="宋体" w:eastAsia="宋体"/>
                <w:szCs w:val="21"/>
              </w:rPr>
              <w:t>900万抓拍单元</w:t>
            </w:r>
          </w:p>
        </w:tc>
        <w:tc>
          <w:tcPr>
            <w:tcW w:w="4576" w:type="dxa"/>
            <w:vAlign w:val="center"/>
          </w:tcPr>
          <w:p w14:paraId="1FF66958">
            <w:pPr>
              <w:widowControl w:val="0"/>
              <w:spacing w:line="276" w:lineRule="auto"/>
              <w:jc w:val="both"/>
              <w:rPr>
                <w:rFonts w:ascii="宋体" w:hAnsi="宋体" w:eastAsia="宋体"/>
                <w:color w:val="FF0000"/>
                <w:szCs w:val="21"/>
              </w:rPr>
            </w:pPr>
            <w:r>
              <w:rPr>
                <w:rFonts w:hint="eastAsia" w:ascii="宋体" w:hAnsi="宋体" w:eastAsia="宋体"/>
                <w:szCs w:val="21"/>
              </w:rPr>
              <w:t>1、采用900 万像素高帧率彩色高清智能摄像机，配置识别可见光和红外光的全局曝光</w:t>
            </w:r>
            <w:r>
              <w:rPr>
                <w:rFonts w:hint="eastAsia" w:ascii="宋体" w:hAnsi="宋体" w:eastAsia="宋体"/>
                <w:szCs w:val="21"/>
              </w:rPr>
              <w:br w:type="page"/>
            </w:r>
            <w:r>
              <w:rPr>
                <w:rFonts w:hint="eastAsia" w:ascii="宋体" w:hAnsi="宋体" w:eastAsia="宋体"/>
                <w:szCs w:val="21"/>
              </w:rPr>
              <w:t>CMOS，最大分辨率可达4096（H）×2160（V），帧率25 帧；</w:t>
            </w:r>
            <w:r>
              <w:rPr>
                <w:rFonts w:ascii="宋体" w:hAnsi="宋体" w:eastAsia="宋体"/>
                <w:szCs w:val="21"/>
              </w:rPr>
              <w:t>2</w:t>
            </w:r>
            <w:r>
              <w:rPr>
                <w:rFonts w:hint="eastAsia" w:ascii="宋体" w:hAnsi="宋体" w:eastAsia="宋体"/>
                <w:szCs w:val="21"/>
              </w:rPr>
              <w:t>、镜头规格：25 毫米；</w:t>
            </w:r>
            <w:r>
              <w:rPr>
                <w:rFonts w:ascii="宋体" w:hAnsi="宋体" w:eastAsia="宋体"/>
                <w:szCs w:val="21"/>
              </w:rPr>
              <w:t>3</w:t>
            </w:r>
            <w:r>
              <w:rPr>
                <w:rFonts w:hint="eastAsia" w:ascii="宋体" w:hAnsi="宋体" w:eastAsia="宋体"/>
                <w:szCs w:val="21"/>
              </w:rPr>
              <w:t>、通讯接口：不少于2个RS-485 接口，1个RS-232接口，2个RJ45 10M/100M/1000M</w:t>
            </w:r>
            <w:r>
              <w:rPr>
                <w:rFonts w:hint="eastAsia" w:ascii="宋体" w:hAnsi="宋体" w:eastAsia="宋体"/>
                <w:szCs w:val="21"/>
              </w:rPr>
              <w:br w:type="page"/>
            </w:r>
            <w:r>
              <w:rPr>
                <w:rFonts w:hint="eastAsia" w:ascii="宋体" w:hAnsi="宋体" w:eastAsia="宋体"/>
                <w:szCs w:val="21"/>
              </w:rPr>
              <w:t>自适应以太网口；</w:t>
            </w:r>
            <w:r>
              <w:rPr>
                <w:rFonts w:ascii="宋体" w:hAnsi="宋体" w:eastAsia="宋体"/>
                <w:szCs w:val="21"/>
              </w:rPr>
              <w:t>4</w:t>
            </w:r>
            <w:r>
              <w:rPr>
                <w:rFonts w:hint="eastAsia" w:ascii="宋体" w:hAnsi="宋体" w:eastAsia="宋体"/>
                <w:szCs w:val="21"/>
              </w:rPr>
              <w:t>、图片分辨率：4096（H）×2160（V）；</w:t>
            </w:r>
            <w:r>
              <w:rPr>
                <w:rFonts w:ascii="宋体" w:hAnsi="宋体" w:eastAsia="宋体"/>
                <w:szCs w:val="21"/>
              </w:rPr>
              <w:t>5</w:t>
            </w:r>
            <w:r>
              <w:rPr>
                <w:rFonts w:hint="eastAsia" w:ascii="宋体" w:hAnsi="宋体" w:eastAsia="宋体"/>
                <w:szCs w:val="21"/>
              </w:rPr>
              <w:t>、图片格式：JPEG；</w:t>
            </w:r>
            <w:r>
              <w:rPr>
                <w:rFonts w:ascii="宋体" w:hAnsi="宋体" w:eastAsia="宋体"/>
                <w:szCs w:val="21"/>
              </w:rPr>
              <w:t>6</w:t>
            </w:r>
            <w:r>
              <w:rPr>
                <w:rFonts w:hint="eastAsia" w:ascii="宋体" w:hAnsi="宋体" w:eastAsia="宋体"/>
                <w:szCs w:val="21"/>
              </w:rPr>
              <w:t>、传输接口：RJ45，100M/1000M 自适应，以太网；</w:t>
            </w:r>
            <w:r>
              <w:rPr>
                <w:rFonts w:ascii="宋体" w:hAnsi="宋体" w:eastAsia="宋体"/>
                <w:szCs w:val="21"/>
              </w:rPr>
              <w:t>7</w:t>
            </w:r>
            <w:r>
              <w:rPr>
                <w:rFonts w:hint="eastAsia" w:ascii="宋体" w:hAnsi="宋体" w:eastAsia="宋体"/>
                <w:szCs w:val="21"/>
              </w:rPr>
              <w:t>、网络协议：IPv4、IPv6、HTTP、HTTPS、TCP、UDP、ARP、RTP、RTSP、RTCP、</w:t>
            </w:r>
            <w:r>
              <w:rPr>
                <w:rFonts w:hint="eastAsia" w:ascii="宋体" w:hAnsi="宋体" w:eastAsia="宋体"/>
                <w:szCs w:val="21"/>
              </w:rPr>
              <w:br w:type="page"/>
            </w:r>
            <w:r>
              <w:rPr>
                <w:rFonts w:hint="eastAsia" w:ascii="宋体" w:hAnsi="宋体" w:eastAsia="宋体"/>
                <w:szCs w:val="21"/>
              </w:rPr>
              <w:t>FTP、SFTP、DHCP等</w:t>
            </w:r>
            <w:r>
              <w:rPr>
                <w:rFonts w:hint="eastAsia" w:ascii="宋体" w:hAnsi="宋体" w:eastAsia="宋体"/>
                <w:szCs w:val="21"/>
              </w:rPr>
              <w:br w:type="page"/>
            </w:r>
            <w:r>
              <w:rPr>
                <w:rFonts w:hint="eastAsia" w:ascii="宋体" w:hAnsi="宋体" w:eastAsia="宋体"/>
                <w:szCs w:val="21"/>
              </w:rPr>
              <w:t>；</w:t>
            </w:r>
            <w:r>
              <w:rPr>
                <w:rFonts w:ascii="宋体" w:hAnsi="宋体" w:eastAsia="宋体"/>
                <w:szCs w:val="21"/>
              </w:rPr>
              <w:t>8</w:t>
            </w:r>
            <w:r>
              <w:rPr>
                <w:rFonts w:hint="eastAsia" w:ascii="宋体" w:hAnsi="宋体" w:eastAsia="宋体"/>
                <w:szCs w:val="21"/>
              </w:rPr>
              <w:t>、平均无故障时间：MTBF ≥ 30000h；</w:t>
            </w:r>
            <w:r>
              <w:rPr>
                <w:rFonts w:ascii="宋体" w:hAnsi="宋体" w:eastAsia="宋体"/>
                <w:szCs w:val="21"/>
              </w:rPr>
              <w:t>9</w:t>
            </w:r>
            <w:r>
              <w:rPr>
                <w:rFonts w:hint="eastAsia" w:ascii="宋体" w:hAnsi="宋体" w:eastAsia="宋体"/>
                <w:szCs w:val="21"/>
              </w:rPr>
              <w:t>、防护等级：IP65</w:t>
            </w:r>
            <w:r>
              <w:rPr>
                <w:rFonts w:hint="eastAsia" w:ascii="宋体" w:hAnsi="宋体" w:eastAsia="宋体"/>
                <w:szCs w:val="21"/>
              </w:rPr>
              <w:br w:type="page"/>
            </w:r>
            <w:r>
              <w:rPr>
                <w:rFonts w:hint="eastAsia" w:ascii="宋体" w:hAnsi="宋体" w:eastAsia="宋体"/>
                <w:szCs w:val="21"/>
              </w:rPr>
              <w:t>；</w:t>
            </w:r>
            <w:r>
              <w:rPr>
                <w:rFonts w:ascii="宋体" w:hAnsi="宋体" w:eastAsia="宋体"/>
                <w:szCs w:val="21"/>
              </w:rPr>
              <w:t>10</w:t>
            </w:r>
            <w:r>
              <w:rPr>
                <w:rFonts w:hint="eastAsia" w:ascii="宋体" w:hAnsi="宋体" w:eastAsia="宋体"/>
                <w:szCs w:val="21"/>
              </w:rPr>
              <w:t>、功耗：≤ 30W（含温控模块）；</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1</w:t>
            </w:r>
            <w:r>
              <w:rPr>
                <w:rFonts w:hint="eastAsia" w:ascii="宋体" w:hAnsi="宋体" w:eastAsia="宋体"/>
                <w:szCs w:val="21"/>
              </w:rPr>
              <w:t>、具备较好的电源适应性，电压在100VAC～240VAC范围内变化时，设备可正常工</w:t>
            </w:r>
            <w:r>
              <w:rPr>
                <w:rFonts w:hint="eastAsia" w:ascii="宋体" w:hAnsi="宋体" w:eastAsia="宋体"/>
                <w:szCs w:val="21"/>
              </w:rPr>
              <w:br w:type="page"/>
            </w:r>
            <w:r>
              <w:rPr>
                <w:rFonts w:hint="eastAsia" w:ascii="宋体" w:hAnsi="宋体" w:eastAsia="宋体"/>
                <w:szCs w:val="21"/>
              </w:rPr>
              <w:t>作；</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2</w:t>
            </w:r>
            <w:r>
              <w:rPr>
                <w:rFonts w:hint="eastAsia" w:ascii="宋体" w:hAnsi="宋体" w:eastAsia="宋体"/>
                <w:szCs w:val="21"/>
              </w:rPr>
              <w:t>、工作环境温度：-40℃～70℃；</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3</w:t>
            </w:r>
            <w:r>
              <w:rPr>
                <w:rFonts w:hint="eastAsia" w:ascii="宋体" w:hAnsi="宋体" w:eastAsia="宋体"/>
                <w:szCs w:val="21"/>
              </w:rPr>
              <w:t>、工作环境相对湿度：＜95%；</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4</w:t>
            </w:r>
            <w:r>
              <w:rPr>
                <w:rFonts w:hint="eastAsia" w:ascii="宋体" w:hAnsi="宋体" w:eastAsia="宋体"/>
                <w:szCs w:val="21"/>
              </w:rPr>
              <w:t>、支持在线升级，动态加载，期间业务不中断；</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5</w:t>
            </w:r>
            <w:r>
              <w:rPr>
                <w:rFonts w:hint="eastAsia" w:ascii="宋体" w:hAnsi="宋体" w:eastAsia="宋体"/>
                <w:szCs w:val="21"/>
              </w:rPr>
              <w:t>、支持上电自动开机和远程硬重启；</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6</w:t>
            </w:r>
            <w:r>
              <w:rPr>
                <w:rFonts w:hint="eastAsia" w:ascii="宋体" w:hAnsi="宋体" w:eastAsia="宋体"/>
                <w:szCs w:val="21"/>
              </w:rPr>
              <w:t>、智能报警功能：IP 地址冲突、存储卡满；</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7</w:t>
            </w:r>
            <w:r>
              <w:rPr>
                <w:rFonts w:hint="eastAsia" w:ascii="宋体" w:hAnsi="宋体" w:eastAsia="宋体"/>
                <w:szCs w:val="21"/>
              </w:rPr>
              <w:t>、安装角度可调，含必要的支架、万向节等安装附属材；</w:t>
            </w:r>
            <w:r>
              <w:rPr>
                <w:rFonts w:hint="eastAsia" w:ascii="宋体" w:hAnsi="宋体" w:eastAsia="宋体"/>
                <w:color w:val="auto"/>
                <w:szCs w:val="21"/>
              </w:rPr>
              <w:br w:type="page"/>
            </w:r>
            <w:r>
              <w:rPr>
                <w:rFonts w:hint="eastAsia" w:ascii="宋体" w:hAnsi="宋体" w:eastAsia="宋体"/>
                <w:color w:val="auto"/>
                <w:szCs w:val="21"/>
              </w:rPr>
              <w:t>1</w:t>
            </w:r>
            <w:r>
              <w:rPr>
                <w:rFonts w:ascii="宋体" w:hAnsi="宋体" w:eastAsia="宋体"/>
                <w:color w:val="auto"/>
                <w:szCs w:val="21"/>
              </w:rPr>
              <w:t>8</w:t>
            </w:r>
            <w:r>
              <w:rPr>
                <w:rFonts w:hint="eastAsia" w:ascii="宋体" w:hAnsi="宋体" w:eastAsia="宋体"/>
                <w:color w:val="auto"/>
                <w:szCs w:val="21"/>
              </w:rPr>
              <w:t>、包含3年的数据校准和固件免费升级费用。</w:t>
            </w:r>
          </w:p>
          <w:p w14:paraId="75FA4A1E">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73E92EC">
            <w:pPr>
              <w:widowControl w:val="0"/>
              <w:spacing w:line="276" w:lineRule="auto"/>
              <w:jc w:val="center"/>
              <w:rPr>
                <w:rFonts w:ascii="宋体" w:hAnsi="宋体" w:eastAsia="宋体"/>
                <w:szCs w:val="21"/>
              </w:rPr>
            </w:pPr>
            <w:r>
              <w:rPr>
                <w:rFonts w:ascii="宋体" w:hAnsi="宋体" w:eastAsia="宋体"/>
                <w:szCs w:val="21"/>
              </w:rPr>
              <w:t>22</w:t>
            </w:r>
          </w:p>
        </w:tc>
        <w:tc>
          <w:tcPr>
            <w:tcW w:w="499" w:type="dxa"/>
            <w:vAlign w:val="center"/>
          </w:tcPr>
          <w:p w14:paraId="598C76DC">
            <w:pPr>
              <w:widowControl w:val="0"/>
              <w:spacing w:line="276" w:lineRule="auto"/>
              <w:jc w:val="center"/>
              <w:rPr>
                <w:rFonts w:ascii="宋体" w:hAnsi="宋体" w:eastAsia="宋体"/>
                <w:szCs w:val="21"/>
              </w:rPr>
            </w:pPr>
            <w:r>
              <w:rPr>
                <w:rFonts w:hint="eastAsia" w:ascii="宋体" w:hAnsi="宋体" w:eastAsia="宋体"/>
                <w:szCs w:val="21"/>
              </w:rPr>
              <w:t>套</w:t>
            </w:r>
          </w:p>
        </w:tc>
      </w:tr>
      <w:tr w14:paraId="4525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CAB40A1">
            <w:pPr>
              <w:widowControl w:val="0"/>
              <w:spacing w:line="276" w:lineRule="auto"/>
              <w:jc w:val="center"/>
              <w:rPr>
                <w:rFonts w:ascii="宋体" w:hAnsi="宋体" w:eastAsia="宋体"/>
                <w:szCs w:val="21"/>
              </w:rPr>
            </w:pPr>
            <w:r>
              <w:rPr>
                <w:rFonts w:ascii="宋体" w:hAnsi="宋体" w:eastAsia="宋体"/>
                <w:szCs w:val="21"/>
              </w:rPr>
              <w:t>49</w:t>
            </w:r>
          </w:p>
        </w:tc>
        <w:tc>
          <w:tcPr>
            <w:tcW w:w="2001" w:type="dxa"/>
            <w:vAlign w:val="center"/>
          </w:tcPr>
          <w:p w14:paraId="64761C6B">
            <w:pPr>
              <w:widowControl w:val="0"/>
              <w:spacing w:line="276" w:lineRule="auto"/>
              <w:jc w:val="center"/>
              <w:rPr>
                <w:rFonts w:ascii="宋体" w:hAnsi="宋体" w:eastAsia="宋体"/>
                <w:szCs w:val="21"/>
              </w:rPr>
            </w:pPr>
            <w:r>
              <w:rPr>
                <w:rFonts w:hint="eastAsia" w:ascii="宋体" w:hAnsi="宋体" w:eastAsia="宋体"/>
                <w:szCs w:val="21"/>
              </w:rPr>
              <w:t>补光灯</w:t>
            </w:r>
          </w:p>
        </w:tc>
        <w:tc>
          <w:tcPr>
            <w:tcW w:w="4576" w:type="dxa"/>
            <w:vAlign w:val="center"/>
          </w:tcPr>
          <w:p w14:paraId="76BA6A43">
            <w:pPr>
              <w:widowControl w:val="0"/>
              <w:spacing w:line="276" w:lineRule="auto"/>
              <w:jc w:val="both"/>
              <w:rPr>
                <w:rFonts w:ascii="宋体" w:hAnsi="宋体" w:eastAsia="宋体"/>
                <w:szCs w:val="21"/>
              </w:rPr>
            </w:pPr>
            <w:r>
              <w:rPr>
                <w:rFonts w:hint="eastAsia" w:ascii="宋体" w:hAnsi="宋体" w:eastAsia="宋体"/>
                <w:szCs w:val="21"/>
              </w:rPr>
              <w:t>1、具备</w:t>
            </w:r>
            <w:r>
              <w:rPr>
                <w:rFonts w:ascii="宋体" w:hAnsi="宋体" w:eastAsia="宋体"/>
                <w:szCs w:val="21"/>
              </w:rPr>
              <w:t xml:space="preserve"> LED 光源（一级频闪）和红外光源（脉冲型），抓拍补光不炫目，亮度、色</w:t>
            </w:r>
            <w:r>
              <w:rPr>
                <w:rFonts w:hint="eastAsia" w:ascii="宋体" w:hAnsi="宋体" w:eastAsia="宋体"/>
                <w:szCs w:val="21"/>
              </w:rPr>
              <w:t>温应符合</w:t>
            </w:r>
            <w:r>
              <w:rPr>
                <w:rFonts w:ascii="宋体" w:hAnsi="宋体" w:eastAsia="宋体"/>
                <w:szCs w:val="21"/>
              </w:rPr>
              <w:t xml:space="preserve"> GA/T1202-2022《交通技术监控成像补光装置通用技术条件》</w:t>
            </w:r>
            <w:r>
              <w:rPr>
                <w:rFonts w:hint="eastAsia" w:ascii="宋体" w:hAnsi="宋体" w:eastAsia="宋体"/>
                <w:szCs w:val="21"/>
              </w:rPr>
              <w:t>；</w:t>
            </w:r>
          </w:p>
          <w:p w14:paraId="14716E31">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LED 频闪支持 PWM 跟随触发，具有频率及占空比保护功能，发光角度 10°；红</w:t>
            </w:r>
            <w:r>
              <w:rPr>
                <w:rFonts w:hint="eastAsia" w:ascii="宋体" w:hAnsi="宋体" w:eastAsia="宋体"/>
                <w:szCs w:val="21"/>
              </w:rPr>
              <w:t>外爆闪具有防误触发功能。</w:t>
            </w:r>
          </w:p>
          <w:p w14:paraId="06C25541">
            <w:pPr>
              <w:widowControl w:val="0"/>
              <w:spacing w:line="276" w:lineRule="auto"/>
              <w:jc w:val="both"/>
              <w:rPr>
                <w:rFonts w:ascii="宋体" w:hAnsi="宋体" w:eastAsia="宋体"/>
                <w:szCs w:val="21"/>
              </w:rPr>
            </w:pPr>
            <w:r>
              <w:rPr>
                <w:rFonts w:hint="eastAsia" w:ascii="宋体" w:hAnsi="宋体" w:eastAsia="宋体"/>
                <w:szCs w:val="21"/>
              </w:rPr>
              <w:t>3、</w:t>
            </w:r>
            <w:r>
              <w:rPr>
                <w:rFonts w:ascii="宋体" w:hAnsi="宋体" w:eastAsia="宋体"/>
                <w:szCs w:val="21"/>
              </w:rPr>
              <w:t>可覆盖 1 个车道</w:t>
            </w:r>
            <w:r>
              <w:rPr>
                <w:rFonts w:hint="eastAsia" w:ascii="宋体" w:hAnsi="宋体" w:eastAsia="宋体"/>
                <w:szCs w:val="21"/>
              </w:rPr>
              <w:t>；</w:t>
            </w:r>
          </w:p>
          <w:p w14:paraId="0D99B625">
            <w:pPr>
              <w:widowControl w:val="0"/>
              <w:spacing w:line="276" w:lineRule="auto"/>
              <w:jc w:val="both"/>
              <w:rPr>
                <w:rFonts w:ascii="宋体" w:hAnsi="宋体" w:eastAsia="宋体"/>
                <w:szCs w:val="21"/>
              </w:rPr>
            </w:pPr>
            <w:r>
              <w:rPr>
                <w:rFonts w:hint="eastAsia" w:ascii="宋体" w:hAnsi="宋体" w:eastAsia="宋体"/>
                <w:szCs w:val="21"/>
              </w:rPr>
              <w:t>4、</w:t>
            </w:r>
            <w:r>
              <w:rPr>
                <w:rFonts w:ascii="宋体" w:hAnsi="宋体" w:eastAsia="宋体"/>
                <w:szCs w:val="21"/>
              </w:rPr>
              <w:t>采用步进电机功能，实现红外滤片的切换</w:t>
            </w:r>
            <w:r>
              <w:rPr>
                <w:rFonts w:hint="eastAsia" w:ascii="宋体" w:hAnsi="宋体" w:eastAsia="宋体"/>
                <w:szCs w:val="21"/>
              </w:rPr>
              <w:t>；</w:t>
            </w:r>
          </w:p>
          <w:p w14:paraId="4D71C2F6">
            <w:pPr>
              <w:widowControl w:val="0"/>
              <w:spacing w:line="276" w:lineRule="auto"/>
              <w:jc w:val="both"/>
              <w:rPr>
                <w:rFonts w:ascii="宋体" w:hAnsi="宋体" w:eastAsia="宋体"/>
                <w:szCs w:val="21"/>
              </w:rPr>
            </w:pPr>
            <w:r>
              <w:rPr>
                <w:rFonts w:ascii="宋体" w:hAnsi="宋体" w:eastAsia="宋体"/>
                <w:szCs w:val="21"/>
              </w:rPr>
              <w:t>5</w:t>
            </w:r>
            <w:r>
              <w:rPr>
                <w:rFonts w:hint="eastAsia" w:ascii="宋体" w:hAnsi="宋体" w:eastAsia="宋体"/>
                <w:szCs w:val="21"/>
              </w:rPr>
              <w:t>、</w:t>
            </w:r>
            <w:r>
              <w:rPr>
                <w:rFonts w:ascii="宋体" w:hAnsi="宋体" w:eastAsia="宋体"/>
                <w:szCs w:val="21"/>
              </w:rPr>
              <w:t>支持超速连拍</w:t>
            </w:r>
            <w:r>
              <w:rPr>
                <w:rFonts w:hint="eastAsia" w:ascii="宋体" w:hAnsi="宋体" w:eastAsia="宋体"/>
                <w:szCs w:val="21"/>
              </w:rPr>
              <w:t>；</w:t>
            </w:r>
          </w:p>
          <w:p w14:paraId="0208529B">
            <w:pPr>
              <w:widowControl w:val="0"/>
              <w:spacing w:line="276" w:lineRule="auto"/>
              <w:jc w:val="both"/>
              <w:rPr>
                <w:rFonts w:ascii="宋体" w:hAnsi="宋体" w:eastAsia="宋体"/>
                <w:szCs w:val="21"/>
              </w:rPr>
            </w:pPr>
            <w:r>
              <w:rPr>
                <w:rFonts w:hint="eastAsia" w:ascii="宋体" w:hAnsi="宋体" w:eastAsia="宋体"/>
                <w:szCs w:val="21"/>
              </w:rPr>
              <w:t>6、</w:t>
            </w:r>
            <w:r>
              <w:rPr>
                <w:rFonts w:ascii="宋体" w:hAnsi="宋体" w:eastAsia="宋体"/>
                <w:szCs w:val="21"/>
              </w:rPr>
              <w:t>气体补光控制具有峰值抑制功能</w:t>
            </w:r>
            <w:r>
              <w:rPr>
                <w:rFonts w:hint="eastAsia" w:ascii="宋体" w:hAnsi="宋体" w:eastAsia="宋体"/>
                <w:szCs w:val="21"/>
              </w:rPr>
              <w:t>；</w:t>
            </w:r>
          </w:p>
          <w:p w14:paraId="4D101FA4">
            <w:pPr>
              <w:widowControl w:val="0"/>
              <w:spacing w:line="276" w:lineRule="auto"/>
              <w:jc w:val="both"/>
              <w:rPr>
                <w:rFonts w:ascii="宋体" w:hAnsi="宋体" w:eastAsia="宋体"/>
                <w:szCs w:val="21"/>
              </w:rPr>
            </w:pPr>
            <w:r>
              <w:rPr>
                <w:rFonts w:hint="eastAsia" w:ascii="宋体" w:hAnsi="宋体" w:eastAsia="宋体"/>
                <w:szCs w:val="21"/>
              </w:rPr>
              <w:t>7、</w:t>
            </w:r>
            <w:r>
              <w:rPr>
                <w:rFonts w:ascii="宋体" w:hAnsi="宋体" w:eastAsia="宋体"/>
                <w:szCs w:val="21"/>
              </w:rPr>
              <w:t>支持相机误触发保护功能，触发信号输入异常时自动保护、且自动恢复</w:t>
            </w:r>
            <w:r>
              <w:rPr>
                <w:rFonts w:hint="eastAsia" w:ascii="宋体" w:hAnsi="宋体" w:eastAsia="宋体"/>
                <w:szCs w:val="21"/>
              </w:rPr>
              <w:t>；</w:t>
            </w:r>
          </w:p>
          <w:p w14:paraId="112DA00D">
            <w:pPr>
              <w:widowControl w:val="0"/>
              <w:spacing w:line="276" w:lineRule="auto"/>
              <w:jc w:val="both"/>
              <w:rPr>
                <w:rFonts w:ascii="宋体" w:hAnsi="宋体" w:eastAsia="宋体"/>
                <w:szCs w:val="21"/>
              </w:rPr>
            </w:pPr>
            <w:r>
              <w:rPr>
                <w:rFonts w:hint="eastAsia" w:ascii="宋体" w:hAnsi="宋体" w:eastAsia="宋体"/>
                <w:szCs w:val="21"/>
              </w:rPr>
              <w:t>8、</w:t>
            </w:r>
            <w:r>
              <w:rPr>
                <w:rFonts w:ascii="宋体" w:hAnsi="宋体" w:eastAsia="宋体"/>
                <w:szCs w:val="21"/>
              </w:rPr>
              <w:t>结构采用 IP66 设计，增加透气孔，保持内外压强均衡，可靠防水、防尘</w:t>
            </w:r>
            <w:r>
              <w:rPr>
                <w:rFonts w:hint="eastAsia" w:ascii="宋体" w:hAnsi="宋体" w:eastAsia="宋体"/>
                <w:szCs w:val="21"/>
              </w:rPr>
              <w:t>；</w:t>
            </w:r>
          </w:p>
          <w:p w14:paraId="51C85593">
            <w:pPr>
              <w:widowControl w:val="0"/>
              <w:spacing w:line="276" w:lineRule="auto"/>
              <w:jc w:val="both"/>
              <w:rPr>
                <w:rFonts w:ascii="宋体" w:hAnsi="宋体" w:eastAsia="宋体"/>
                <w:szCs w:val="21"/>
              </w:rPr>
            </w:pPr>
            <w:r>
              <w:rPr>
                <w:rFonts w:hint="eastAsia" w:ascii="宋体" w:hAnsi="宋体" w:eastAsia="宋体"/>
                <w:szCs w:val="21"/>
              </w:rPr>
              <w:t>9、</w:t>
            </w:r>
            <w:r>
              <w:rPr>
                <w:rFonts w:ascii="宋体" w:hAnsi="宋体" w:eastAsia="宋体"/>
                <w:szCs w:val="21"/>
              </w:rPr>
              <w:t>支持亮度等级可设置；</w:t>
            </w:r>
          </w:p>
          <w:p w14:paraId="4F346C9E">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抓拍补光同步：支持抓拍同步补光功能；</w:t>
            </w:r>
          </w:p>
          <w:p w14:paraId="2990A14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平均无故障时间：MTBF ≥ 30000h；</w:t>
            </w:r>
          </w:p>
          <w:p w14:paraId="2DDE1896">
            <w:pPr>
              <w:widowControl w:val="0"/>
              <w:spacing w:line="276" w:lineRule="auto"/>
              <w:jc w:val="both"/>
              <w:rPr>
                <w:rFonts w:ascii="宋体" w:hAnsi="宋体" w:eastAsia="宋体"/>
                <w:szCs w:val="21"/>
              </w:rPr>
            </w:pPr>
            <w:r>
              <w:rPr>
                <w:rFonts w:ascii="宋体" w:hAnsi="宋体" w:eastAsia="宋体"/>
                <w:szCs w:val="21"/>
              </w:rPr>
              <w:t>12</w:t>
            </w:r>
            <w:r>
              <w:rPr>
                <w:rFonts w:hint="eastAsia" w:ascii="宋体" w:hAnsi="宋体" w:eastAsia="宋体"/>
                <w:szCs w:val="21"/>
              </w:rPr>
              <w:t>、</w:t>
            </w:r>
            <w:r>
              <w:rPr>
                <w:rFonts w:ascii="宋体" w:hAnsi="宋体" w:eastAsia="宋体"/>
                <w:szCs w:val="21"/>
              </w:rPr>
              <w:t>防护等级：IP66；</w:t>
            </w:r>
          </w:p>
          <w:p w14:paraId="127A4963">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3</w:t>
            </w:r>
            <w:r>
              <w:rPr>
                <w:rFonts w:hint="eastAsia" w:ascii="宋体" w:hAnsi="宋体" w:eastAsia="宋体"/>
                <w:szCs w:val="21"/>
              </w:rPr>
              <w:t>、</w:t>
            </w:r>
            <w:r>
              <w:rPr>
                <w:rFonts w:ascii="宋体" w:hAnsi="宋体" w:eastAsia="宋体"/>
                <w:szCs w:val="21"/>
              </w:rPr>
              <w:t>供电电压及适应范围：AC220V±20%；</w:t>
            </w:r>
          </w:p>
          <w:p w14:paraId="09C7BC0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w:t>
            </w:r>
            <w:r>
              <w:rPr>
                <w:rFonts w:ascii="宋体" w:hAnsi="宋体" w:eastAsia="宋体"/>
                <w:szCs w:val="21"/>
              </w:rPr>
              <w:t>功耗：≤48W；</w:t>
            </w:r>
          </w:p>
          <w:p w14:paraId="41BA9142">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5</w:t>
            </w:r>
            <w:r>
              <w:rPr>
                <w:rFonts w:hint="eastAsia" w:ascii="宋体" w:hAnsi="宋体" w:eastAsia="宋体"/>
                <w:szCs w:val="21"/>
              </w:rPr>
              <w:t>、</w:t>
            </w:r>
            <w:r>
              <w:rPr>
                <w:rFonts w:ascii="宋体" w:hAnsi="宋体" w:eastAsia="宋体"/>
                <w:szCs w:val="21"/>
              </w:rPr>
              <w:t>工作环境温度：-40℃～70℃；</w:t>
            </w:r>
          </w:p>
          <w:p w14:paraId="25DC8535">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6</w:t>
            </w:r>
            <w:r>
              <w:rPr>
                <w:rFonts w:hint="eastAsia" w:ascii="宋体" w:hAnsi="宋体" w:eastAsia="宋体"/>
                <w:szCs w:val="21"/>
              </w:rPr>
              <w:t>、</w:t>
            </w:r>
            <w:r>
              <w:rPr>
                <w:rFonts w:ascii="宋体" w:hAnsi="宋体" w:eastAsia="宋体"/>
                <w:szCs w:val="21"/>
              </w:rPr>
              <w:t>工作环境相对湿度：＜95％，无凝结；</w:t>
            </w:r>
          </w:p>
          <w:p w14:paraId="73147442">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7</w:t>
            </w:r>
            <w:r>
              <w:rPr>
                <w:rFonts w:hint="eastAsia" w:ascii="宋体" w:hAnsi="宋体" w:eastAsia="宋体"/>
                <w:szCs w:val="21"/>
              </w:rPr>
              <w:t>、</w:t>
            </w:r>
            <w:r>
              <w:rPr>
                <w:rFonts w:ascii="宋体" w:hAnsi="宋体" w:eastAsia="宋体"/>
                <w:szCs w:val="21"/>
              </w:rPr>
              <w:t>安装角度可调，含必要的支架、万向节等安装附属材料。</w:t>
            </w:r>
          </w:p>
          <w:p w14:paraId="2692CBAB">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F243E51">
            <w:pPr>
              <w:widowControl w:val="0"/>
              <w:spacing w:line="276" w:lineRule="auto"/>
              <w:jc w:val="center"/>
              <w:rPr>
                <w:rFonts w:ascii="宋体" w:hAnsi="宋体" w:eastAsia="宋体"/>
                <w:szCs w:val="21"/>
              </w:rPr>
            </w:pPr>
            <w:r>
              <w:rPr>
                <w:rFonts w:ascii="宋体" w:hAnsi="宋体" w:eastAsia="宋体"/>
                <w:szCs w:val="21"/>
              </w:rPr>
              <w:t>210</w:t>
            </w:r>
          </w:p>
        </w:tc>
        <w:tc>
          <w:tcPr>
            <w:tcW w:w="499" w:type="dxa"/>
            <w:vAlign w:val="center"/>
          </w:tcPr>
          <w:p w14:paraId="7516E98C">
            <w:pPr>
              <w:widowControl w:val="0"/>
              <w:spacing w:line="276" w:lineRule="auto"/>
              <w:jc w:val="center"/>
              <w:rPr>
                <w:rFonts w:ascii="宋体" w:hAnsi="宋体" w:eastAsia="宋体"/>
                <w:szCs w:val="21"/>
              </w:rPr>
            </w:pPr>
            <w:r>
              <w:rPr>
                <w:rFonts w:hint="eastAsia" w:ascii="宋体" w:hAnsi="宋体" w:eastAsia="宋体"/>
                <w:szCs w:val="21"/>
              </w:rPr>
              <w:t>个</w:t>
            </w:r>
          </w:p>
        </w:tc>
      </w:tr>
      <w:tr w14:paraId="7CDA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7AD91BC">
            <w:pPr>
              <w:widowControl w:val="0"/>
              <w:spacing w:line="276" w:lineRule="auto"/>
              <w:jc w:val="center"/>
              <w:rPr>
                <w:rFonts w:ascii="宋体" w:hAnsi="宋体" w:eastAsia="宋体"/>
                <w:szCs w:val="21"/>
              </w:rPr>
            </w:pPr>
            <w:r>
              <w:rPr>
                <w:rFonts w:ascii="宋体" w:hAnsi="宋体" w:eastAsia="宋体"/>
                <w:szCs w:val="21"/>
              </w:rPr>
              <w:t>50</w:t>
            </w:r>
          </w:p>
        </w:tc>
        <w:tc>
          <w:tcPr>
            <w:tcW w:w="2001" w:type="dxa"/>
            <w:vAlign w:val="center"/>
          </w:tcPr>
          <w:p w14:paraId="4D4D6A51">
            <w:pPr>
              <w:widowControl w:val="0"/>
              <w:spacing w:line="276" w:lineRule="auto"/>
              <w:jc w:val="center"/>
              <w:rPr>
                <w:rFonts w:ascii="宋体" w:hAnsi="宋体" w:eastAsia="宋体"/>
                <w:szCs w:val="21"/>
              </w:rPr>
            </w:pPr>
            <w:r>
              <w:rPr>
                <w:rFonts w:hint="eastAsia" w:ascii="宋体" w:hAnsi="宋体" w:eastAsia="宋体"/>
                <w:szCs w:val="21"/>
              </w:rPr>
              <w:t>交调终端服务器</w:t>
            </w:r>
          </w:p>
        </w:tc>
        <w:tc>
          <w:tcPr>
            <w:tcW w:w="4576" w:type="dxa"/>
            <w:vAlign w:val="center"/>
          </w:tcPr>
          <w:p w14:paraId="2122486D">
            <w:pPr>
              <w:widowControl w:val="0"/>
              <w:spacing w:line="276" w:lineRule="auto"/>
              <w:jc w:val="both"/>
              <w:rPr>
                <w:rFonts w:ascii="宋体" w:hAnsi="宋体" w:eastAsia="宋体"/>
                <w:szCs w:val="21"/>
              </w:rPr>
            </w:pPr>
            <w:r>
              <w:rPr>
                <w:rFonts w:hint="eastAsia" w:ascii="宋体" w:hAnsi="宋体" w:eastAsia="宋体"/>
                <w:szCs w:val="21"/>
              </w:rPr>
              <w:t>（1）功能要求</w:t>
            </w:r>
            <w:r>
              <w:rPr>
                <w:rFonts w:hint="eastAsia" w:ascii="宋体" w:hAnsi="宋体" w:eastAsia="宋体"/>
                <w:szCs w:val="21"/>
              </w:rPr>
              <w:br w:type="page"/>
            </w:r>
            <w:r>
              <w:rPr>
                <w:rFonts w:hint="eastAsia" w:ascii="宋体" w:hAnsi="宋体" w:eastAsia="宋体"/>
                <w:szCs w:val="21"/>
              </w:rPr>
              <w:t>1、具备多传感器检测目标融合功能，同个站点具备车牌与称重、车辆、气象监测数据</w:t>
            </w:r>
            <w:r>
              <w:rPr>
                <w:rFonts w:hint="eastAsia" w:ascii="宋体" w:hAnsi="宋体" w:eastAsia="宋体"/>
                <w:szCs w:val="21"/>
              </w:rPr>
              <w:br w:type="page"/>
            </w:r>
            <w:r>
              <w:rPr>
                <w:rFonts w:hint="eastAsia" w:ascii="宋体" w:hAnsi="宋体" w:eastAsia="宋体"/>
                <w:szCs w:val="21"/>
              </w:rPr>
              <w:t>关联功能；</w:t>
            </w:r>
            <w:r>
              <w:rPr>
                <w:rFonts w:hint="eastAsia" w:ascii="宋体" w:hAnsi="宋体" w:eastAsia="宋体"/>
                <w:szCs w:val="21"/>
              </w:rPr>
              <w:br w:type="page"/>
            </w:r>
            <w:r>
              <w:rPr>
                <w:rFonts w:hint="eastAsia" w:ascii="宋体" w:hAnsi="宋体" w:eastAsia="宋体"/>
                <w:szCs w:val="21"/>
              </w:rPr>
              <w:t>2、具备按照《公路交通情况调查设备第2部分：通信协议》（JT/T</w:t>
            </w:r>
            <w:r>
              <w:rPr>
                <w:rFonts w:ascii="宋体" w:hAnsi="宋体" w:eastAsia="宋体"/>
                <w:szCs w:val="21"/>
              </w:rPr>
              <w:t xml:space="preserve"> </w:t>
            </w:r>
            <w:r>
              <w:rPr>
                <w:rFonts w:hint="eastAsia" w:ascii="宋体" w:hAnsi="宋体" w:eastAsia="宋体"/>
                <w:szCs w:val="21"/>
              </w:rPr>
              <w:t>1008.2-2015）单</w:t>
            </w:r>
            <w:r>
              <w:rPr>
                <w:rFonts w:hint="eastAsia" w:ascii="宋体" w:hAnsi="宋体" w:eastAsia="宋体"/>
                <w:szCs w:val="21"/>
              </w:rPr>
              <w:br w:type="page"/>
            </w:r>
            <w:r>
              <w:rPr>
                <w:rFonts w:hint="eastAsia" w:ascii="宋体" w:hAnsi="宋体" w:eastAsia="宋体"/>
                <w:szCs w:val="21"/>
              </w:rPr>
              <w:t>车数据和图像上传的要求上传数据；</w:t>
            </w:r>
            <w:r>
              <w:rPr>
                <w:rFonts w:hint="eastAsia" w:ascii="宋体" w:hAnsi="宋体" w:eastAsia="宋体"/>
                <w:szCs w:val="21"/>
              </w:rPr>
              <w:br w:type="page"/>
            </w:r>
            <w:r>
              <w:rPr>
                <w:rFonts w:hint="eastAsia" w:ascii="宋体" w:hAnsi="宋体" w:eastAsia="宋体"/>
                <w:szCs w:val="21"/>
              </w:rPr>
              <w:t>3、多功能交通调查站应按照行驶方向、分车道采集单个机动车车牌数据，能够按5</w:t>
            </w:r>
            <w:r>
              <w:rPr>
                <w:rFonts w:hint="eastAsia" w:ascii="宋体" w:hAnsi="宋体" w:eastAsia="宋体"/>
                <w:szCs w:val="21"/>
              </w:rPr>
              <w:br w:type="page"/>
            </w:r>
            <w:r>
              <w:rPr>
                <w:rFonts w:hint="eastAsia" w:ascii="宋体" w:hAnsi="宋体" w:eastAsia="宋体"/>
                <w:szCs w:val="21"/>
              </w:rPr>
              <w:t>分钟周期自动汇、实时回传总交通流量，功能，支持有线或无线方式传输；</w:t>
            </w:r>
            <w:r>
              <w:rPr>
                <w:rFonts w:hint="eastAsia" w:ascii="宋体" w:hAnsi="宋体" w:eastAsia="宋体"/>
                <w:szCs w:val="21"/>
              </w:rPr>
              <w:br w:type="page"/>
            </w:r>
            <w:r>
              <w:rPr>
                <w:rFonts w:hint="eastAsia" w:ascii="宋体" w:hAnsi="宋体" w:eastAsia="宋体"/>
                <w:szCs w:val="21"/>
              </w:rPr>
              <w:t>4、依据《公路交通情况调查设备第1 部分：技术条件》（JT/T 1008.1—2015），自</w:t>
            </w:r>
            <w:r>
              <w:rPr>
                <w:rFonts w:hint="eastAsia" w:ascii="宋体" w:hAnsi="宋体" w:eastAsia="宋体"/>
                <w:szCs w:val="21"/>
              </w:rPr>
              <w:br w:type="page"/>
            </w:r>
            <w:r>
              <w:rPr>
                <w:rFonts w:hint="eastAsia" w:ascii="宋体" w:hAnsi="宋体" w:eastAsia="宋体"/>
                <w:szCs w:val="21"/>
              </w:rPr>
              <w:t>动汇总交通量准确率≥95%；</w:t>
            </w:r>
            <w:r>
              <w:rPr>
                <w:rFonts w:hint="eastAsia" w:ascii="宋体" w:hAnsi="宋体" w:eastAsia="宋体"/>
                <w:szCs w:val="21"/>
              </w:rPr>
              <w:br w:type="page"/>
            </w:r>
            <w:r>
              <w:rPr>
                <w:rFonts w:hint="eastAsia" w:ascii="宋体" w:hAnsi="宋体" w:eastAsia="宋体"/>
                <w:szCs w:val="21"/>
              </w:rPr>
              <w:t>5、具备交通量调查数据的整合、存储、上传功能；交通量数据实时上传数据服务中心，</w:t>
            </w:r>
            <w:r>
              <w:rPr>
                <w:rFonts w:hint="eastAsia" w:ascii="宋体" w:hAnsi="宋体" w:eastAsia="宋体"/>
                <w:szCs w:val="21"/>
              </w:rPr>
              <w:br w:type="page"/>
            </w:r>
            <w:r>
              <w:rPr>
                <w:rFonts w:hint="eastAsia" w:ascii="宋体" w:hAnsi="宋体" w:eastAsia="宋体"/>
                <w:szCs w:val="21"/>
              </w:rPr>
              <w:t>且具备断网续传功能；</w:t>
            </w:r>
            <w:r>
              <w:rPr>
                <w:rFonts w:hint="eastAsia" w:ascii="宋体" w:hAnsi="宋体" w:eastAsia="宋体"/>
                <w:szCs w:val="21"/>
              </w:rPr>
              <w:br w:type="page"/>
            </w:r>
            <w:r>
              <w:rPr>
                <w:rFonts w:hint="eastAsia" w:ascii="宋体" w:hAnsi="宋体" w:eastAsia="宋体"/>
                <w:szCs w:val="21"/>
              </w:rPr>
              <w:t>6、通信异常时，应能将未及时上传的数据进行存储。通信恢复后，将通信中断期间保</w:t>
            </w:r>
            <w:r>
              <w:rPr>
                <w:rFonts w:hint="eastAsia" w:ascii="宋体" w:hAnsi="宋体" w:eastAsia="宋体"/>
                <w:szCs w:val="21"/>
              </w:rPr>
              <w:br w:type="page"/>
            </w:r>
            <w:r>
              <w:rPr>
                <w:rFonts w:hint="eastAsia" w:ascii="宋体" w:hAnsi="宋体" w:eastAsia="宋体"/>
                <w:szCs w:val="21"/>
              </w:rPr>
              <w:t>存的数据顺序传输至数据平台；</w:t>
            </w:r>
            <w:r>
              <w:rPr>
                <w:rFonts w:hint="eastAsia" w:ascii="宋体" w:hAnsi="宋体" w:eastAsia="宋体"/>
                <w:szCs w:val="21"/>
              </w:rPr>
              <w:br w:type="page"/>
            </w:r>
            <w:r>
              <w:rPr>
                <w:rFonts w:hint="eastAsia" w:ascii="宋体" w:hAnsi="宋体" w:eastAsia="宋体"/>
                <w:szCs w:val="21"/>
              </w:rPr>
              <w:t>7、当断电后恢复至正常供电时，设备应能自行恢复至正常工作状态，设备内存储的数</w:t>
            </w:r>
            <w:r>
              <w:rPr>
                <w:rFonts w:hint="eastAsia" w:ascii="宋体" w:hAnsi="宋体" w:eastAsia="宋体"/>
                <w:szCs w:val="21"/>
              </w:rPr>
              <w:br w:type="page"/>
            </w:r>
            <w:r>
              <w:rPr>
                <w:rFonts w:hint="eastAsia" w:ascii="宋体" w:hAnsi="宋体" w:eastAsia="宋体"/>
                <w:szCs w:val="21"/>
              </w:rPr>
              <w:t>据应无丢失；</w:t>
            </w:r>
            <w:r>
              <w:rPr>
                <w:rFonts w:hint="eastAsia" w:ascii="宋体" w:hAnsi="宋体" w:eastAsia="宋体"/>
                <w:szCs w:val="21"/>
              </w:rPr>
              <w:br w:type="page"/>
            </w:r>
            <w:r>
              <w:rPr>
                <w:rFonts w:hint="eastAsia" w:ascii="宋体" w:hAnsi="宋体" w:eastAsia="宋体"/>
                <w:szCs w:val="21"/>
              </w:rPr>
              <w:t>8、具备自动校时功能。</w:t>
            </w:r>
          </w:p>
          <w:p w14:paraId="7BD2C065">
            <w:pPr>
              <w:widowControl w:val="0"/>
              <w:spacing w:line="276" w:lineRule="auto"/>
              <w:jc w:val="both"/>
              <w:rPr>
                <w:rFonts w:hint="eastAsia" w:ascii="宋体" w:hAnsi="宋体" w:eastAsia="宋体"/>
                <w:szCs w:val="21"/>
              </w:rPr>
            </w:pPr>
            <w:r>
              <w:rPr>
                <w:rFonts w:hint="eastAsia" w:ascii="宋体" w:hAnsi="宋体" w:eastAsia="宋体"/>
                <w:szCs w:val="21"/>
              </w:rPr>
              <w:br w:type="page"/>
            </w:r>
            <w:r>
              <w:rPr>
                <w:rFonts w:hint="eastAsia" w:ascii="宋体" w:hAnsi="宋体" w:eastAsia="宋体"/>
                <w:szCs w:val="21"/>
              </w:rPr>
              <w:t>（2）设备参数</w:t>
            </w:r>
            <w:r>
              <w:rPr>
                <w:rFonts w:hint="eastAsia" w:ascii="宋体" w:hAnsi="宋体" w:eastAsia="宋体"/>
                <w:szCs w:val="21"/>
              </w:rPr>
              <w:br w:type="page"/>
            </w:r>
            <w:r>
              <w:rPr>
                <w:rFonts w:hint="eastAsia" w:ascii="宋体" w:hAnsi="宋体" w:eastAsia="宋体"/>
                <w:szCs w:val="21"/>
              </w:rPr>
              <w:t>1、可配置多种字符叠加、图片合成模式；</w:t>
            </w:r>
            <w:r>
              <w:rPr>
                <w:rFonts w:hint="eastAsia" w:ascii="宋体" w:hAnsi="宋体" w:eastAsia="宋体"/>
                <w:szCs w:val="21"/>
              </w:rPr>
              <w:br w:type="page"/>
            </w:r>
            <w:r>
              <w:rPr>
                <w:rFonts w:hint="eastAsia" w:ascii="宋体" w:hAnsi="宋体" w:eastAsia="宋体"/>
                <w:szCs w:val="21"/>
              </w:rPr>
              <w:t>2、硬盘存储不少于3 个SATA 接口，单SATA 接口可支持不低于6TB 容量硬盘；</w:t>
            </w:r>
            <w:r>
              <w:rPr>
                <w:rFonts w:hint="eastAsia" w:ascii="宋体" w:hAnsi="宋体" w:eastAsia="宋体"/>
                <w:szCs w:val="21"/>
              </w:rPr>
              <w:br w:type="page"/>
            </w:r>
            <w:r>
              <w:rPr>
                <w:rFonts w:hint="eastAsia" w:ascii="宋体" w:hAnsi="宋体" w:eastAsia="宋体"/>
                <w:szCs w:val="21"/>
              </w:rPr>
              <w:t>3、内置不少于4 个100M 网口，可方便接入IP 摄像机与激光单元；</w:t>
            </w:r>
            <w:r>
              <w:rPr>
                <w:rFonts w:hint="eastAsia" w:ascii="宋体" w:hAnsi="宋体" w:eastAsia="宋体"/>
                <w:szCs w:val="21"/>
              </w:rPr>
              <w:br w:type="page"/>
            </w:r>
            <w:r>
              <w:rPr>
                <w:rFonts w:hint="eastAsia" w:ascii="宋体" w:hAnsi="宋体" w:eastAsia="宋体"/>
                <w:szCs w:val="21"/>
              </w:rPr>
              <w:t>4、内置2 个10/100/1000M自适应以太网接口，2 个千兆SFP 光纤接口；</w:t>
            </w:r>
            <w:r>
              <w:rPr>
                <w:rFonts w:hint="eastAsia" w:ascii="宋体" w:hAnsi="宋体" w:eastAsia="宋体"/>
                <w:szCs w:val="21"/>
              </w:rPr>
              <w:br w:type="page"/>
            </w:r>
            <w:r>
              <w:rPr>
                <w:rFonts w:hint="eastAsia" w:ascii="宋体" w:hAnsi="宋体" w:eastAsia="宋体"/>
                <w:szCs w:val="21"/>
              </w:rPr>
              <w:t>5、支持不少于8 路视频相机或抓拍设备接入；</w:t>
            </w:r>
            <w:r>
              <w:rPr>
                <w:rFonts w:hint="eastAsia" w:ascii="宋体" w:hAnsi="宋体" w:eastAsia="宋体"/>
                <w:szCs w:val="21"/>
              </w:rPr>
              <w:br w:type="page"/>
            </w:r>
            <w:r>
              <w:rPr>
                <w:rFonts w:hint="eastAsia" w:ascii="宋体" w:hAnsi="宋体" w:eastAsia="宋体"/>
                <w:szCs w:val="21"/>
              </w:rPr>
              <w:t>6、视频录像支持录像存储功能，存储时长根据设定的码流大小和配置的硬盘容量确</w:t>
            </w:r>
            <w:r>
              <w:rPr>
                <w:rFonts w:hint="eastAsia" w:ascii="宋体" w:hAnsi="宋体" w:eastAsia="宋体"/>
                <w:szCs w:val="21"/>
              </w:rPr>
              <w:br w:type="page"/>
            </w:r>
            <w:r>
              <w:rPr>
                <w:rFonts w:hint="eastAsia" w:ascii="宋体" w:hAnsi="宋体" w:eastAsia="宋体"/>
                <w:szCs w:val="21"/>
              </w:rPr>
              <w:t>定上传支持交通数据断点续传和手动重传功能；</w:t>
            </w:r>
            <w:r>
              <w:rPr>
                <w:rFonts w:hint="eastAsia" w:ascii="宋体" w:hAnsi="宋体" w:eastAsia="宋体"/>
                <w:szCs w:val="21"/>
              </w:rPr>
              <w:br w:type="page"/>
            </w:r>
            <w:r>
              <w:rPr>
                <w:rFonts w:hint="eastAsia" w:ascii="宋体" w:hAnsi="宋体" w:eastAsia="宋体"/>
                <w:szCs w:val="21"/>
              </w:rPr>
              <w:t>7、网络设置支持设置双网段IP；</w:t>
            </w:r>
            <w:r>
              <w:rPr>
                <w:rFonts w:hint="eastAsia" w:ascii="宋体" w:hAnsi="宋体" w:eastAsia="宋体"/>
                <w:szCs w:val="21"/>
              </w:rPr>
              <w:br w:type="page"/>
            </w:r>
            <w:r>
              <w:rPr>
                <w:rFonts w:hint="eastAsia" w:ascii="宋体" w:hAnsi="宋体" w:eastAsia="宋体"/>
                <w:szCs w:val="21"/>
              </w:rPr>
              <w:t>8、工作环境温度：-40℃～70℃；</w:t>
            </w:r>
            <w:r>
              <w:rPr>
                <w:rFonts w:hint="eastAsia" w:ascii="宋体" w:hAnsi="宋体" w:eastAsia="宋体"/>
                <w:szCs w:val="21"/>
              </w:rPr>
              <w:br w:type="page"/>
            </w:r>
            <w:r>
              <w:rPr>
                <w:rFonts w:hint="eastAsia" w:ascii="宋体" w:hAnsi="宋体" w:eastAsia="宋体"/>
                <w:szCs w:val="21"/>
              </w:rPr>
              <w:t>9、工作湿度10%～90%。</w:t>
            </w:r>
          </w:p>
          <w:p w14:paraId="1E96090F">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40611FC">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586D9C71">
            <w:pPr>
              <w:widowControl w:val="0"/>
              <w:spacing w:line="276" w:lineRule="auto"/>
              <w:jc w:val="center"/>
              <w:rPr>
                <w:rFonts w:ascii="宋体" w:hAnsi="宋体" w:eastAsia="宋体"/>
                <w:szCs w:val="21"/>
              </w:rPr>
            </w:pPr>
            <w:r>
              <w:rPr>
                <w:rFonts w:hint="eastAsia" w:ascii="宋体" w:hAnsi="宋体" w:eastAsia="宋体"/>
                <w:szCs w:val="21"/>
              </w:rPr>
              <w:t>套</w:t>
            </w:r>
          </w:p>
        </w:tc>
      </w:tr>
      <w:tr w14:paraId="12D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71DC7595">
            <w:pPr>
              <w:widowControl w:val="0"/>
              <w:spacing w:line="276" w:lineRule="auto"/>
              <w:jc w:val="center"/>
              <w:rPr>
                <w:rFonts w:ascii="宋体" w:hAnsi="宋体" w:eastAsia="宋体"/>
                <w:szCs w:val="21"/>
              </w:rPr>
            </w:pPr>
            <w:r>
              <w:rPr>
                <w:rFonts w:ascii="宋体" w:hAnsi="宋体" w:eastAsia="宋体"/>
                <w:szCs w:val="21"/>
              </w:rPr>
              <w:t>51</w:t>
            </w:r>
          </w:p>
        </w:tc>
        <w:tc>
          <w:tcPr>
            <w:tcW w:w="2001" w:type="dxa"/>
            <w:vAlign w:val="center"/>
          </w:tcPr>
          <w:p w14:paraId="75278FBC">
            <w:pPr>
              <w:widowControl w:val="0"/>
              <w:spacing w:line="276" w:lineRule="auto"/>
              <w:jc w:val="center"/>
              <w:rPr>
                <w:rFonts w:ascii="宋体" w:hAnsi="宋体" w:eastAsia="宋体"/>
                <w:szCs w:val="21"/>
              </w:rPr>
            </w:pPr>
            <w:r>
              <w:rPr>
                <w:rFonts w:hint="eastAsia" w:ascii="宋体" w:hAnsi="宋体" w:eastAsia="宋体"/>
                <w:szCs w:val="21"/>
              </w:rPr>
              <w:t>视频监控设施（400万星光级一体机）</w:t>
            </w:r>
          </w:p>
        </w:tc>
        <w:tc>
          <w:tcPr>
            <w:tcW w:w="4576" w:type="dxa"/>
            <w:vAlign w:val="center"/>
          </w:tcPr>
          <w:p w14:paraId="473FE8DA">
            <w:pPr>
              <w:widowControl w:val="0"/>
              <w:spacing w:line="276" w:lineRule="auto"/>
              <w:jc w:val="both"/>
              <w:rPr>
                <w:rFonts w:hint="eastAsia" w:ascii="宋体" w:hAnsi="宋体" w:eastAsia="宋体"/>
                <w:szCs w:val="21"/>
              </w:rPr>
            </w:pPr>
            <w:r>
              <w:rPr>
                <w:rFonts w:hint="eastAsia" w:ascii="宋体" w:hAnsi="宋体" w:eastAsia="宋体"/>
                <w:szCs w:val="21"/>
              </w:rPr>
              <w:t>基本指标：</w:t>
            </w:r>
            <w:r>
              <w:rPr>
                <w:rFonts w:hint="eastAsia" w:ascii="宋体" w:hAnsi="宋体" w:eastAsia="宋体"/>
                <w:szCs w:val="21"/>
              </w:rPr>
              <w:br w:type="page"/>
            </w:r>
            <w:r>
              <w:rPr>
                <w:rFonts w:hint="eastAsia" w:ascii="宋体" w:hAnsi="宋体" w:eastAsia="宋体"/>
                <w:szCs w:val="21"/>
              </w:rPr>
              <w:t>1、星光级图像传感器；</w:t>
            </w:r>
            <w:r>
              <w:rPr>
                <w:rFonts w:hint="eastAsia" w:ascii="宋体" w:hAnsi="宋体" w:eastAsia="宋体"/>
                <w:szCs w:val="21"/>
              </w:rPr>
              <w:br w:type="page"/>
            </w:r>
            <w:r>
              <w:rPr>
                <w:rFonts w:hint="eastAsia" w:ascii="宋体" w:hAnsi="宋体" w:eastAsia="宋体"/>
                <w:szCs w:val="21"/>
              </w:rPr>
              <w:t>2、分辨率不低于400 万像素；</w:t>
            </w:r>
            <w:r>
              <w:rPr>
                <w:rFonts w:hint="eastAsia" w:ascii="宋体" w:hAnsi="宋体" w:eastAsia="宋体"/>
                <w:szCs w:val="21"/>
              </w:rPr>
              <w:br w:type="page"/>
            </w:r>
            <w:r>
              <w:rPr>
                <w:rFonts w:hint="eastAsia" w:ascii="宋体" w:hAnsi="宋体" w:eastAsia="宋体"/>
                <w:szCs w:val="21"/>
              </w:rPr>
              <w:t>3、摄像机靶面尺寸不小于1/1.8 英寸；</w:t>
            </w:r>
            <w:r>
              <w:rPr>
                <w:rFonts w:hint="eastAsia" w:ascii="宋体" w:hAnsi="宋体" w:eastAsia="宋体"/>
                <w:szCs w:val="21"/>
              </w:rPr>
              <w:br w:type="page"/>
            </w:r>
            <w:r>
              <w:rPr>
                <w:rFonts w:hint="eastAsia" w:ascii="宋体" w:hAnsi="宋体" w:eastAsia="宋体"/>
                <w:szCs w:val="21"/>
              </w:rPr>
              <w:t>4、内置GPU 芯片，支持AI 深度学习算法；</w:t>
            </w:r>
            <w:r>
              <w:rPr>
                <w:rFonts w:hint="eastAsia" w:ascii="宋体" w:hAnsi="宋体" w:eastAsia="宋体"/>
                <w:szCs w:val="21"/>
              </w:rPr>
              <w:br w:type="page"/>
            </w:r>
            <w:r>
              <w:rPr>
                <w:rFonts w:hint="eastAsia" w:ascii="宋体" w:hAnsi="宋体" w:eastAsia="宋体"/>
                <w:szCs w:val="21"/>
              </w:rPr>
              <w:t>5、摄像机内置镜头，支持不低于32 倍光学变倍，镜头最大焦距不小于192mm；</w:t>
            </w:r>
            <w:r>
              <w:rPr>
                <w:rFonts w:hint="eastAsia" w:ascii="宋体" w:hAnsi="宋体" w:eastAsia="宋体"/>
                <w:szCs w:val="21"/>
              </w:rPr>
              <w:br w:type="page"/>
            </w:r>
            <w:r>
              <w:rPr>
                <w:rFonts w:hint="eastAsia" w:ascii="宋体" w:hAnsi="宋体" w:eastAsia="宋体"/>
                <w:szCs w:val="21"/>
              </w:rPr>
              <w:t>6、视频输出支持2592×1520@30fps，2048×1536@30fps，分辨力不小于1600 线；</w:t>
            </w:r>
            <w:r>
              <w:rPr>
                <w:rFonts w:hint="eastAsia" w:ascii="宋体" w:hAnsi="宋体" w:eastAsia="宋体"/>
                <w:szCs w:val="21"/>
              </w:rPr>
              <w:br w:type="page"/>
            </w:r>
            <w:r>
              <w:rPr>
                <w:rFonts w:hint="eastAsia" w:ascii="宋体" w:hAnsi="宋体" w:eastAsia="宋体"/>
                <w:szCs w:val="21"/>
              </w:rPr>
              <w:t>7、红外距离不小于300 米；</w:t>
            </w:r>
            <w:r>
              <w:rPr>
                <w:rFonts w:hint="eastAsia" w:ascii="宋体" w:hAnsi="宋体" w:eastAsia="宋体"/>
                <w:szCs w:val="21"/>
              </w:rPr>
              <w:br w:type="page"/>
            </w:r>
            <w:r>
              <w:rPr>
                <w:rFonts w:hint="eastAsia" w:ascii="宋体" w:hAnsi="宋体" w:eastAsia="宋体"/>
                <w:szCs w:val="21"/>
              </w:rPr>
              <w:t>8、支持最低照度可达彩色0.0002Lux，黑白0.0001Lux；</w:t>
            </w:r>
            <w:r>
              <w:rPr>
                <w:rFonts w:hint="eastAsia" w:ascii="宋体" w:hAnsi="宋体" w:eastAsia="宋体"/>
                <w:szCs w:val="21"/>
              </w:rPr>
              <w:br w:type="page"/>
            </w:r>
            <w:r>
              <w:rPr>
                <w:rFonts w:hint="eastAsia" w:ascii="宋体" w:hAnsi="宋体" w:eastAsia="宋体"/>
                <w:szCs w:val="21"/>
              </w:rPr>
              <w:t>9、支持采用H.264、MJPEG、H.265 视频编码标准；</w:t>
            </w:r>
            <w:r>
              <w:rPr>
                <w:rFonts w:hint="eastAsia" w:ascii="宋体" w:hAnsi="宋体" w:eastAsia="宋体"/>
                <w:szCs w:val="21"/>
              </w:rPr>
              <w:br w:type="page"/>
            </w:r>
            <w:r>
              <w:rPr>
                <w:rFonts w:hint="eastAsia" w:ascii="宋体" w:hAnsi="宋体" w:eastAsia="宋体"/>
                <w:szCs w:val="21"/>
              </w:rPr>
              <w:t>10、具备字符、标签叠加功能；</w:t>
            </w:r>
            <w:r>
              <w:rPr>
                <w:rFonts w:hint="eastAsia" w:ascii="宋体" w:hAnsi="宋体" w:eastAsia="宋体"/>
                <w:szCs w:val="21"/>
              </w:rPr>
              <w:br w:type="page"/>
            </w:r>
            <w:r>
              <w:rPr>
                <w:rFonts w:hint="eastAsia" w:ascii="宋体" w:hAnsi="宋体" w:eastAsia="宋体"/>
                <w:szCs w:val="21"/>
              </w:rPr>
              <w:t>11、具备北斗校时功能，支持远程校时功能；</w:t>
            </w:r>
            <w:r>
              <w:rPr>
                <w:rFonts w:hint="eastAsia" w:ascii="宋体" w:hAnsi="宋体" w:eastAsia="宋体"/>
                <w:szCs w:val="21"/>
              </w:rPr>
              <w:br w:type="page"/>
            </w:r>
            <w:r>
              <w:rPr>
                <w:rFonts w:hint="eastAsia" w:ascii="宋体" w:hAnsi="宋体" w:eastAsia="宋体"/>
                <w:szCs w:val="21"/>
              </w:rPr>
              <w:t>12、支持设置预置位，可按照所设置的预置位完成自动巡航路径，每条巡航路径可设置</w:t>
            </w:r>
            <w:r>
              <w:rPr>
                <w:rFonts w:hint="eastAsia" w:ascii="宋体" w:hAnsi="宋体" w:eastAsia="宋体"/>
                <w:szCs w:val="21"/>
              </w:rPr>
              <w:br w:type="page"/>
            </w:r>
            <w:r>
              <w:rPr>
                <w:rFonts w:hint="eastAsia" w:ascii="宋体" w:hAnsi="宋体" w:eastAsia="宋体"/>
                <w:szCs w:val="21"/>
              </w:rPr>
              <w:t>预置点；</w:t>
            </w:r>
            <w:r>
              <w:rPr>
                <w:rFonts w:hint="eastAsia" w:ascii="宋体" w:hAnsi="宋体" w:eastAsia="宋体"/>
                <w:szCs w:val="21"/>
              </w:rPr>
              <w:br w:type="page"/>
            </w:r>
            <w:r>
              <w:rPr>
                <w:rFonts w:hint="eastAsia" w:ascii="宋体" w:hAnsi="宋体" w:eastAsia="宋体"/>
                <w:szCs w:val="21"/>
              </w:rPr>
              <w:t>13、具备较好防护性能，支持IP67；具备较好的电磁兼容性，支持空气放电20KV，接</w:t>
            </w:r>
            <w:r>
              <w:rPr>
                <w:rFonts w:hint="eastAsia" w:ascii="宋体" w:hAnsi="宋体" w:eastAsia="宋体"/>
                <w:szCs w:val="21"/>
              </w:rPr>
              <w:br w:type="page"/>
            </w:r>
            <w:r>
              <w:rPr>
                <w:rFonts w:hint="eastAsia" w:ascii="宋体" w:hAnsi="宋体" w:eastAsia="宋体"/>
                <w:szCs w:val="21"/>
              </w:rPr>
              <w:t>触放电10KV，15KV 防浪涌；</w:t>
            </w:r>
            <w:r>
              <w:rPr>
                <w:rFonts w:hint="eastAsia" w:ascii="宋体" w:hAnsi="宋体" w:eastAsia="宋体"/>
                <w:szCs w:val="21"/>
              </w:rPr>
              <w:br w:type="page"/>
            </w:r>
            <w:r>
              <w:rPr>
                <w:rFonts w:hint="eastAsia" w:ascii="宋体" w:hAnsi="宋体" w:eastAsia="宋体"/>
                <w:szCs w:val="21"/>
              </w:rPr>
              <w:t>14、具备较好的电源适应性，电压在AC24V±47%或DC24V±47%范围内变化时，设备可</w:t>
            </w:r>
            <w:r>
              <w:rPr>
                <w:rFonts w:hint="eastAsia" w:ascii="宋体" w:hAnsi="宋体" w:eastAsia="宋体"/>
                <w:szCs w:val="21"/>
              </w:rPr>
              <w:br w:type="page"/>
            </w:r>
            <w:r>
              <w:rPr>
                <w:rFonts w:hint="eastAsia" w:ascii="宋体" w:hAnsi="宋体" w:eastAsia="宋体"/>
                <w:szCs w:val="21"/>
              </w:rPr>
              <w:t>正常工作；</w:t>
            </w:r>
            <w:r>
              <w:rPr>
                <w:rFonts w:hint="eastAsia" w:ascii="宋体" w:hAnsi="宋体" w:eastAsia="宋体"/>
                <w:szCs w:val="21"/>
              </w:rPr>
              <w:br w:type="page"/>
            </w:r>
            <w:r>
              <w:rPr>
                <w:rFonts w:hint="eastAsia" w:ascii="宋体" w:hAnsi="宋体" w:eastAsia="宋体"/>
                <w:szCs w:val="21"/>
              </w:rPr>
              <w:t>15、具备较好的环境适应性，工作温度范围可达-45℃到70℃。</w:t>
            </w:r>
          </w:p>
          <w:p w14:paraId="49F7DC28">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83EC2F3">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26B9DB49">
            <w:pPr>
              <w:widowControl w:val="0"/>
              <w:spacing w:line="276" w:lineRule="auto"/>
              <w:jc w:val="center"/>
              <w:rPr>
                <w:rFonts w:ascii="宋体" w:hAnsi="宋体" w:eastAsia="宋体"/>
                <w:szCs w:val="21"/>
              </w:rPr>
            </w:pPr>
            <w:r>
              <w:rPr>
                <w:rFonts w:hint="eastAsia" w:ascii="宋体" w:hAnsi="宋体" w:eastAsia="宋体"/>
                <w:szCs w:val="21"/>
              </w:rPr>
              <w:t>套</w:t>
            </w:r>
          </w:p>
        </w:tc>
      </w:tr>
      <w:tr w14:paraId="2DCE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304D5E0">
            <w:pPr>
              <w:widowControl w:val="0"/>
              <w:spacing w:line="276" w:lineRule="auto"/>
              <w:jc w:val="center"/>
              <w:rPr>
                <w:rFonts w:ascii="宋体" w:hAnsi="宋体" w:eastAsia="宋体"/>
                <w:szCs w:val="21"/>
              </w:rPr>
            </w:pPr>
            <w:r>
              <w:rPr>
                <w:rFonts w:ascii="宋体" w:hAnsi="宋体" w:eastAsia="宋体"/>
                <w:szCs w:val="21"/>
              </w:rPr>
              <w:t>52</w:t>
            </w:r>
          </w:p>
        </w:tc>
        <w:tc>
          <w:tcPr>
            <w:tcW w:w="2001" w:type="dxa"/>
            <w:vAlign w:val="center"/>
          </w:tcPr>
          <w:p w14:paraId="7A03E828">
            <w:pPr>
              <w:widowControl w:val="0"/>
              <w:spacing w:line="276" w:lineRule="auto"/>
              <w:jc w:val="center"/>
              <w:rPr>
                <w:rFonts w:hint="eastAsia" w:ascii="宋体" w:hAnsi="宋体" w:eastAsia="宋体"/>
                <w:szCs w:val="21"/>
              </w:rPr>
            </w:pPr>
            <w:r>
              <w:rPr>
                <w:rFonts w:hint="eastAsia" w:ascii="宋体" w:hAnsi="宋体" w:eastAsia="宋体"/>
                <w:szCs w:val="21"/>
              </w:rPr>
              <w:t>安全网关</w:t>
            </w:r>
          </w:p>
          <w:p w14:paraId="16CE748A">
            <w:pPr>
              <w:widowControl w:val="0"/>
              <w:spacing w:line="276" w:lineRule="auto"/>
              <w:jc w:val="center"/>
              <w:rPr>
                <w:rFonts w:ascii="宋体" w:hAnsi="宋体" w:eastAsia="宋体"/>
                <w:szCs w:val="21"/>
              </w:rPr>
            </w:pPr>
            <w:r>
              <w:rPr>
                <w:rFonts w:hint="eastAsia" w:ascii="宋体" w:hAnsi="宋体" w:eastAsia="宋体"/>
                <w:szCs w:val="21"/>
              </w:rPr>
              <w:t>（外场终端）</w:t>
            </w:r>
          </w:p>
        </w:tc>
        <w:tc>
          <w:tcPr>
            <w:tcW w:w="4576" w:type="dxa"/>
            <w:vAlign w:val="center"/>
          </w:tcPr>
          <w:p w14:paraId="51F71327">
            <w:pPr>
              <w:widowControl w:val="0"/>
              <w:numPr>
                <w:ilvl w:val="0"/>
                <w:numId w:val="11"/>
              </w:numPr>
              <w:spacing w:line="276" w:lineRule="auto"/>
              <w:jc w:val="both"/>
              <w:rPr>
                <w:rFonts w:hint="eastAsia" w:ascii="宋体" w:hAnsi="宋体" w:eastAsia="宋体"/>
                <w:szCs w:val="21"/>
              </w:rPr>
            </w:pPr>
            <w:r>
              <w:rPr>
                <w:rFonts w:hint="eastAsia" w:ascii="宋体" w:hAnsi="宋体" w:eastAsia="宋体"/>
                <w:szCs w:val="21"/>
              </w:rPr>
              <w:t>硬件参数</w:t>
            </w:r>
            <w:r>
              <w:rPr>
                <w:rFonts w:hint="eastAsia" w:ascii="宋体" w:hAnsi="宋体" w:eastAsia="宋体"/>
                <w:szCs w:val="21"/>
              </w:rPr>
              <w:br w:type="textWrapping"/>
            </w:r>
            <w:r>
              <w:rPr>
                <w:rFonts w:hint="eastAsia" w:ascii="宋体" w:hAnsi="宋体" w:eastAsia="宋体"/>
                <w:szCs w:val="21"/>
              </w:rPr>
              <w:t>1、配置≥4 个电口；支持IPSEC VPN 功能；</w:t>
            </w:r>
            <w:r>
              <w:rPr>
                <w:rFonts w:hint="eastAsia" w:ascii="宋体" w:hAnsi="宋体" w:eastAsia="宋体"/>
                <w:szCs w:val="21"/>
              </w:rPr>
              <w:br w:type="textWrapping"/>
            </w:r>
            <w:r>
              <w:rPr>
                <w:rFonts w:hint="eastAsia" w:ascii="宋体" w:hAnsi="宋体" w:eastAsia="宋体"/>
                <w:szCs w:val="21"/>
              </w:rPr>
              <w:t>2、工业级设备，工作温度:-40～70℃；</w:t>
            </w:r>
            <w:r>
              <w:rPr>
                <w:rFonts w:hint="eastAsia" w:ascii="宋体" w:hAnsi="宋体" w:eastAsia="宋体"/>
                <w:szCs w:val="21"/>
              </w:rPr>
              <w:br w:type="textWrapping"/>
            </w:r>
            <w:r>
              <w:rPr>
                <w:rFonts w:hint="eastAsia" w:ascii="宋体" w:hAnsi="宋体" w:eastAsia="宋体"/>
                <w:szCs w:val="21"/>
              </w:rPr>
              <w:t>3、配置≥10 个资产管理授权；</w:t>
            </w:r>
            <w:r>
              <w:rPr>
                <w:rFonts w:hint="eastAsia" w:ascii="宋体" w:hAnsi="宋体" w:eastAsia="宋体"/>
                <w:szCs w:val="21"/>
              </w:rPr>
              <w:br w:type="textWrapping"/>
            </w:r>
            <w:r>
              <w:rPr>
                <w:rFonts w:hint="eastAsia" w:ascii="宋体" w:hAnsi="宋体" w:eastAsia="宋体"/>
                <w:szCs w:val="21"/>
              </w:rPr>
              <w:t>4、吞吐量≥400Mbps，最大并发50 万，每秒新建6000；最大终端接入管控数量≥10个，纯视频终端（4M）管控数量≥10 个；三年质保和升级服务。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1、支持资产管理，资产识别；</w:t>
            </w:r>
            <w:r>
              <w:rPr>
                <w:rFonts w:hint="eastAsia" w:ascii="宋体" w:hAnsi="宋体" w:eastAsia="宋体"/>
                <w:szCs w:val="21"/>
              </w:rPr>
              <w:br w:type="textWrapping"/>
            </w:r>
            <w:r>
              <w:rPr>
                <w:rFonts w:hint="eastAsia" w:ascii="宋体" w:hAnsi="宋体" w:eastAsia="宋体"/>
                <w:szCs w:val="21"/>
              </w:rPr>
              <w:t>2、支持资产准入控制、支持防护弱口令、高危漏洞、高危端口；</w:t>
            </w:r>
            <w:r>
              <w:rPr>
                <w:rFonts w:hint="eastAsia" w:ascii="宋体" w:hAnsi="宋体" w:eastAsia="宋体"/>
                <w:szCs w:val="21"/>
              </w:rPr>
              <w:br w:type="textWrapping"/>
            </w:r>
            <w:r>
              <w:rPr>
                <w:rFonts w:hint="eastAsia" w:ascii="宋体" w:hAnsi="宋体" w:eastAsia="宋体"/>
                <w:szCs w:val="21"/>
              </w:rPr>
              <w:t>3、支持资产仿冒控制，非法外联功能；</w:t>
            </w:r>
            <w:r>
              <w:rPr>
                <w:rFonts w:hint="eastAsia" w:ascii="宋体" w:hAnsi="宋体" w:eastAsia="宋体"/>
                <w:szCs w:val="21"/>
              </w:rPr>
              <w:br w:type="textWrapping"/>
            </w:r>
            <w:r>
              <w:rPr>
                <w:rFonts w:hint="eastAsia" w:ascii="宋体" w:hAnsi="宋体" w:eastAsia="宋体"/>
                <w:szCs w:val="21"/>
              </w:rPr>
              <w:t>4、支持信息统计，对网络流量的异常特征检测结果的图表展示，告警统计等；</w:t>
            </w:r>
            <w:r>
              <w:rPr>
                <w:rFonts w:hint="eastAsia" w:ascii="宋体" w:hAnsi="宋体" w:eastAsia="宋体"/>
                <w:szCs w:val="21"/>
              </w:rPr>
              <w:br w:type="textWrapping"/>
            </w:r>
            <w:r>
              <w:rPr>
                <w:rFonts w:hint="eastAsia" w:ascii="宋体" w:hAnsi="宋体" w:eastAsia="宋体"/>
                <w:szCs w:val="21"/>
              </w:rPr>
              <w:t>5、支持物联网资产多维度统计分析展示；</w:t>
            </w:r>
            <w:r>
              <w:rPr>
                <w:rFonts w:hint="eastAsia" w:ascii="宋体" w:hAnsi="宋体" w:eastAsia="宋体"/>
                <w:szCs w:val="21"/>
              </w:rPr>
              <w:br w:type="textWrapping"/>
            </w:r>
            <w:r>
              <w:rPr>
                <w:rFonts w:hint="eastAsia" w:ascii="宋体" w:hAnsi="宋体" w:eastAsia="宋体"/>
                <w:szCs w:val="21"/>
              </w:rPr>
              <w:t>6、支持5元组访问控制。</w:t>
            </w:r>
          </w:p>
          <w:p w14:paraId="163DB403">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w:t>
            </w:r>
            <w:r>
              <w:rPr>
                <w:rFonts w:hint="eastAsia" w:ascii="宋体" w:hAnsi="宋体" w:eastAsia="宋体"/>
                <w:color w:val="auto"/>
                <w:szCs w:val="21"/>
              </w:rPr>
              <w:t>范要求。</w:t>
            </w:r>
          </w:p>
        </w:tc>
        <w:tc>
          <w:tcPr>
            <w:tcW w:w="960" w:type="dxa"/>
            <w:vAlign w:val="center"/>
          </w:tcPr>
          <w:p w14:paraId="3782418A">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00A4368D">
            <w:pPr>
              <w:widowControl w:val="0"/>
              <w:spacing w:line="276" w:lineRule="auto"/>
              <w:jc w:val="center"/>
              <w:rPr>
                <w:rFonts w:ascii="宋体" w:hAnsi="宋体" w:eastAsia="宋体"/>
                <w:szCs w:val="21"/>
              </w:rPr>
            </w:pPr>
            <w:r>
              <w:rPr>
                <w:rFonts w:hint="eastAsia" w:ascii="宋体" w:hAnsi="宋体" w:eastAsia="宋体"/>
                <w:szCs w:val="21"/>
              </w:rPr>
              <w:t>套</w:t>
            </w:r>
          </w:p>
        </w:tc>
      </w:tr>
      <w:tr w14:paraId="6D48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7501C7E">
            <w:pPr>
              <w:widowControl w:val="0"/>
              <w:spacing w:line="276"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3</w:t>
            </w:r>
          </w:p>
        </w:tc>
        <w:tc>
          <w:tcPr>
            <w:tcW w:w="2001" w:type="dxa"/>
            <w:vAlign w:val="center"/>
          </w:tcPr>
          <w:p w14:paraId="58C9F2FD">
            <w:pPr>
              <w:widowControl w:val="0"/>
              <w:spacing w:line="276" w:lineRule="auto"/>
              <w:jc w:val="center"/>
              <w:rPr>
                <w:rFonts w:ascii="宋体" w:hAnsi="宋体" w:eastAsia="宋体"/>
                <w:szCs w:val="21"/>
              </w:rPr>
            </w:pPr>
            <w:r>
              <w:rPr>
                <w:rFonts w:hint="eastAsia" w:ascii="宋体" w:hAnsi="宋体" w:eastAsia="宋体"/>
                <w:szCs w:val="21"/>
              </w:rPr>
              <w:t>网络租赁20M专网(2.5年)</w:t>
            </w:r>
          </w:p>
        </w:tc>
        <w:tc>
          <w:tcPr>
            <w:tcW w:w="4576" w:type="dxa"/>
            <w:vAlign w:val="center"/>
          </w:tcPr>
          <w:p w14:paraId="2C63F76F">
            <w:pPr>
              <w:widowControl w:val="0"/>
              <w:spacing w:line="276" w:lineRule="auto"/>
              <w:jc w:val="both"/>
              <w:rPr>
                <w:rFonts w:ascii="宋体" w:hAnsi="宋体" w:eastAsia="宋体"/>
                <w:szCs w:val="21"/>
              </w:rPr>
            </w:pPr>
            <w:r>
              <w:rPr>
                <w:rFonts w:hint="eastAsia" w:ascii="宋体" w:hAnsi="宋体" w:eastAsia="宋体"/>
                <w:szCs w:val="21"/>
              </w:rPr>
              <w:t>20M专网，含V</w:t>
            </w:r>
            <w:r>
              <w:rPr>
                <w:rFonts w:ascii="宋体" w:hAnsi="宋体" w:eastAsia="宋体"/>
                <w:szCs w:val="21"/>
              </w:rPr>
              <w:t>PN</w:t>
            </w:r>
            <w:r>
              <w:rPr>
                <w:rFonts w:hint="eastAsia" w:ascii="宋体" w:hAnsi="宋体" w:eastAsia="宋体"/>
                <w:szCs w:val="21"/>
              </w:rPr>
              <w:t>(2.5年）。</w:t>
            </w:r>
          </w:p>
        </w:tc>
        <w:tc>
          <w:tcPr>
            <w:tcW w:w="960" w:type="dxa"/>
            <w:vAlign w:val="center"/>
          </w:tcPr>
          <w:p w14:paraId="316ADECE">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058ECB58">
            <w:pPr>
              <w:widowControl w:val="0"/>
              <w:spacing w:line="276" w:lineRule="auto"/>
              <w:jc w:val="center"/>
              <w:rPr>
                <w:rFonts w:ascii="宋体" w:hAnsi="宋体" w:eastAsia="宋体"/>
                <w:szCs w:val="21"/>
              </w:rPr>
            </w:pPr>
            <w:r>
              <w:rPr>
                <w:rFonts w:hint="eastAsia" w:ascii="宋体" w:hAnsi="宋体" w:eastAsia="宋体"/>
                <w:szCs w:val="21"/>
              </w:rPr>
              <w:t>项</w:t>
            </w:r>
          </w:p>
        </w:tc>
      </w:tr>
      <w:tr w14:paraId="360F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F6865F4">
            <w:pPr>
              <w:widowControl w:val="0"/>
              <w:spacing w:line="276"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4</w:t>
            </w:r>
          </w:p>
        </w:tc>
        <w:tc>
          <w:tcPr>
            <w:tcW w:w="2001" w:type="dxa"/>
            <w:vAlign w:val="center"/>
          </w:tcPr>
          <w:p w14:paraId="2F11C1BC">
            <w:pPr>
              <w:widowControl w:val="0"/>
              <w:spacing w:line="276" w:lineRule="auto"/>
              <w:jc w:val="center"/>
              <w:rPr>
                <w:rFonts w:ascii="宋体" w:hAnsi="宋体" w:eastAsia="宋体"/>
                <w:szCs w:val="21"/>
              </w:rPr>
            </w:pPr>
            <w:r>
              <w:rPr>
                <w:rFonts w:hint="eastAsia" w:ascii="宋体" w:hAnsi="宋体" w:eastAsia="宋体"/>
                <w:szCs w:val="21"/>
              </w:rPr>
              <w:t>智能运维机箱</w:t>
            </w:r>
          </w:p>
        </w:tc>
        <w:tc>
          <w:tcPr>
            <w:tcW w:w="4576" w:type="dxa"/>
            <w:vAlign w:val="center"/>
          </w:tcPr>
          <w:p w14:paraId="601BC2F3">
            <w:pPr>
              <w:widowControl w:val="0"/>
              <w:numPr>
                <w:ilvl w:val="0"/>
                <w:numId w:val="12"/>
              </w:numPr>
              <w:spacing w:line="276" w:lineRule="auto"/>
              <w:jc w:val="both"/>
              <w:rPr>
                <w:rFonts w:hint="eastAsia" w:ascii="宋体" w:hAnsi="宋体" w:eastAsia="宋体"/>
                <w:szCs w:val="21"/>
              </w:rPr>
            </w:pPr>
            <w:r>
              <w:rPr>
                <w:rFonts w:hint="eastAsia" w:ascii="宋体" w:hAnsi="宋体" w:eastAsia="宋体"/>
                <w:szCs w:val="21"/>
              </w:rPr>
              <w:t>箱体采用优质冷轧钢板，厚度不小于1.2mm，具备抵抗腐蚀及电化学反应的能力；</w:t>
            </w:r>
            <w:r>
              <w:rPr>
                <w:rFonts w:hint="eastAsia" w:ascii="宋体" w:hAnsi="宋体" w:eastAsia="宋体"/>
                <w:szCs w:val="21"/>
              </w:rPr>
              <w:br w:type="page"/>
            </w:r>
            <w:r>
              <w:rPr>
                <w:rFonts w:hint="eastAsia" w:ascii="宋体" w:hAnsi="宋体" w:eastAsia="宋体"/>
                <w:szCs w:val="21"/>
              </w:rPr>
              <w:t>2、应有可控电源输出接口：5 组AC220V 输出电源，4组DC12V 电源输出；</w:t>
            </w:r>
            <w:r>
              <w:rPr>
                <w:rFonts w:hint="eastAsia" w:ascii="宋体" w:hAnsi="宋体" w:eastAsia="宋体"/>
                <w:szCs w:val="21"/>
              </w:rPr>
              <w:br w:type="page"/>
            </w:r>
            <w:r>
              <w:rPr>
                <w:rFonts w:hint="eastAsia" w:ascii="宋体" w:hAnsi="宋体" w:eastAsia="宋体"/>
                <w:szCs w:val="21"/>
              </w:rPr>
              <w:t>3、市电供电异常时，具备断路保护功能；电源输出具有过流、短路保护功能；</w:t>
            </w:r>
            <w:r>
              <w:rPr>
                <w:rFonts w:hint="eastAsia" w:ascii="宋体" w:hAnsi="宋体" w:eastAsia="宋体"/>
                <w:szCs w:val="21"/>
              </w:rPr>
              <w:br w:type="page"/>
            </w:r>
            <w:r>
              <w:rPr>
                <w:rFonts w:hint="eastAsia" w:ascii="宋体" w:hAnsi="宋体" w:eastAsia="宋体"/>
                <w:szCs w:val="21"/>
              </w:rPr>
              <w:t>4、支持对网络故障或供电故障进行区分并上报，并可区分供电故障类型（市电掉电、</w:t>
            </w:r>
            <w:r>
              <w:rPr>
                <w:rFonts w:hint="eastAsia" w:ascii="宋体" w:hAnsi="宋体" w:eastAsia="宋体"/>
                <w:szCs w:val="21"/>
              </w:rPr>
              <w:br w:type="page"/>
            </w:r>
            <w:r>
              <w:rPr>
                <w:rFonts w:hint="eastAsia" w:ascii="宋体" w:hAnsi="宋体" w:eastAsia="宋体"/>
                <w:szCs w:val="21"/>
              </w:rPr>
              <w:t>漏电掉电、短路掉电）；</w:t>
            </w:r>
            <w:r>
              <w:rPr>
                <w:rFonts w:hint="eastAsia" w:ascii="宋体" w:hAnsi="宋体" w:eastAsia="宋体"/>
                <w:szCs w:val="21"/>
              </w:rPr>
              <w:br w:type="page"/>
            </w:r>
            <w:r>
              <w:rPr>
                <w:rFonts w:hint="eastAsia" w:ascii="宋体" w:hAnsi="宋体" w:eastAsia="宋体"/>
                <w:szCs w:val="21"/>
              </w:rPr>
              <w:t>5、采用TCP/IP 等网络协议，实现平台管理系统对多台设备箱的远程实时管理，应支</w:t>
            </w:r>
            <w:r>
              <w:rPr>
                <w:rFonts w:hint="eastAsia" w:ascii="宋体" w:hAnsi="宋体" w:eastAsia="宋体"/>
                <w:szCs w:val="21"/>
              </w:rPr>
              <w:br w:type="page"/>
            </w:r>
            <w:r>
              <w:rPr>
                <w:rFonts w:hint="eastAsia" w:ascii="宋体" w:hAnsi="宋体" w:eastAsia="宋体"/>
                <w:szCs w:val="21"/>
              </w:rPr>
              <w:t>持ICMP、ARP、UDP、TCP 等多种协议WEB 远程访问；</w:t>
            </w:r>
            <w:r>
              <w:rPr>
                <w:rFonts w:hint="eastAsia" w:ascii="宋体" w:hAnsi="宋体" w:eastAsia="宋体"/>
                <w:szCs w:val="21"/>
              </w:rPr>
              <w:br w:type="page"/>
            </w:r>
            <w:r>
              <w:rPr>
                <w:rFonts w:hint="eastAsia" w:ascii="宋体" w:hAnsi="宋体" w:eastAsia="宋体"/>
                <w:szCs w:val="21"/>
              </w:rPr>
              <w:t>6、内置嵌入式软件，采集设备运行参数和环境状态参数，并能定时上报管理系统，支</w:t>
            </w:r>
            <w:r>
              <w:rPr>
                <w:rFonts w:hint="eastAsia" w:ascii="宋体" w:hAnsi="宋体" w:eastAsia="宋体"/>
                <w:szCs w:val="21"/>
              </w:rPr>
              <w:br w:type="page"/>
            </w:r>
            <w:r>
              <w:rPr>
                <w:rFonts w:hint="eastAsia" w:ascii="宋体" w:hAnsi="宋体" w:eastAsia="宋体"/>
                <w:szCs w:val="21"/>
              </w:rPr>
              <w:t>持WEB 远程访问，对智能化设备箱相关参数进行修改及远程程序升级更新；</w:t>
            </w:r>
            <w:r>
              <w:rPr>
                <w:rFonts w:hint="eastAsia" w:ascii="宋体" w:hAnsi="宋体" w:eastAsia="宋体"/>
                <w:szCs w:val="21"/>
              </w:rPr>
              <w:br w:type="page"/>
            </w:r>
            <w:r>
              <w:rPr>
                <w:rFonts w:hint="eastAsia" w:ascii="宋体" w:hAnsi="宋体" w:eastAsia="宋体"/>
                <w:szCs w:val="21"/>
              </w:rPr>
              <w:t>7、具备自动重合闸功能、具备断电重启能力；</w:t>
            </w:r>
            <w:r>
              <w:rPr>
                <w:rFonts w:hint="eastAsia" w:ascii="宋体" w:hAnsi="宋体" w:eastAsia="宋体"/>
                <w:szCs w:val="21"/>
              </w:rPr>
              <w:br w:type="page"/>
            </w:r>
            <w:r>
              <w:rPr>
                <w:rFonts w:hint="eastAsia" w:ascii="宋体" w:hAnsi="宋体" w:eastAsia="宋体"/>
                <w:szCs w:val="21"/>
              </w:rPr>
              <w:t>8、具备设备工况自检能力；</w:t>
            </w:r>
            <w:r>
              <w:rPr>
                <w:rFonts w:hint="eastAsia" w:ascii="宋体" w:hAnsi="宋体" w:eastAsia="宋体"/>
                <w:szCs w:val="21"/>
              </w:rPr>
              <w:br w:type="page"/>
            </w:r>
            <w:r>
              <w:rPr>
                <w:rFonts w:hint="eastAsia" w:ascii="宋体" w:hAnsi="宋体" w:eastAsia="宋体"/>
                <w:szCs w:val="21"/>
              </w:rPr>
              <w:t>9、具备故障采集光纤传输模块：嵌入工业以太网交换机，支持2 个SFP 光接口（不</w:t>
            </w:r>
            <w:r>
              <w:rPr>
                <w:rFonts w:hint="eastAsia" w:ascii="宋体" w:hAnsi="宋体" w:eastAsia="宋体"/>
                <w:szCs w:val="21"/>
              </w:rPr>
              <w:br w:type="page"/>
            </w:r>
            <w:r>
              <w:rPr>
                <w:rFonts w:hint="eastAsia" w:ascii="宋体" w:hAnsi="宋体" w:eastAsia="宋体"/>
                <w:szCs w:val="21"/>
              </w:rPr>
              <w:t>含SFP 光模块），8 个下行10/100/1000Base-Tx，具有状态信息采集及故障自动诊断功</w:t>
            </w:r>
            <w:r>
              <w:rPr>
                <w:rFonts w:hint="eastAsia" w:ascii="宋体" w:hAnsi="宋体" w:eastAsia="宋体"/>
                <w:szCs w:val="21"/>
              </w:rPr>
              <w:br w:type="page"/>
            </w:r>
            <w:r>
              <w:rPr>
                <w:rFonts w:hint="eastAsia" w:ascii="宋体" w:hAnsi="宋体" w:eastAsia="宋体"/>
                <w:szCs w:val="21"/>
              </w:rPr>
              <w:t>能；</w:t>
            </w:r>
            <w:r>
              <w:rPr>
                <w:rFonts w:hint="eastAsia" w:ascii="宋体" w:hAnsi="宋体" w:eastAsia="宋体"/>
                <w:szCs w:val="21"/>
              </w:rPr>
              <w:br w:type="page"/>
            </w:r>
            <w:r>
              <w:rPr>
                <w:rFonts w:hint="eastAsia" w:ascii="宋体" w:hAnsi="宋体" w:eastAsia="宋体"/>
                <w:szCs w:val="21"/>
              </w:rPr>
              <w:t>10、网口具有防雷装置；</w:t>
            </w:r>
            <w:r>
              <w:rPr>
                <w:rFonts w:hint="eastAsia" w:ascii="宋体" w:hAnsi="宋体" w:eastAsia="宋体"/>
                <w:szCs w:val="21"/>
              </w:rPr>
              <w:br w:type="page"/>
            </w:r>
            <w:r>
              <w:rPr>
                <w:rFonts w:hint="eastAsia" w:ascii="宋体" w:hAnsi="宋体" w:eastAsia="宋体"/>
                <w:szCs w:val="21"/>
              </w:rPr>
              <w:t>11、智能设备箱应内置死机监控功能，当监测到设备箱死机，应具有自动重启、远程复</w:t>
            </w:r>
            <w:r>
              <w:rPr>
                <w:rFonts w:hint="eastAsia" w:ascii="宋体" w:hAnsi="宋体" w:eastAsia="宋体"/>
                <w:szCs w:val="21"/>
              </w:rPr>
              <w:br w:type="page"/>
            </w:r>
            <w:r>
              <w:rPr>
                <w:rFonts w:hint="eastAsia" w:ascii="宋体" w:hAnsi="宋体" w:eastAsia="宋体"/>
                <w:szCs w:val="21"/>
              </w:rPr>
              <w:t>位操作功能。重启时间段并可以设定；</w:t>
            </w:r>
            <w:r>
              <w:rPr>
                <w:rFonts w:hint="eastAsia" w:ascii="宋体" w:hAnsi="宋体" w:eastAsia="宋体"/>
                <w:szCs w:val="21"/>
              </w:rPr>
              <w:br w:type="page"/>
            </w:r>
            <w:r>
              <w:rPr>
                <w:rFonts w:hint="eastAsia" w:ascii="宋体" w:hAnsi="宋体" w:eastAsia="宋体"/>
                <w:szCs w:val="21"/>
              </w:rPr>
              <w:t>12、智能设备箱应具有报警功能：当设备箱内温度过高、输入输出电压异常、风扇开启、</w:t>
            </w:r>
            <w:r>
              <w:rPr>
                <w:rFonts w:hint="eastAsia" w:ascii="宋体" w:hAnsi="宋体" w:eastAsia="宋体"/>
                <w:szCs w:val="21"/>
              </w:rPr>
              <w:br w:type="page"/>
            </w:r>
            <w:r>
              <w:rPr>
                <w:rFonts w:hint="eastAsia" w:ascii="宋体" w:hAnsi="宋体" w:eastAsia="宋体"/>
                <w:szCs w:val="21"/>
              </w:rPr>
              <w:t>断网、箱门打开的情况下，可通过管理软件以语音和弹出界面方式进行报警提示；</w:t>
            </w:r>
            <w:r>
              <w:rPr>
                <w:rFonts w:hint="eastAsia" w:ascii="宋体" w:hAnsi="宋体" w:eastAsia="宋体"/>
                <w:szCs w:val="21"/>
              </w:rPr>
              <w:br w:type="page"/>
            </w:r>
            <w:r>
              <w:rPr>
                <w:rFonts w:hint="eastAsia" w:ascii="宋体" w:hAnsi="宋体" w:eastAsia="宋体"/>
                <w:szCs w:val="21"/>
              </w:rPr>
              <w:t>13、具备4G/5G路由器及局域网穿透功能，便于远程运维；</w:t>
            </w:r>
            <w:r>
              <w:rPr>
                <w:rFonts w:hint="eastAsia" w:ascii="宋体" w:hAnsi="宋体" w:eastAsia="宋体"/>
                <w:szCs w:val="21"/>
              </w:rPr>
              <w:br w:type="page"/>
            </w:r>
            <w:r>
              <w:rPr>
                <w:rFonts w:hint="eastAsia" w:ascii="宋体" w:hAnsi="宋体" w:eastAsia="宋体"/>
                <w:szCs w:val="21"/>
              </w:rPr>
              <w:t>14、具备微信状态推送功能；</w:t>
            </w:r>
            <w:r>
              <w:rPr>
                <w:rFonts w:hint="eastAsia" w:ascii="宋体" w:hAnsi="宋体" w:eastAsia="宋体"/>
                <w:szCs w:val="21"/>
              </w:rPr>
              <w:br w:type="page"/>
            </w:r>
            <w:r>
              <w:rPr>
                <w:rFonts w:hint="eastAsia" w:ascii="宋体" w:hAnsi="宋体" w:eastAsia="宋体"/>
                <w:szCs w:val="21"/>
              </w:rPr>
              <w:t>15、应具有照明灯功能：打开设备箱箱门照明灯应自动开启；</w:t>
            </w:r>
            <w:r>
              <w:rPr>
                <w:rFonts w:hint="eastAsia" w:ascii="宋体" w:hAnsi="宋体" w:eastAsia="宋体"/>
                <w:szCs w:val="21"/>
              </w:rPr>
              <w:br w:type="page"/>
            </w:r>
            <w:r>
              <w:rPr>
                <w:rFonts w:hint="eastAsia" w:ascii="宋体" w:hAnsi="宋体" w:eastAsia="宋体"/>
                <w:szCs w:val="21"/>
              </w:rPr>
              <w:t>16、支持一键解除报警功能、水浸监测、烟雾监测、雷击监测及三色工作状态指示灯等；</w:t>
            </w:r>
            <w:r>
              <w:rPr>
                <w:rFonts w:hint="eastAsia" w:ascii="宋体" w:hAnsi="宋体" w:eastAsia="宋体"/>
                <w:szCs w:val="21"/>
              </w:rPr>
              <w:br w:type="page"/>
            </w:r>
            <w:r>
              <w:rPr>
                <w:rFonts w:hint="eastAsia" w:ascii="宋体" w:hAnsi="宋体" w:eastAsia="宋体"/>
                <w:szCs w:val="21"/>
              </w:rPr>
              <w:t>17、工作温度：-40℃～70℃；</w:t>
            </w:r>
            <w:r>
              <w:rPr>
                <w:rFonts w:hint="eastAsia" w:ascii="宋体" w:hAnsi="宋体" w:eastAsia="宋体"/>
                <w:szCs w:val="21"/>
              </w:rPr>
              <w:br w:type="page"/>
            </w:r>
            <w:r>
              <w:rPr>
                <w:rFonts w:hint="eastAsia" w:ascii="宋体" w:hAnsi="宋体" w:eastAsia="宋体"/>
                <w:szCs w:val="21"/>
              </w:rPr>
              <w:t>18、箱体防护等级：≥IP65。</w:t>
            </w:r>
          </w:p>
          <w:p w14:paraId="0D50CDEB">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7ABA247">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4AB1C100">
            <w:pPr>
              <w:widowControl w:val="0"/>
              <w:spacing w:line="276" w:lineRule="auto"/>
              <w:jc w:val="center"/>
              <w:rPr>
                <w:rFonts w:ascii="宋体" w:hAnsi="宋体" w:eastAsia="宋体"/>
                <w:szCs w:val="21"/>
              </w:rPr>
            </w:pPr>
            <w:r>
              <w:rPr>
                <w:rFonts w:hint="eastAsia" w:ascii="宋体" w:hAnsi="宋体" w:eastAsia="宋体"/>
                <w:szCs w:val="21"/>
              </w:rPr>
              <w:t>个</w:t>
            </w:r>
          </w:p>
        </w:tc>
      </w:tr>
      <w:tr w14:paraId="4E51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A5B7DD4">
            <w:pPr>
              <w:widowControl w:val="0"/>
              <w:spacing w:line="276"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5</w:t>
            </w:r>
          </w:p>
        </w:tc>
        <w:tc>
          <w:tcPr>
            <w:tcW w:w="2001" w:type="dxa"/>
            <w:vAlign w:val="center"/>
          </w:tcPr>
          <w:p w14:paraId="02ACE1D7">
            <w:pPr>
              <w:widowControl w:val="0"/>
              <w:spacing w:line="276" w:lineRule="auto"/>
              <w:jc w:val="center"/>
              <w:rPr>
                <w:rFonts w:ascii="宋体" w:hAnsi="宋体" w:eastAsia="宋体"/>
                <w:szCs w:val="21"/>
              </w:rPr>
            </w:pPr>
            <w:r>
              <w:rPr>
                <w:rFonts w:hint="eastAsia" w:ascii="宋体" w:hAnsi="宋体" w:eastAsia="宋体"/>
                <w:szCs w:val="21"/>
              </w:rPr>
              <w:t>室内电缆</w:t>
            </w:r>
          </w:p>
        </w:tc>
        <w:tc>
          <w:tcPr>
            <w:tcW w:w="4576" w:type="dxa"/>
            <w:vAlign w:val="center"/>
          </w:tcPr>
          <w:p w14:paraId="73E7DFCB">
            <w:pPr>
              <w:widowControl w:val="0"/>
              <w:spacing w:line="276" w:lineRule="auto"/>
              <w:jc w:val="both"/>
              <w:rPr>
                <w:rFonts w:ascii="宋体" w:hAnsi="宋体" w:eastAsia="宋体"/>
                <w:szCs w:val="21"/>
              </w:rPr>
            </w:pPr>
            <w:r>
              <w:rPr>
                <w:rFonts w:hint="eastAsia" w:ascii="宋体" w:hAnsi="宋体" w:eastAsia="宋体"/>
                <w:szCs w:val="21"/>
              </w:rPr>
              <w:t>NH-YJY-4×25mm2。</w:t>
            </w:r>
          </w:p>
        </w:tc>
        <w:tc>
          <w:tcPr>
            <w:tcW w:w="960" w:type="dxa"/>
            <w:vAlign w:val="center"/>
          </w:tcPr>
          <w:p w14:paraId="30C540E4">
            <w:pPr>
              <w:widowControl w:val="0"/>
              <w:spacing w:line="276" w:lineRule="auto"/>
              <w:jc w:val="center"/>
              <w:rPr>
                <w:rFonts w:ascii="宋体" w:hAnsi="宋体" w:eastAsia="宋体"/>
                <w:szCs w:val="21"/>
              </w:rPr>
            </w:pPr>
            <w:r>
              <w:rPr>
                <w:rFonts w:ascii="宋体" w:hAnsi="宋体" w:eastAsia="宋体"/>
                <w:szCs w:val="21"/>
              </w:rPr>
              <w:t>300</w:t>
            </w:r>
          </w:p>
        </w:tc>
        <w:tc>
          <w:tcPr>
            <w:tcW w:w="499" w:type="dxa"/>
            <w:vAlign w:val="center"/>
          </w:tcPr>
          <w:p w14:paraId="661D1F9E">
            <w:pPr>
              <w:widowControl w:val="0"/>
              <w:spacing w:line="276" w:lineRule="auto"/>
              <w:jc w:val="center"/>
              <w:rPr>
                <w:rFonts w:ascii="宋体" w:hAnsi="宋体" w:eastAsia="宋体"/>
                <w:szCs w:val="21"/>
              </w:rPr>
            </w:pPr>
            <w:r>
              <w:rPr>
                <w:rFonts w:hint="eastAsia" w:ascii="宋体" w:hAnsi="宋体" w:eastAsia="宋体"/>
                <w:szCs w:val="21"/>
              </w:rPr>
              <w:t>m</w:t>
            </w:r>
          </w:p>
        </w:tc>
      </w:tr>
      <w:tr w14:paraId="79D7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919CF46">
            <w:pPr>
              <w:widowControl w:val="0"/>
              <w:spacing w:line="276" w:lineRule="auto"/>
              <w:jc w:val="center"/>
              <w:rPr>
                <w:rFonts w:ascii="宋体" w:hAnsi="宋体" w:eastAsia="宋体"/>
                <w:szCs w:val="21"/>
              </w:rPr>
            </w:pPr>
            <w:r>
              <w:rPr>
                <w:rFonts w:ascii="宋体" w:hAnsi="宋体" w:eastAsia="宋体"/>
                <w:szCs w:val="21"/>
              </w:rPr>
              <w:t>56</w:t>
            </w:r>
          </w:p>
        </w:tc>
        <w:tc>
          <w:tcPr>
            <w:tcW w:w="2001" w:type="dxa"/>
            <w:vAlign w:val="center"/>
          </w:tcPr>
          <w:p w14:paraId="29A74C58">
            <w:pPr>
              <w:widowControl w:val="0"/>
              <w:spacing w:line="276" w:lineRule="auto"/>
              <w:jc w:val="center"/>
              <w:rPr>
                <w:rFonts w:ascii="宋体" w:hAnsi="宋体" w:eastAsia="宋体"/>
                <w:szCs w:val="21"/>
              </w:rPr>
            </w:pPr>
            <w:r>
              <w:rPr>
                <w:rFonts w:hint="eastAsia" w:ascii="宋体" w:hAnsi="宋体" w:eastAsia="宋体"/>
                <w:szCs w:val="21"/>
              </w:rPr>
              <w:t>室内电缆</w:t>
            </w:r>
          </w:p>
        </w:tc>
        <w:tc>
          <w:tcPr>
            <w:tcW w:w="4576" w:type="dxa"/>
            <w:vAlign w:val="center"/>
          </w:tcPr>
          <w:p w14:paraId="437DB886">
            <w:pPr>
              <w:widowControl w:val="0"/>
              <w:spacing w:line="276" w:lineRule="auto"/>
              <w:jc w:val="both"/>
              <w:rPr>
                <w:rFonts w:ascii="宋体" w:hAnsi="宋体" w:eastAsia="宋体"/>
                <w:szCs w:val="21"/>
              </w:rPr>
            </w:pPr>
            <w:r>
              <w:rPr>
                <w:rFonts w:hint="eastAsia" w:ascii="宋体" w:hAnsi="宋体" w:eastAsia="宋体"/>
                <w:szCs w:val="21"/>
              </w:rPr>
              <w:t>NH-YJY-4×10mm2。</w:t>
            </w:r>
          </w:p>
        </w:tc>
        <w:tc>
          <w:tcPr>
            <w:tcW w:w="960" w:type="dxa"/>
            <w:vAlign w:val="center"/>
          </w:tcPr>
          <w:p w14:paraId="6520FD05">
            <w:pPr>
              <w:widowControl w:val="0"/>
              <w:spacing w:line="276" w:lineRule="auto"/>
              <w:jc w:val="center"/>
              <w:rPr>
                <w:rFonts w:ascii="宋体" w:hAnsi="宋体" w:eastAsia="宋体"/>
                <w:szCs w:val="21"/>
              </w:rPr>
            </w:pPr>
            <w:r>
              <w:rPr>
                <w:rFonts w:ascii="宋体" w:hAnsi="宋体" w:eastAsia="宋体"/>
                <w:szCs w:val="21"/>
              </w:rPr>
              <w:t>200</w:t>
            </w:r>
          </w:p>
        </w:tc>
        <w:tc>
          <w:tcPr>
            <w:tcW w:w="499" w:type="dxa"/>
            <w:vAlign w:val="center"/>
          </w:tcPr>
          <w:p w14:paraId="45699B4F">
            <w:pPr>
              <w:widowControl w:val="0"/>
              <w:spacing w:line="276" w:lineRule="auto"/>
              <w:jc w:val="center"/>
              <w:rPr>
                <w:rFonts w:ascii="宋体" w:hAnsi="宋体" w:eastAsia="宋体"/>
                <w:szCs w:val="21"/>
              </w:rPr>
            </w:pPr>
            <w:r>
              <w:rPr>
                <w:rFonts w:hint="eastAsia" w:ascii="宋体" w:hAnsi="宋体" w:eastAsia="宋体"/>
                <w:szCs w:val="21"/>
              </w:rPr>
              <w:t>m</w:t>
            </w:r>
          </w:p>
        </w:tc>
      </w:tr>
      <w:tr w14:paraId="401E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C7ACE8C">
            <w:pPr>
              <w:widowControl w:val="0"/>
              <w:spacing w:line="276" w:lineRule="auto"/>
              <w:jc w:val="center"/>
              <w:rPr>
                <w:rFonts w:ascii="宋体" w:hAnsi="宋体" w:eastAsia="宋体"/>
                <w:szCs w:val="21"/>
              </w:rPr>
            </w:pPr>
            <w:r>
              <w:rPr>
                <w:rFonts w:ascii="宋体" w:hAnsi="宋体" w:eastAsia="宋体"/>
                <w:szCs w:val="21"/>
              </w:rPr>
              <w:t>57</w:t>
            </w:r>
          </w:p>
        </w:tc>
        <w:tc>
          <w:tcPr>
            <w:tcW w:w="2001" w:type="dxa"/>
            <w:vAlign w:val="center"/>
          </w:tcPr>
          <w:p w14:paraId="5BC5BF1A">
            <w:pPr>
              <w:widowControl w:val="0"/>
              <w:spacing w:line="276" w:lineRule="auto"/>
              <w:jc w:val="center"/>
              <w:rPr>
                <w:rFonts w:ascii="宋体" w:hAnsi="宋体" w:eastAsia="宋体"/>
                <w:szCs w:val="21"/>
              </w:rPr>
            </w:pPr>
            <w:r>
              <w:rPr>
                <w:rFonts w:hint="eastAsia" w:ascii="宋体" w:hAnsi="宋体" w:eastAsia="宋体"/>
                <w:szCs w:val="21"/>
              </w:rPr>
              <w:t>供电电缆（YJV-2*10mm2）</w:t>
            </w:r>
          </w:p>
        </w:tc>
        <w:tc>
          <w:tcPr>
            <w:tcW w:w="4576" w:type="dxa"/>
            <w:vAlign w:val="center"/>
          </w:tcPr>
          <w:p w14:paraId="116F8D29">
            <w:pPr>
              <w:widowControl w:val="0"/>
              <w:spacing w:line="276" w:lineRule="auto"/>
              <w:jc w:val="both"/>
              <w:rPr>
                <w:rFonts w:ascii="宋体" w:hAnsi="宋体" w:eastAsia="宋体"/>
                <w:szCs w:val="21"/>
              </w:rPr>
            </w:pPr>
            <w:r>
              <w:rPr>
                <w:rFonts w:hint="eastAsia" w:ascii="宋体" w:hAnsi="宋体" w:eastAsia="宋体"/>
                <w:szCs w:val="21"/>
              </w:rPr>
              <w:t>YJV-2*10mm2。</w:t>
            </w:r>
          </w:p>
        </w:tc>
        <w:tc>
          <w:tcPr>
            <w:tcW w:w="960" w:type="dxa"/>
            <w:vAlign w:val="center"/>
          </w:tcPr>
          <w:p w14:paraId="79B507F2">
            <w:pPr>
              <w:widowControl w:val="0"/>
              <w:spacing w:line="276" w:lineRule="auto"/>
              <w:jc w:val="center"/>
              <w:rPr>
                <w:rFonts w:ascii="宋体" w:hAnsi="宋体" w:eastAsia="宋体"/>
                <w:szCs w:val="21"/>
              </w:rPr>
            </w:pPr>
            <w:r>
              <w:rPr>
                <w:rFonts w:ascii="宋体" w:hAnsi="宋体" w:eastAsia="宋体"/>
                <w:szCs w:val="21"/>
              </w:rPr>
              <w:t>23500</w:t>
            </w:r>
          </w:p>
        </w:tc>
        <w:tc>
          <w:tcPr>
            <w:tcW w:w="499" w:type="dxa"/>
            <w:vAlign w:val="center"/>
          </w:tcPr>
          <w:p w14:paraId="057BA948">
            <w:pPr>
              <w:widowControl w:val="0"/>
              <w:spacing w:line="276" w:lineRule="auto"/>
              <w:jc w:val="center"/>
              <w:rPr>
                <w:rFonts w:ascii="宋体" w:hAnsi="宋体" w:eastAsia="宋体"/>
                <w:szCs w:val="21"/>
              </w:rPr>
            </w:pPr>
            <w:r>
              <w:rPr>
                <w:rFonts w:hint="eastAsia" w:ascii="宋体" w:hAnsi="宋体" w:eastAsia="宋体"/>
                <w:szCs w:val="21"/>
              </w:rPr>
              <w:t>m</w:t>
            </w:r>
          </w:p>
        </w:tc>
      </w:tr>
      <w:tr w14:paraId="15D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1807EB2">
            <w:pPr>
              <w:widowControl w:val="0"/>
              <w:spacing w:line="276" w:lineRule="auto"/>
              <w:jc w:val="center"/>
              <w:rPr>
                <w:rFonts w:ascii="宋体" w:hAnsi="宋体" w:eastAsia="宋体"/>
                <w:szCs w:val="21"/>
              </w:rPr>
            </w:pPr>
            <w:r>
              <w:rPr>
                <w:rFonts w:ascii="宋体" w:hAnsi="宋体" w:eastAsia="宋体"/>
                <w:szCs w:val="21"/>
              </w:rPr>
              <w:t>58</w:t>
            </w:r>
          </w:p>
        </w:tc>
        <w:tc>
          <w:tcPr>
            <w:tcW w:w="2001" w:type="dxa"/>
            <w:vAlign w:val="center"/>
          </w:tcPr>
          <w:p w14:paraId="184A143B">
            <w:pPr>
              <w:widowControl w:val="0"/>
              <w:spacing w:line="276" w:lineRule="auto"/>
              <w:jc w:val="center"/>
              <w:rPr>
                <w:rFonts w:ascii="宋体" w:hAnsi="宋体" w:eastAsia="宋体"/>
                <w:szCs w:val="21"/>
              </w:rPr>
            </w:pPr>
            <w:r>
              <w:rPr>
                <w:rFonts w:hint="eastAsia" w:ascii="宋体" w:hAnsi="宋体" w:eastAsia="宋体"/>
                <w:szCs w:val="21"/>
              </w:rPr>
              <w:t>供电电线（RVV-3×2.5mm2）</w:t>
            </w:r>
          </w:p>
        </w:tc>
        <w:tc>
          <w:tcPr>
            <w:tcW w:w="4576" w:type="dxa"/>
            <w:vAlign w:val="center"/>
          </w:tcPr>
          <w:p w14:paraId="2EBA0DCF">
            <w:pPr>
              <w:widowControl w:val="0"/>
              <w:spacing w:line="276" w:lineRule="auto"/>
              <w:jc w:val="both"/>
              <w:rPr>
                <w:rFonts w:ascii="宋体" w:hAnsi="宋体" w:eastAsia="宋体"/>
                <w:szCs w:val="21"/>
              </w:rPr>
            </w:pPr>
            <w:r>
              <w:rPr>
                <w:rFonts w:hint="eastAsia" w:ascii="宋体" w:hAnsi="宋体" w:eastAsia="宋体"/>
                <w:szCs w:val="21"/>
              </w:rPr>
              <w:t>RVV-3×2.5mm2。</w:t>
            </w:r>
          </w:p>
        </w:tc>
        <w:tc>
          <w:tcPr>
            <w:tcW w:w="960" w:type="dxa"/>
            <w:vAlign w:val="center"/>
          </w:tcPr>
          <w:p w14:paraId="2C18DC68">
            <w:pPr>
              <w:widowControl w:val="0"/>
              <w:spacing w:line="276" w:lineRule="auto"/>
              <w:jc w:val="center"/>
              <w:rPr>
                <w:rFonts w:ascii="宋体" w:hAnsi="宋体" w:eastAsia="宋体"/>
                <w:szCs w:val="21"/>
              </w:rPr>
            </w:pPr>
            <w:r>
              <w:rPr>
                <w:rFonts w:ascii="宋体" w:hAnsi="宋体" w:eastAsia="宋体"/>
                <w:szCs w:val="21"/>
              </w:rPr>
              <w:t>2280</w:t>
            </w:r>
          </w:p>
        </w:tc>
        <w:tc>
          <w:tcPr>
            <w:tcW w:w="499" w:type="dxa"/>
            <w:vAlign w:val="center"/>
          </w:tcPr>
          <w:p w14:paraId="4AAE65B8">
            <w:pPr>
              <w:widowControl w:val="0"/>
              <w:spacing w:line="276" w:lineRule="auto"/>
              <w:jc w:val="center"/>
              <w:rPr>
                <w:rFonts w:ascii="宋体" w:hAnsi="宋体" w:eastAsia="宋体"/>
                <w:szCs w:val="21"/>
              </w:rPr>
            </w:pPr>
            <w:r>
              <w:rPr>
                <w:rFonts w:hint="eastAsia" w:ascii="宋体" w:hAnsi="宋体" w:eastAsia="宋体"/>
                <w:szCs w:val="21"/>
              </w:rPr>
              <w:t>m</w:t>
            </w:r>
          </w:p>
        </w:tc>
      </w:tr>
      <w:tr w14:paraId="3583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503A0BD">
            <w:pPr>
              <w:widowControl w:val="0"/>
              <w:spacing w:line="276" w:lineRule="auto"/>
              <w:jc w:val="center"/>
              <w:rPr>
                <w:rFonts w:ascii="宋体" w:hAnsi="宋体" w:eastAsia="宋体"/>
                <w:szCs w:val="21"/>
              </w:rPr>
            </w:pPr>
            <w:r>
              <w:rPr>
                <w:rFonts w:ascii="宋体" w:hAnsi="宋体" w:eastAsia="宋体"/>
                <w:szCs w:val="21"/>
              </w:rPr>
              <w:t>59</w:t>
            </w:r>
          </w:p>
        </w:tc>
        <w:tc>
          <w:tcPr>
            <w:tcW w:w="2001" w:type="dxa"/>
            <w:vAlign w:val="center"/>
          </w:tcPr>
          <w:p w14:paraId="367ADA8B">
            <w:pPr>
              <w:widowControl w:val="0"/>
              <w:spacing w:line="276" w:lineRule="auto"/>
              <w:jc w:val="center"/>
              <w:rPr>
                <w:rFonts w:ascii="宋体" w:hAnsi="宋体" w:eastAsia="宋体"/>
                <w:szCs w:val="21"/>
              </w:rPr>
            </w:pPr>
            <w:r>
              <w:rPr>
                <w:rFonts w:hint="eastAsia" w:ascii="宋体" w:hAnsi="宋体" w:eastAsia="宋体"/>
                <w:szCs w:val="21"/>
              </w:rPr>
              <w:t>大屏供电电缆及通讯线</w:t>
            </w:r>
          </w:p>
        </w:tc>
        <w:tc>
          <w:tcPr>
            <w:tcW w:w="4576" w:type="dxa"/>
            <w:vAlign w:val="center"/>
          </w:tcPr>
          <w:p w14:paraId="15044BBC">
            <w:pPr>
              <w:widowControl w:val="0"/>
              <w:spacing w:line="276" w:lineRule="auto"/>
              <w:jc w:val="both"/>
              <w:rPr>
                <w:rFonts w:ascii="宋体" w:hAnsi="宋体" w:eastAsia="宋体"/>
                <w:szCs w:val="21"/>
              </w:rPr>
            </w:pPr>
            <w:r>
              <w:rPr>
                <w:rFonts w:hint="eastAsia" w:ascii="宋体" w:hAnsi="宋体" w:eastAsia="宋体"/>
                <w:szCs w:val="21"/>
              </w:rPr>
              <w:t>详见设计图纸及规范要求。</w:t>
            </w:r>
          </w:p>
        </w:tc>
        <w:tc>
          <w:tcPr>
            <w:tcW w:w="960" w:type="dxa"/>
            <w:vAlign w:val="center"/>
          </w:tcPr>
          <w:p w14:paraId="4005BAC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60345EA">
            <w:pPr>
              <w:widowControl w:val="0"/>
              <w:spacing w:line="276" w:lineRule="auto"/>
              <w:jc w:val="center"/>
              <w:rPr>
                <w:rFonts w:ascii="宋体" w:hAnsi="宋体" w:eastAsia="宋体"/>
                <w:szCs w:val="21"/>
              </w:rPr>
            </w:pPr>
            <w:r>
              <w:rPr>
                <w:rFonts w:hint="eastAsia" w:ascii="宋体" w:hAnsi="宋体" w:eastAsia="宋体"/>
                <w:szCs w:val="21"/>
              </w:rPr>
              <w:t>项</w:t>
            </w:r>
          </w:p>
        </w:tc>
      </w:tr>
      <w:tr w14:paraId="2EA8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3DDE885">
            <w:pPr>
              <w:widowControl w:val="0"/>
              <w:spacing w:line="276" w:lineRule="auto"/>
              <w:jc w:val="center"/>
              <w:rPr>
                <w:rFonts w:ascii="宋体" w:hAnsi="宋体" w:eastAsia="宋体"/>
                <w:szCs w:val="21"/>
              </w:rPr>
            </w:pPr>
            <w:r>
              <w:rPr>
                <w:rFonts w:ascii="宋体" w:hAnsi="宋体" w:eastAsia="宋体"/>
                <w:szCs w:val="21"/>
              </w:rPr>
              <w:t>60</w:t>
            </w:r>
          </w:p>
        </w:tc>
        <w:tc>
          <w:tcPr>
            <w:tcW w:w="2001" w:type="dxa"/>
            <w:vAlign w:val="center"/>
          </w:tcPr>
          <w:p w14:paraId="02CC4125">
            <w:pPr>
              <w:widowControl w:val="0"/>
              <w:spacing w:line="276" w:lineRule="auto"/>
              <w:jc w:val="center"/>
              <w:rPr>
                <w:rFonts w:ascii="宋体" w:hAnsi="宋体" w:eastAsia="宋体"/>
                <w:szCs w:val="21"/>
              </w:rPr>
            </w:pPr>
            <w:r>
              <w:rPr>
                <w:rFonts w:hint="eastAsia" w:ascii="宋体" w:hAnsi="宋体" w:eastAsia="宋体"/>
                <w:szCs w:val="21"/>
              </w:rPr>
              <w:t>控制线（RVVSP-2×1mm2）</w:t>
            </w:r>
          </w:p>
        </w:tc>
        <w:tc>
          <w:tcPr>
            <w:tcW w:w="4576" w:type="dxa"/>
            <w:vAlign w:val="center"/>
          </w:tcPr>
          <w:p w14:paraId="7C385944">
            <w:pPr>
              <w:widowControl w:val="0"/>
              <w:spacing w:line="276" w:lineRule="auto"/>
              <w:jc w:val="both"/>
              <w:rPr>
                <w:rFonts w:ascii="宋体" w:hAnsi="宋体" w:eastAsia="宋体"/>
                <w:szCs w:val="21"/>
              </w:rPr>
            </w:pPr>
            <w:r>
              <w:rPr>
                <w:rFonts w:hint="eastAsia" w:ascii="宋体" w:hAnsi="宋体" w:eastAsia="宋体"/>
                <w:szCs w:val="21"/>
              </w:rPr>
              <w:t>RVVSP-2×1mm2。</w:t>
            </w:r>
          </w:p>
        </w:tc>
        <w:tc>
          <w:tcPr>
            <w:tcW w:w="960" w:type="dxa"/>
            <w:vAlign w:val="center"/>
          </w:tcPr>
          <w:p w14:paraId="77EFF833">
            <w:pPr>
              <w:widowControl w:val="0"/>
              <w:spacing w:line="276" w:lineRule="auto"/>
              <w:jc w:val="center"/>
              <w:rPr>
                <w:rFonts w:ascii="宋体" w:hAnsi="宋体" w:eastAsia="宋体"/>
                <w:szCs w:val="21"/>
              </w:rPr>
            </w:pPr>
            <w:r>
              <w:rPr>
                <w:rFonts w:ascii="宋体" w:hAnsi="宋体" w:eastAsia="宋体"/>
                <w:szCs w:val="21"/>
              </w:rPr>
              <w:t>1050</w:t>
            </w:r>
          </w:p>
        </w:tc>
        <w:tc>
          <w:tcPr>
            <w:tcW w:w="499" w:type="dxa"/>
            <w:vAlign w:val="center"/>
          </w:tcPr>
          <w:p w14:paraId="2066FAE2">
            <w:pPr>
              <w:widowControl w:val="0"/>
              <w:spacing w:line="276" w:lineRule="auto"/>
              <w:jc w:val="center"/>
              <w:rPr>
                <w:rFonts w:ascii="宋体" w:hAnsi="宋体" w:eastAsia="宋体"/>
                <w:szCs w:val="21"/>
              </w:rPr>
            </w:pPr>
            <w:r>
              <w:rPr>
                <w:rFonts w:hint="eastAsia" w:ascii="宋体" w:hAnsi="宋体" w:eastAsia="宋体"/>
                <w:szCs w:val="21"/>
              </w:rPr>
              <w:t>m</w:t>
            </w:r>
          </w:p>
        </w:tc>
      </w:tr>
      <w:tr w14:paraId="5A0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E36585B">
            <w:pPr>
              <w:widowControl w:val="0"/>
              <w:spacing w:line="276" w:lineRule="auto"/>
              <w:jc w:val="center"/>
              <w:rPr>
                <w:rFonts w:ascii="宋体" w:hAnsi="宋体" w:eastAsia="宋体"/>
                <w:szCs w:val="21"/>
              </w:rPr>
            </w:pPr>
            <w:r>
              <w:rPr>
                <w:rFonts w:ascii="宋体" w:hAnsi="宋体" w:eastAsia="宋体"/>
                <w:szCs w:val="21"/>
              </w:rPr>
              <w:t>61</w:t>
            </w:r>
          </w:p>
        </w:tc>
        <w:tc>
          <w:tcPr>
            <w:tcW w:w="2001" w:type="dxa"/>
            <w:vAlign w:val="center"/>
          </w:tcPr>
          <w:p w14:paraId="0F14C007">
            <w:pPr>
              <w:widowControl w:val="0"/>
              <w:spacing w:line="276" w:lineRule="auto"/>
              <w:jc w:val="center"/>
              <w:rPr>
                <w:rFonts w:ascii="宋体" w:hAnsi="宋体" w:eastAsia="宋体"/>
                <w:szCs w:val="21"/>
              </w:rPr>
            </w:pPr>
            <w:r>
              <w:rPr>
                <w:rFonts w:hint="eastAsia" w:ascii="宋体" w:hAnsi="宋体" w:eastAsia="宋体"/>
                <w:szCs w:val="21"/>
              </w:rPr>
              <w:t>RVVP-4×0.2mm2</w:t>
            </w:r>
          </w:p>
        </w:tc>
        <w:tc>
          <w:tcPr>
            <w:tcW w:w="4576" w:type="dxa"/>
            <w:vAlign w:val="center"/>
          </w:tcPr>
          <w:p w14:paraId="6815F2BE">
            <w:pPr>
              <w:widowControl w:val="0"/>
              <w:spacing w:line="276" w:lineRule="auto"/>
              <w:jc w:val="both"/>
              <w:rPr>
                <w:rFonts w:ascii="宋体" w:hAnsi="宋体" w:eastAsia="宋体"/>
                <w:szCs w:val="21"/>
              </w:rPr>
            </w:pPr>
            <w:r>
              <w:rPr>
                <w:rFonts w:hint="eastAsia" w:ascii="宋体" w:hAnsi="宋体" w:eastAsia="宋体"/>
                <w:szCs w:val="21"/>
              </w:rPr>
              <w:t>RVVP-4×0.2mm2。</w:t>
            </w:r>
          </w:p>
        </w:tc>
        <w:tc>
          <w:tcPr>
            <w:tcW w:w="960" w:type="dxa"/>
            <w:vAlign w:val="center"/>
          </w:tcPr>
          <w:p w14:paraId="18AEB86A">
            <w:pPr>
              <w:widowControl w:val="0"/>
              <w:spacing w:line="276" w:lineRule="auto"/>
              <w:jc w:val="center"/>
              <w:rPr>
                <w:rFonts w:ascii="宋体" w:hAnsi="宋体" w:eastAsia="宋体"/>
                <w:szCs w:val="21"/>
              </w:rPr>
            </w:pPr>
            <w:r>
              <w:rPr>
                <w:rFonts w:ascii="宋体" w:hAnsi="宋体" w:eastAsia="宋体"/>
                <w:szCs w:val="21"/>
              </w:rPr>
              <w:t>600</w:t>
            </w:r>
          </w:p>
        </w:tc>
        <w:tc>
          <w:tcPr>
            <w:tcW w:w="499" w:type="dxa"/>
            <w:vAlign w:val="center"/>
          </w:tcPr>
          <w:p w14:paraId="3ACB1BE8">
            <w:pPr>
              <w:widowControl w:val="0"/>
              <w:spacing w:line="276" w:lineRule="auto"/>
              <w:jc w:val="center"/>
              <w:rPr>
                <w:rFonts w:ascii="宋体" w:hAnsi="宋体" w:eastAsia="宋体"/>
                <w:szCs w:val="21"/>
              </w:rPr>
            </w:pPr>
            <w:r>
              <w:rPr>
                <w:rFonts w:hint="eastAsia" w:ascii="宋体" w:hAnsi="宋体" w:eastAsia="宋体"/>
                <w:szCs w:val="21"/>
              </w:rPr>
              <w:t>m</w:t>
            </w:r>
          </w:p>
        </w:tc>
      </w:tr>
      <w:tr w14:paraId="049B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15E9F17">
            <w:pPr>
              <w:widowControl w:val="0"/>
              <w:spacing w:line="276" w:lineRule="auto"/>
              <w:jc w:val="center"/>
              <w:rPr>
                <w:rFonts w:ascii="宋体" w:hAnsi="宋体" w:eastAsia="宋体"/>
                <w:szCs w:val="21"/>
              </w:rPr>
            </w:pPr>
            <w:r>
              <w:rPr>
                <w:rFonts w:hint="eastAsia" w:ascii="宋体" w:hAnsi="宋体" w:eastAsia="宋体"/>
                <w:szCs w:val="21"/>
              </w:rPr>
              <w:t>6</w:t>
            </w:r>
            <w:r>
              <w:rPr>
                <w:rFonts w:ascii="宋体" w:hAnsi="宋体" w:eastAsia="宋体"/>
                <w:szCs w:val="21"/>
              </w:rPr>
              <w:t>2</w:t>
            </w:r>
          </w:p>
        </w:tc>
        <w:tc>
          <w:tcPr>
            <w:tcW w:w="2001" w:type="dxa"/>
            <w:vAlign w:val="center"/>
          </w:tcPr>
          <w:p w14:paraId="7B6C263A">
            <w:pPr>
              <w:widowControl w:val="0"/>
              <w:spacing w:line="276" w:lineRule="auto"/>
              <w:jc w:val="center"/>
              <w:rPr>
                <w:rFonts w:ascii="宋体" w:hAnsi="宋体" w:eastAsia="宋体"/>
                <w:szCs w:val="21"/>
              </w:rPr>
            </w:pPr>
            <w:r>
              <w:rPr>
                <w:rFonts w:hint="eastAsia" w:ascii="宋体" w:hAnsi="宋体" w:eastAsia="宋体"/>
                <w:szCs w:val="21"/>
              </w:rPr>
              <w:t>六类网线</w:t>
            </w:r>
          </w:p>
        </w:tc>
        <w:tc>
          <w:tcPr>
            <w:tcW w:w="4576" w:type="dxa"/>
            <w:vAlign w:val="center"/>
          </w:tcPr>
          <w:p w14:paraId="1A0205BF">
            <w:pPr>
              <w:widowControl w:val="0"/>
              <w:spacing w:line="276" w:lineRule="auto"/>
              <w:jc w:val="both"/>
              <w:rPr>
                <w:rFonts w:ascii="宋体" w:hAnsi="宋体" w:eastAsia="宋体"/>
                <w:szCs w:val="21"/>
              </w:rPr>
            </w:pPr>
            <w:r>
              <w:rPr>
                <w:rFonts w:hint="eastAsia" w:ascii="宋体" w:hAnsi="宋体" w:eastAsia="宋体"/>
                <w:szCs w:val="21"/>
              </w:rPr>
              <w:t>详见设计图纸及规范要求。</w:t>
            </w:r>
          </w:p>
        </w:tc>
        <w:tc>
          <w:tcPr>
            <w:tcW w:w="960" w:type="dxa"/>
            <w:vAlign w:val="center"/>
          </w:tcPr>
          <w:p w14:paraId="3DE09597">
            <w:pPr>
              <w:widowControl w:val="0"/>
              <w:spacing w:line="276" w:lineRule="auto"/>
              <w:jc w:val="center"/>
              <w:rPr>
                <w:rFonts w:ascii="宋体" w:hAnsi="宋体" w:eastAsia="宋体"/>
                <w:szCs w:val="21"/>
              </w:rPr>
            </w:pPr>
            <w:r>
              <w:rPr>
                <w:rFonts w:ascii="宋体" w:hAnsi="宋体" w:eastAsia="宋体"/>
                <w:szCs w:val="21"/>
              </w:rPr>
              <w:t>2780</w:t>
            </w:r>
          </w:p>
        </w:tc>
        <w:tc>
          <w:tcPr>
            <w:tcW w:w="499" w:type="dxa"/>
            <w:vAlign w:val="center"/>
          </w:tcPr>
          <w:p w14:paraId="358FEAEB">
            <w:pPr>
              <w:widowControl w:val="0"/>
              <w:spacing w:line="276" w:lineRule="auto"/>
              <w:jc w:val="center"/>
              <w:rPr>
                <w:rFonts w:ascii="宋体" w:hAnsi="宋体" w:eastAsia="宋体"/>
                <w:szCs w:val="21"/>
              </w:rPr>
            </w:pPr>
            <w:r>
              <w:rPr>
                <w:rFonts w:hint="eastAsia" w:ascii="宋体" w:hAnsi="宋体" w:eastAsia="宋体"/>
                <w:szCs w:val="21"/>
              </w:rPr>
              <w:t>m</w:t>
            </w:r>
          </w:p>
        </w:tc>
      </w:tr>
      <w:tr w14:paraId="2DB6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0CC9699">
            <w:pPr>
              <w:widowControl w:val="0"/>
              <w:spacing w:line="276" w:lineRule="auto"/>
              <w:jc w:val="center"/>
              <w:rPr>
                <w:rFonts w:ascii="宋体" w:hAnsi="宋体" w:eastAsia="宋体"/>
                <w:szCs w:val="21"/>
              </w:rPr>
            </w:pPr>
            <w:r>
              <w:rPr>
                <w:rFonts w:ascii="宋体" w:hAnsi="宋体" w:eastAsia="宋体"/>
                <w:szCs w:val="21"/>
              </w:rPr>
              <w:t>63</w:t>
            </w:r>
          </w:p>
        </w:tc>
        <w:tc>
          <w:tcPr>
            <w:tcW w:w="2001" w:type="dxa"/>
            <w:vAlign w:val="center"/>
          </w:tcPr>
          <w:p w14:paraId="6B0A9A61">
            <w:pPr>
              <w:widowControl w:val="0"/>
              <w:spacing w:line="276" w:lineRule="auto"/>
              <w:jc w:val="center"/>
              <w:rPr>
                <w:rFonts w:ascii="宋体" w:hAnsi="宋体" w:eastAsia="宋体"/>
                <w:szCs w:val="21"/>
              </w:rPr>
            </w:pPr>
            <w:r>
              <w:rPr>
                <w:rFonts w:hint="eastAsia" w:ascii="宋体" w:hAnsi="宋体" w:eastAsia="宋体"/>
                <w:szCs w:val="21"/>
              </w:rPr>
              <w:t>光缆辅材</w:t>
            </w:r>
          </w:p>
        </w:tc>
        <w:tc>
          <w:tcPr>
            <w:tcW w:w="4576" w:type="dxa"/>
            <w:vAlign w:val="center"/>
          </w:tcPr>
          <w:p w14:paraId="27F7D258">
            <w:pPr>
              <w:widowControl w:val="0"/>
              <w:spacing w:line="276" w:lineRule="auto"/>
              <w:jc w:val="both"/>
              <w:rPr>
                <w:rFonts w:ascii="宋体" w:hAnsi="宋体" w:eastAsia="宋体"/>
                <w:szCs w:val="21"/>
              </w:rPr>
            </w:pPr>
            <w:r>
              <w:rPr>
                <w:rFonts w:hint="eastAsia" w:ascii="宋体" w:hAnsi="宋体" w:eastAsia="宋体"/>
                <w:szCs w:val="21"/>
              </w:rPr>
              <w:t>详见设计图纸及规范要求。</w:t>
            </w:r>
          </w:p>
        </w:tc>
        <w:tc>
          <w:tcPr>
            <w:tcW w:w="960" w:type="dxa"/>
            <w:vAlign w:val="center"/>
          </w:tcPr>
          <w:p w14:paraId="0B894647">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9A15770">
            <w:pPr>
              <w:widowControl w:val="0"/>
              <w:spacing w:line="276" w:lineRule="auto"/>
              <w:jc w:val="center"/>
              <w:rPr>
                <w:rFonts w:ascii="宋体" w:hAnsi="宋体" w:eastAsia="宋体"/>
                <w:szCs w:val="21"/>
              </w:rPr>
            </w:pPr>
            <w:r>
              <w:rPr>
                <w:rFonts w:hint="eastAsia" w:ascii="宋体" w:hAnsi="宋体" w:eastAsia="宋体"/>
                <w:szCs w:val="21"/>
              </w:rPr>
              <w:t>项</w:t>
            </w:r>
          </w:p>
        </w:tc>
      </w:tr>
      <w:tr w14:paraId="6520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5E7182A">
            <w:pPr>
              <w:widowControl w:val="0"/>
              <w:spacing w:line="276" w:lineRule="auto"/>
              <w:jc w:val="center"/>
              <w:rPr>
                <w:rFonts w:ascii="宋体" w:hAnsi="宋体" w:eastAsia="宋体"/>
                <w:szCs w:val="21"/>
              </w:rPr>
            </w:pPr>
            <w:r>
              <w:rPr>
                <w:rFonts w:ascii="宋体" w:hAnsi="宋体" w:eastAsia="宋体"/>
                <w:szCs w:val="21"/>
              </w:rPr>
              <w:t>64</w:t>
            </w:r>
          </w:p>
        </w:tc>
        <w:tc>
          <w:tcPr>
            <w:tcW w:w="2001" w:type="dxa"/>
            <w:vAlign w:val="center"/>
          </w:tcPr>
          <w:p w14:paraId="23ACBFF8">
            <w:pPr>
              <w:widowControl w:val="0"/>
              <w:spacing w:line="276" w:lineRule="auto"/>
              <w:jc w:val="center"/>
              <w:rPr>
                <w:rFonts w:ascii="宋体" w:hAnsi="宋体" w:eastAsia="宋体"/>
                <w:szCs w:val="21"/>
              </w:rPr>
            </w:pPr>
            <w:r>
              <w:rPr>
                <w:rFonts w:hint="eastAsia" w:ascii="宋体" w:hAnsi="宋体" w:eastAsia="宋体"/>
                <w:szCs w:val="21"/>
              </w:rPr>
              <w:t>接地导线</w:t>
            </w:r>
          </w:p>
        </w:tc>
        <w:tc>
          <w:tcPr>
            <w:tcW w:w="4576" w:type="dxa"/>
            <w:vAlign w:val="center"/>
          </w:tcPr>
          <w:p w14:paraId="11B22673">
            <w:pPr>
              <w:widowControl w:val="0"/>
              <w:spacing w:line="276" w:lineRule="auto"/>
              <w:jc w:val="both"/>
              <w:rPr>
                <w:rFonts w:ascii="宋体" w:hAnsi="宋体" w:eastAsia="宋体"/>
                <w:szCs w:val="21"/>
              </w:rPr>
            </w:pPr>
            <w:r>
              <w:rPr>
                <w:rFonts w:hint="eastAsia" w:ascii="宋体" w:hAnsi="宋体" w:eastAsia="宋体"/>
                <w:szCs w:val="21"/>
              </w:rPr>
              <w:t>截面积≥25mm2，其他详见设计图纸及规范要求。</w:t>
            </w:r>
          </w:p>
        </w:tc>
        <w:tc>
          <w:tcPr>
            <w:tcW w:w="960" w:type="dxa"/>
            <w:vAlign w:val="center"/>
          </w:tcPr>
          <w:p w14:paraId="2F984774">
            <w:pPr>
              <w:widowControl w:val="0"/>
              <w:spacing w:line="276" w:lineRule="auto"/>
              <w:jc w:val="center"/>
              <w:rPr>
                <w:rFonts w:ascii="宋体" w:hAnsi="宋体" w:eastAsia="宋体"/>
                <w:szCs w:val="21"/>
              </w:rPr>
            </w:pPr>
            <w:r>
              <w:rPr>
                <w:rFonts w:ascii="宋体" w:hAnsi="宋体" w:eastAsia="宋体"/>
                <w:szCs w:val="21"/>
              </w:rPr>
              <w:t>60</w:t>
            </w:r>
          </w:p>
        </w:tc>
        <w:tc>
          <w:tcPr>
            <w:tcW w:w="499" w:type="dxa"/>
            <w:vAlign w:val="center"/>
          </w:tcPr>
          <w:p w14:paraId="5B2118FA">
            <w:pPr>
              <w:widowControl w:val="0"/>
              <w:spacing w:line="276" w:lineRule="auto"/>
              <w:jc w:val="center"/>
              <w:rPr>
                <w:rFonts w:ascii="宋体" w:hAnsi="宋体" w:eastAsia="宋体"/>
                <w:szCs w:val="21"/>
              </w:rPr>
            </w:pPr>
            <w:r>
              <w:rPr>
                <w:rFonts w:hint="eastAsia" w:ascii="宋体" w:hAnsi="宋体" w:eastAsia="宋体"/>
                <w:szCs w:val="21"/>
              </w:rPr>
              <w:t>m</w:t>
            </w:r>
          </w:p>
        </w:tc>
      </w:tr>
      <w:tr w14:paraId="3F2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3778758">
            <w:pPr>
              <w:widowControl w:val="0"/>
              <w:spacing w:line="276" w:lineRule="auto"/>
              <w:jc w:val="center"/>
              <w:rPr>
                <w:rFonts w:ascii="宋体" w:hAnsi="宋体" w:eastAsia="宋体"/>
                <w:szCs w:val="21"/>
              </w:rPr>
            </w:pPr>
            <w:r>
              <w:rPr>
                <w:rFonts w:ascii="宋体" w:hAnsi="宋体" w:eastAsia="宋体"/>
                <w:szCs w:val="21"/>
              </w:rPr>
              <w:t>65</w:t>
            </w:r>
          </w:p>
        </w:tc>
        <w:tc>
          <w:tcPr>
            <w:tcW w:w="2001" w:type="dxa"/>
            <w:vAlign w:val="center"/>
          </w:tcPr>
          <w:p w14:paraId="0F4D86AA">
            <w:pPr>
              <w:widowControl w:val="0"/>
              <w:spacing w:line="276" w:lineRule="auto"/>
              <w:jc w:val="center"/>
              <w:rPr>
                <w:rFonts w:ascii="宋体" w:hAnsi="宋体" w:eastAsia="宋体"/>
                <w:szCs w:val="21"/>
              </w:rPr>
            </w:pPr>
            <w:r>
              <w:rPr>
                <w:rFonts w:hint="eastAsia" w:ascii="宋体" w:hAnsi="宋体" w:eastAsia="宋体"/>
                <w:szCs w:val="21"/>
              </w:rPr>
              <w:t>强电电力线槽</w:t>
            </w:r>
          </w:p>
        </w:tc>
        <w:tc>
          <w:tcPr>
            <w:tcW w:w="4576" w:type="dxa"/>
            <w:vAlign w:val="center"/>
          </w:tcPr>
          <w:p w14:paraId="72B9D3DB">
            <w:pPr>
              <w:widowControl w:val="0"/>
              <w:spacing w:line="276" w:lineRule="auto"/>
              <w:jc w:val="both"/>
              <w:rPr>
                <w:rFonts w:ascii="宋体" w:hAnsi="宋体" w:eastAsia="宋体"/>
                <w:szCs w:val="21"/>
              </w:rPr>
            </w:pPr>
            <w:r>
              <w:rPr>
                <w:rFonts w:hint="eastAsia" w:ascii="宋体" w:hAnsi="宋体" w:eastAsia="宋体"/>
                <w:szCs w:val="21"/>
              </w:rPr>
              <w:t>金属线槽规格250*150*2mm，盖板厚度1.5mm，热浸镀锌钢板，镀锌量为500g/m2，其他详见设计图纸及规范要求。</w:t>
            </w:r>
          </w:p>
        </w:tc>
        <w:tc>
          <w:tcPr>
            <w:tcW w:w="960" w:type="dxa"/>
            <w:vAlign w:val="center"/>
          </w:tcPr>
          <w:p w14:paraId="732D4DDC">
            <w:pPr>
              <w:widowControl w:val="0"/>
              <w:spacing w:line="276" w:lineRule="auto"/>
              <w:jc w:val="center"/>
              <w:rPr>
                <w:rFonts w:ascii="宋体" w:hAnsi="宋体" w:eastAsia="宋体"/>
                <w:szCs w:val="21"/>
              </w:rPr>
            </w:pPr>
            <w:r>
              <w:rPr>
                <w:rFonts w:ascii="宋体" w:hAnsi="宋体" w:eastAsia="宋体"/>
                <w:szCs w:val="21"/>
              </w:rPr>
              <w:t>12</w:t>
            </w:r>
          </w:p>
        </w:tc>
        <w:tc>
          <w:tcPr>
            <w:tcW w:w="499" w:type="dxa"/>
            <w:vAlign w:val="center"/>
          </w:tcPr>
          <w:p w14:paraId="3D5A5577">
            <w:pPr>
              <w:widowControl w:val="0"/>
              <w:spacing w:line="276" w:lineRule="auto"/>
              <w:jc w:val="center"/>
              <w:rPr>
                <w:rFonts w:ascii="宋体" w:hAnsi="宋体" w:eastAsia="宋体"/>
                <w:szCs w:val="21"/>
              </w:rPr>
            </w:pPr>
            <w:r>
              <w:rPr>
                <w:rFonts w:hint="eastAsia" w:ascii="宋体" w:hAnsi="宋体" w:eastAsia="宋体"/>
                <w:szCs w:val="21"/>
              </w:rPr>
              <w:t>m</w:t>
            </w:r>
          </w:p>
        </w:tc>
      </w:tr>
      <w:tr w14:paraId="2CBE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18EC778">
            <w:pPr>
              <w:widowControl w:val="0"/>
              <w:spacing w:line="276" w:lineRule="auto"/>
              <w:jc w:val="center"/>
              <w:rPr>
                <w:rFonts w:ascii="宋体" w:hAnsi="宋体" w:eastAsia="宋体"/>
                <w:szCs w:val="21"/>
              </w:rPr>
            </w:pPr>
            <w:r>
              <w:rPr>
                <w:rFonts w:ascii="宋体" w:hAnsi="宋体" w:eastAsia="宋体"/>
                <w:szCs w:val="21"/>
              </w:rPr>
              <w:t>66</w:t>
            </w:r>
          </w:p>
        </w:tc>
        <w:tc>
          <w:tcPr>
            <w:tcW w:w="2001" w:type="dxa"/>
            <w:vAlign w:val="center"/>
          </w:tcPr>
          <w:p w14:paraId="5F79865A">
            <w:pPr>
              <w:widowControl w:val="0"/>
              <w:spacing w:line="276" w:lineRule="auto"/>
              <w:jc w:val="center"/>
              <w:rPr>
                <w:rFonts w:ascii="宋体" w:hAnsi="宋体" w:eastAsia="宋体"/>
                <w:szCs w:val="21"/>
              </w:rPr>
            </w:pPr>
            <w:r>
              <w:rPr>
                <w:rFonts w:hint="eastAsia" w:ascii="宋体" w:hAnsi="宋体" w:eastAsia="宋体"/>
                <w:szCs w:val="21"/>
              </w:rPr>
              <w:t>弱电信号线槽</w:t>
            </w:r>
          </w:p>
        </w:tc>
        <w:tc>
          <w:tcPr>
            <w:tcW w:w="4576" w:type="dxa"/>
            <w:vAlign w:val="center"/>
          </w:tcPr>
          <w:p w14:paraId="32C912A6">
            <w:pPr>
              <w:widowControl w:val="0"/>
              <w:spacing w:line="276" w:lineRule="auto"/>
              <w:jc w:val="both"/>
              <w:rPr>
                <w:rFonts w:ascii="宋体" w:hAnsi="宋体" w:eastAsia="宋体"/>
                <w:szCs w:val="21"/>
              </w:rPr>
            </w:pPr>
            <w:r>
              <w:rPr>
                <w:rFonts w:hint="eastAsia" w:ascii="宋体" w:hAnsi="宋体" w:eastAsia="宋体"/>
                <w:szCs w:val="21"/>
              </w:rPr>
              <w:t>金属线槽规格150*100*2mm，盖板厚度1.5mm，热浸镀锌钢板，镀锌量为500g/m2，其他详见设计图纸及规范要求。</w:t>
            </w:r>
          </w:p>
        </w:tc>
        <w:tc>
          <w:tcPr>
            <w:tcW w:w="960" w:type="dxa"/>
            <w:vAlign w:val="center"/>
          </w:tcPr>
          <w:p w14:paraId="77DFA4F0">
            <w:pPr>
              <w:widowControl w:val="0"/>
              <w:spacing w:line="276" w:lineRule="auto"/>
              <w:jc w:val="center"/>
              <w:rPr>
                <w:rFonts w:ascii="宋体" w:hAnsi="宋体" w:eastAsia="宋体"/>
                <w:szCs w:val="21"/>
              </w:rPr>
            </w:pPr>
            <w:r>
              <w:rPr>
                <w:rFonts w:ascii="宋体" w:hAnsi="宋体" w:eastAsia="宋体"/>
                <w:szCs w:val="21"/>
              </w:rPr>
              <w:t>18</w:t>
            </w:r>
          </w:p>
        </w:tc>
        <w:tc>
          <w:tcPr>
            <w:tcW w:w="499" w:type="dxa"/>
            <w:vAlign w:val="center"/>
          </w:tcPr>
          <w:p w14:paraId="2F24A6FA">
            <w:pPr>
              <w:widowControl w:val="0"/>
              <w:spacing w:line="276" w:lineRule="auto"/>
              <w:jc w:val="center"/>
              <w:rPr>
                <w:rFonts w:ascii="宋体" w:hAnsi="宋体" w:eastAsia="宋体"/>
                <w:szCs w:val="21"/>
              </w:rPr>
            </w:pPr>
            <w:r>
              <w:rPr>
                <w:rFonts w:hint="eastAsia" w:ascii="宋体" w:hAnsi="宋体" w:eastAsia="宋体"/>
                <w:szCs w:val="21"/>
              </w:rPr>
              <w:t>m</w:t>
            </w:r>
          </w:p>
        </w:tc>
      </w:tr>
      <w:tr w14:paraId="279A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7474349">
            <w:pPr>
              <w:widowControl w:val="0"/>
              <w:spacing w:line="276" w:lineRule="auto"/>
              <w:jc w:val="center"/>
              <w:rPr>
                <w:rFonts w:ascii="宋体" w:hAnsi="宋体" w:eastAsia="宋体"/>
                <w:szCs w:val="21"/>
              </w:rPr>
            </w:pPr>
            <w:r>
              <w:rPr>
                <w:rFonts w:ascii="宋体" w:hAnsi="宋体" w:eastAsia="宋体"/>
                <w:szCs w:val="21"/>
              </w:rPr>
              <w:t>67</w:t>
            </w:r>
          </w:p>
        </w:tc>
        <w:tc>
          <w:tcPr>
            <w:tcW w:w="2001" w:type="dxa"/>
            <w:vAlign w:val="center"/>
          </w:tcPr>
          <w:p w14:paraId="09D7AA8C">
            <w:pPr>
              <w:widowControl w:val="0"/>
              <w:spacing w:line="276" w:lineRule="auto"/>
              <w:jc w:val="center"/>
              <w:rPr>
                <w:rFonts w:ascii="宋体" w:hAnsi="宋体" w:eastAsia="宋体"/>
                <w:szCs w:val="21"/>
              </w:rPr>
            </w:pPr>
            <w:r>
              <w:rPr>
                <w:rFonts w:hint="eastAsia" w:ascii="宋体" w:hAnsi="宋体" w:eastAsia="宋体"/>
                <w:szCs w:val="21"/>
              </w:rPr>
              <w:t>螺纹管</w:t>
            </w:r>
          </w:p>
        </w:tc>
        <w:tc>
          <w:tcPr>
            <w:tcW w:w="4576" w:type="dxa"/>
            <w:vAlign w:val="center"/>
          </w:tcPr>
          <w:p w14:paraId="459463D5">
            <w:pPr>
              <w:widowControl w:val="0"/>
              <w:spacing w:line="276" w:lineRule="auto"/>
              <w:jc w:val="both"/>
              <w:rPr>
                <w:rFonts w:ascii="宋体" w:hAnsi="宋体" w:eastAsia="宋体"/>
                <w:szCs w:val="21"/>
              </w:rPr>
            </w:pPr>
            <w:r>
              <w:rPr>
                <w:rFonts w:hint="eastAsia" w:ascii="宋体" w:hAnsi="宋体" w:eastAsia="宋体"/>
                <w:szCs w:val="21"/>
              </w:rPr>
              <w:t>穿线缆：FPP阻燃AD25/5米，其他详见设计图纸及规范要求。</w:t>
            </w:r>
          </w:p>
        </w:tc>
        <w:tc>
          <w:tcPr>
            <w:tcW w:w="960" w:type="dxa"/>
            <w:vAlign w:val="center"/>
          </w:tcPr>
          <w:p w14:paraId="65EBE7EB">
            <w:pPr>
              <w:widowControl w:val="0"/>
              <w:spacing w:line="276" w:lineRule="auto"/>
              <w:jc w:val="center"/>
              <w:rPr>
                <w:rFonts w:ascii="宋体" w:hAnsi="宋体" w:eastAsia="宋体"/>
                <w:szCs w:val="21"/>
              </w:rPr>
            </w:pPr>
            <w:r>
              <w:rPr>
                <w:rFonts w:ascii="宋体" w:hAnsi="宋体" w:eastAsia="宋体"/>
                <w:szCs w:val="21"/>
              </w:rPr>
              <w:t>100</w:t>
            </w:r>
          </w:p>
        </w:tc>
        <w:tc>
          <w:tcPr>
            <w:tcW w:w="499" w:type="dxa"/>
            <w:vAlign w:val="center"/>
          </w:tcPr>
          <w:p w14:paraId="7BF2F2EA">
            <w:pPr>
              <w:widowControl w:val="0"/>
              <w:spacing w:line="276" w:lineRule="auto"/>
              <w:jc w:val="center"/>
              <w:rPr>
                <w:rFonts w:ascii="宋体" w:hAnsi="宋体" w:eastAsia="宋体"/>
                <w:szCs w:val="21"/>
              </w:rPr>
            </w:pPr>
            <w:r>
              <w:rPr>
                <w:rFonts w:hint="eastAsia" w:ascii="宋体" w:hAnsi="宋体" w:eastAsia="宋体"/>
                <w:szCs w:val="21"/>
              </w:rPr>
              <w:t>m</w:t>
            </w:r>
          </w:p>
        </w:tc>
      </w:tr>
      <w:tr w14:paraId="4071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5C1D668">
            <w:pPr>
              <w:widowControl w:val="0"/>
              <w:spacing w:line="276" w:lineRule="auto"/>
              <w:jc w:val="center"/>
              <w:rPr>
                <w:rFonts w:ascii="宋体" w:hAnsi="宋体" w:eastAsia="宋体"/>
                <w:szCs w:val="21"/>
              </w:rPr>
            </w:pPr>
            <w:r>
              <w:rPr>
                <w:rFonts w:ascii="宋体" w:hAnsi="宋体" w:eastAsia="宋体"/>
                <w:szCs w:val="21"/>
              </w:rPr>
              <w:t>68</w:t>
            </w:r>
          </w:p>
        </w:tc>
        <w:tc>
          <w:tcPr>
            <w:tcW w:w="2001" w:type="dxa"/>
            <w:vAlign w:val="center"/>
          </w:tcPr>
          <w:p w14:paraId="176C126B">
            <w:pPr>
              <w:widowControl w:val="0"/>
              <w:spacing w:line="276" w:lineRule="auto"/>
              <w:jc w:val="center"/>
              <w:rPr>
                <w:rFonts w:ascii="宋体" w:hAnsi="宋体" w:eastAsia="宋体"/>
                <w:szCs w:val="21"/>
              </w:rPr>
            </w:pPr>
            <w:r>
              <w:rPr>
                <w:rFonts w:hint="eastAsia" w:ascii="宋体" w:hAnsi="宋体" w:eastAsia="宋体"/>
                <w:szCs w:val="21"/>
              </w:rPr>
              <w:t>金属蛇皮管</w:t>
            </w:r>
          </w:p>
        </w:tc>
        <w:tc>
          <w:tcPr>
            <w:tcW w:w="4576" w:type="dxa"/>
            <w:vAlign w:val="center"/>
          </w:tcPr>
          <w:p w14:paraId="3986AC8E">
            <w:pPr>
              <w:widowControl w:val="0"/>
              <w:spacing w:line="276" w:lineRule="auto"/>
              <w:jc w:val="both"/>
              <w:rPr>
                <w:rFonts w:ascii="宋体" w:hAnsi="宋体" w:eastAsia="宋体"/>
                <w:szCs w:val="21"/>
              </w:rPr>
            </w:pPr>
            <w:r>
              <w:rPr>
                <w:rFonts w:hint="eastAsia" w:ascii="宋体" w:hAnsi="宋体" w:eastAsia="宋体"/>
                <w:szCs w:val="21"/>
              </w:rPr>
              <w:t>穿导线：304材质，内径≥100mm，其他详见设计图纸及规范要求。</w:t>
            </w:r>
          </w:p>
        </w:tc>
        <w:tc>
          <w:tcPr>
            <w:tcW w:w="960" w:type="dxa"/>
            <w:vAlign w:val="center"/>
          </w:tcPr>
          <w:p w14:paraId="42773497">
            <w:pPr>
              <w:widowControl w:val="0"/>
              <w:spacing w:line="276" w:lineRule="auto"/>
              <w:jc w:val="center"/>
              <w:rPr>
                <w:rFonts w:ascii="宋体" w:hAnsi="宋体" w:eastAsia="宋体"/>
                <w:szCs w:val="21"/>
              </w:rPr>
            </w:pPr>
            <w:r>
              <w:rPr>
                <w:rFonts w:ascii="宋体" w:hAnsi="宋体" w:eastAsia="宋体"/>
                <w:szCs w:val="21"/>
              </w:rPr>
              <w:t>80</w:t>
            </w:r>
          </w:p>
        </w:tc>
        <w:tc>
          <w:tcPr>
            <w:tcW w:w="499" w:type="dxa"/>
            <w:vAlign w:val="center"/>
          </w:tcPr>
          <w:p w14:paraId="483BA7D9">
            <w:pPr>
              <w:widowControl w:val="0"/>
              <w:spacing w:line="276" w:lineRule="auto"/>
              <w:jc w:val="center"/>
              <w:rPr>
                <w:rFonts w:ascii="宋体" w:hAnsi="宋体" w:eastAsia="宋体"/>
                <w:szCs w:val="21"/>
              </w:rPr>
            </w:pPr>
            <w:r>
              <w:rPr>
                <w:rFonts w:hint="eastAsia" w:ascii="宋体" w:hAnsi="宋体" w:eastAsia="宋体"/>
                <w:szCs w:val="21"/>
              </w:rPr>
              <w:t>m</w:t>
            </w:r>
          </w:p>
        </w:tc>
      </w:tr>
      <w:tr w14:paraId="5E8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215ABDD">
            <w:pPr>
              <w:widowControl w:val="0"/>
              <w:spacing w:line="276" w:lineRule="auto"/>
              <w:jc w:val="center"/>
              <w:rPr>
                <w:rFonts w:ascii="宋体" w:hAnsi="宋体" w:eastAsia="宋体"/>
                <w:szCs w:val="21"/>
              </w:rPr>
            </w:pPr>
            <w:r>
              <w:rPr>
                <w:rFonts w:ascii="宋体" w:hAnsi="宋体" w:eastAsia="宋体"/>
                <w:szCs w:val="21"/>
              </w:rPr>
              <w:t>69</w:t>
            </w:r>
          </w:p>
        </w:tc>
        <w:tc>
          <w:tcPr>
            <w:tcW w:w="2001" w:type="dxa"/>
            <w:vAlign w:val="center"/>
          </w:tcPr>
          <w:p w14:paraId="42173426">
            <w:pPr>
              <w:widowControl w:val="0"/>
              <w:spacing w:line="276" w:lineRule="auto"/>
              <w:jc w:val="center"/>
              <w:rPr>
                <w:rFonts w:ascii="宋体" w:hAnsi="宋体" w:eastAsia="宋体"/>
                <w:szCs w:val="21"/>
              </w:rPr>
            </w:pPr>
            <w:r>
              <w:rPr>
                <w:rFonts w:hint="eastAsia" w:ascii="宋体" w:hAnsi="宋体" w:eastAsia="宋体"/>
                <w:szCs w:val="21"/>
              </w:rPr>
              <w:t>预埋PE管（Φ50）</w:t>
            </w:r>
          </w:p>
        </w:tc>
        <w:tc>
          <w:tcPr>
            <w:tcW w:w="4576" w:type="dxa"/>
            <w:vAlign w:val="center"/>
          </w:tcPr>
          <w:p w14:paraId="76248BDC">
            <w:pPr>
              <w:widowControl w:val="0"/>
              <w:spacing w:line="276" w:lineRule="auto"/>
              <w:jc w:val="both"/>
              <w:rPr>
                <w:rFonts w:ascii="宋体" w:hAnsi="宋体" w:eastAsia="宋体"/>
                <w:szCs w:val="21"/>
              </w:rPr>
            </w:pPr>
            <w:r>
              <w:rPr>
                <w:rFonts w:hint="eastAsia" w:ascii="宋体" w:hAnsi="宋体" w:eastAsia="宋体"/>
                <w:szCs w:val="21"/>
              </w:rPr>
              <w:t>PE管</w:t>
            </w:r>
            <w:r>
              <w:rPr>
                <w:rFonts w:ascii="宋体" w:hAnsi="宋体" w:eastAsia="宋体" w:cs="Calibri"/>
                <w:szCs w:val="21"/>
              </w:rPr>
              <w:t>Φ</w:t>
            </w:r>
            <w:r>
              <w:rPr>
                <w:rFonts w:hint="eastAsia" w:ascii="宋体" w:hAnsi="宋体" w:eastAsia="宋体"/>
                <w:szCs w:val="21"/>
              </w:rPr>
              <w:t>50，其他详见设计图纸及规范要求。</w:t>
            </w:r>
          </w:p>
        </w:tc>
        <w:tc>
          <w:tcPr>
            <w:tcW w:w="960" w:type="dxa"/>
            <w:vAlign w:val="center"/>
          </w:tcPr>
          <w:p w14:paraId="1D84ED95">
            <w:pPr>
              <w:widowControl w:val="0"/>
              <w:spacing w:line="276" w:lineRule="auto"/>
              <w:jc w:val="center"/>
              <w:rPr>
                <w:rFonts w:ascii="宋体" w:hAnsi="宋体" w:eastAsia="宋体"/>
                <w:szCs w:val="21"/>
              </w:rPr>
            </w:pPr>
            <w:r>
              <w:rPr>
                <w:rFonts w:ascii="宋体" w:hAnsi="宋体" w:eastAsia="宋体"/>
                <w:szCs w:val="21"/>
              </w:rPr>
              <w:t>23500</w:t>
            </w:r>
          </w:p>
        </w:tc>
        <w:tc>
          <w:tcPr>
            <w:tcW w:w="499" w:type="dxa"/>
            <w:vAlign w:val="center"/>
          </w:tcPr>
          <w:p w14:paraId="78285673">
            <w:pPr>
              <w:widowControl w:val="0"/>
              <w:spacing w:line="276" w:lineRule="auto"/>
              <w:jc w:val="center"/>
              <w:rPr>
                <w:rFonts w:ascii="宋体" w:hAnsi="宋体" w:eastAsia="宋体"/>
                <w:szCs w:val="21"/>
              </w:rPr>
            </w:pPr>
            <w:r>
              <w:rPr>
                <w:rFonts w:hint="eastAsia" w:ascii="宋体" w:hAnsi="宋体" w:eastAsia="宋体"/>
                <w:szCs w:val="21"/>
              </w:rPr>
              <w:t>m</w:t>
            </w:r>
          </w:p>
        </w:tc>
      </w:tr>
      <w:tr w14:paraId="025D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47C811C">
            <w:pPr>
              <w:widowControl w:val="0"/>
              <w:spacing w:line="276" w:lineRule="auto"/>
              <w:jc w:val="center"/>
              <w:rPr>
                <w:rFonts w:ascii="宋体" w:hAnsi="宋体" w:eastAsia="宋体"/>
                <w:szCs w:val="21"/>
              </w:rPr>
            </w:pPr>
            <w:r>
              <w:rPr>
                <w:rFonts w:ascii="宋体" w:hAnsi="宋体" w:eastAsia="宋体"/>
                <w:szCs w:val="21"/>
              </w:rPr>
              <w:t>70</w:t>
            </w:r>
          </w:p>
        </w:tc>
        <w:tc>
          <w:tcPr>
            <w:tcW w:w="2001" w:type="dxa"/>
            <w:vAlign w:val="center"/>
          </w:tcPr>
          <w:p w14:paraId="5B57FCDA">
            <w:pPr>
              <w:widowControl w:val="0"/>
              <w:spacing w:line="276" w:lineRule="auto"/>
              <w:jc w:val="center"/>
              <w:rPr>
                <w:rFonts w:ascii="宋体" w:hAnsi="宋体" w:eastAsia="宋体"/>
                <w:szCs w:val="21"/>
              </w:rPr>
            </w:pPr>
            <w:r>
              <w:rPr>
                <w:rFonts w:hint="eastAsia" w:ascii="宋体" w:hAnsi="宋体" w:eastAsia="宋体"/>
                <w:szCs w:val="21"/>
              </w:rPr>
              <w:t>接地系统</w:t>
            </w:r>
          </w:p>
        </w:tc>
        <w:tc>
          <w:tcPr>
            <w:tcW w:w="4576" w:type="dxa"/>
            <w:vAlign w:val="center"/>
          </w:tcPr>
          <w:p w14:paraId="66BF5592">
            <w:pPr>
              <w:widowControl w:val="0"/>
              <w:spacing w:line="276" w:lineRule="auto"/>
              <w:jc w:val="both"/>
              <w:rPr>
                <w:rFonts w:ascii="宋体" w:hAnsi="宋体" w:eastAsia="宋体"/>
                <w:szCs w:val="21"/>
              </w:rPr>
            </w:pPr>
            <w:r>
              <w:rPr>
                <w:rFonts w:hint="eastAsia" w:ascii="宋体" w:hAnsi="宋体" w:eastAsia="宋体"/>
                <w:szCs w:val="21"/>
              </w:rPr>
              <w:t>（1）所有外场设施独立安装接地系统，接地网必须把所有杆件及机箱接地端子连接在一起。</w:t>
            </w:r>
            <w:r>
              <w:rPr>
                <w:rFonts w:hint="eastAsia" w:ascii="宋体" w:hAnsi="宋体" w:eastAsia="宋体"/>
                <w:szCs w:val="21"/>
              </w:rPr>
              <w:br w:type="textWrapping"/>
            </w:r>
            <w:r>
              <w:rPr>
                <w:rFonts w:hint="eastAsia" w:ascii="宋体" w:hAnsi="宋体" w:eastAsia="宋体"/>
                <w:szCs w:val="21"/>
              </w:rPr>
              <w:t>（2）沿路肩每隔5 米设一垂直接地极，过路管两边各设一根接地极，接地极采用50×50×5（L=2500mm）热镀锌角钢，接地极垂直打入地下（其顶部埋深大于1 米），并与接地带用50×5 热镀锌扁钢焊接连通，焊接部位须进行防腐处理。</w:t>
            </w:r>
            <w:r>
              <w:rPr>
                <w:rFonts w:hint="eastAsia" w:ascii="宋体" w:hAnsi="宋体" w:eastAsia="宋体"/>
                <w:szCs w:val="21"/>
              </w:rPr>
              <w:br w:type="textWrapping"/>
            </w:r>
            <w:r>
              <w:rPr>
                <w:rFonts w:hint="eastAsia" w:ascii="宋体" w:hAnsi="宋体" w:eastAsia="宋体"/>
                <w:szCs w:val="21"/>
              </w:rPr>
              <w:t>（3）视频监控、车牌识别系统可系统联合接地。</w:t>
            </w:r>
            <w:r>
              <w:rPr>
                <w:rFonts w:hint="eastAsia" w:ascii="宋体" w:hAnsi="宋体" w:eastAsia="宋体"/>
                <w:szCs w:val="21"/>
              </w:rPr>
              <w:br w:type="textWrapping"/>
            </w:r>
            <w:r>
              <w:rPr>
                <w:rFonts w:hint="eastAsia" w:ascii="宋体" w:hAnsi="宋体" w:eastAsia="宋体"/>
                <w:szCs w:val="21"/>
              </w:rPr>
              <w:t>（4）每座设备杆基础内均设置接地极，接地极采用热镀锌角钢50×50×5（L=2500mm），</w:t>
            </w:r>
            <w:r>
              <w:rPr>
                <w:rFonts w:hint="eastAsia" w:ascii="宋体" w:hAnsi="宋体" w:eastAsia="宋体"/>
                <w:szCs w:val="21"/>
              </w:rPr>
              <w:br w:type="textWrapping"/>
            </w:r>
            <w:r>
              <w:rPr>
                <w:rFonts w:hint="eastAsia" w:ascii="宋体" w:hAnsi="宋体" w:eastAsia="宋体"/>
                <w:szCs w:val="21"/>
              </w:rPr>
              <w:t>用50×5 热镀锌扁钢将接地极与砼基础配筋网及杆地极脚螺栓在地下部分全部焊接连成一电气整体。</w:t>
            </w:r>
            <w:r>
              <w:rPr>
                <w:rFonts w:hint="eastAsia" w:ascii="宋体" w:hAnsi="宋体" w:eastAsia="宋体"/>
                <w:szCs w:val="21"/>
              </w:rPr>
              <w:br w:type="textWrapping"/>
            </w:r>
            <w:r>
              <w:rPr>
                <w:rFonts w:hint="eastAsia" w:ascii="宋体" w:hAnsi="宋体" w:eastAsia="宋体"/>
                <w:szCs w:val="21"/>
              </w:rPr>
              <w:t>其他详见设计图纸及规范要求。</w:t>
            </w:r>
          </w:p>
        </w:tc>
        <w:tc>
          <w:tcPr>
            <w:tcW w:w="960" w:type="dxa"/>
            <w:vAlign w:val="center"/>
          </w:tcPr>
          <w:p w14:paraId="207F701B">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21C17E25">
            <w:pPr>
              <w:widowControl w:val="0"/>
              <w:spacing w:line="276" w:lineRule="auto"/>
              <w:jc w:val="center"/>
              <w:rPr>
                <w:rFonts w:ascii="宋体" w:hAnsi="宋体" w:eastAsia="宋体"/>
                <w:szCs w:val="21"/>
              </w:rPr>
            </w:pPr>
            <w:r>
              <w:rPr>
                <w:rFonts w:hint="eastAsia" w:ascii="宋体" w:hAnsi="宋体" w:eastAsia="宋体"/>
                <w:szCs w:val="21"/>
              </w:rPr>
              <w:t>套</w:t>
            </w:r>
          </w:p>
        </w:tc>
      </w:tr>
      <w:tr w14:paraId="446B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E7927C9">
            <w:pPr>
              <w:widowControl w:val="0"/>
              <w:spacing w:line="276" w:lineRule="auto"/>
              <w:jc w:val="center"/>
              <w:rPr>
                <w:rFonts w:ascii="宋体" w:hAnsi="宋体" w:eastAsia="宋体"/>
                <w:szCs w:val="21"/>
              </w:rPr>
            </w:pPr>
            <w:r>
              <w:rPr>
                <w:rFonts w:ascii="宋体" w:hAnsi="宋体" w:eastAsia="宋体"/>
                <w:szCs w:val="21"/>
              </w:rPr>
              <w:t>71</w:t>
            </w:r>
          </w:p>
        </w:tc>
        <w:tc>
          <w:tcPr>
            <w:tcW w:w="2001" w:type="dxa"/>
            <w:vAlign w:val="center"/>
          </w:tcPr>
          <w:p w14:paraId="64FF384C">
            <w:pPr>
              <w:widowControl w:val="0"/>
              <w:spacing w:line="276" w:lineRule="auto"/>
              <w:jc w:val="center"/>
              <w:rPr>
                <w:rFonts w:ascii="宋体" w:hAnsi="宋体" w:eastAsia="宋体"/>
                <w:szCs w:val="21"/>
              </w:rPr>
            </w:pPr>
            <w:r>
              <w:rPr>
                <w:rFonts w:hint="eastAsia" w:ascii="宋体" w:hAnsi="宋体" w:eastAsia="宋体"/>
                <w:szCs w:val="21"/>
              </w:rPr>
              <w:t>接地汇流排</w:t>
            </w:r>
          </w:p>
        </w:tc>
        <w:tc>
          <w:tcPr>
            <w:tcW w:w="4576" w:type="dxa"/>
            <w:vAlign w:val="center"/>
          </w:tcPr>
          <w:p w14:paraId="7C6E9657">
            <w:pPr>
              <w:widowControl w:val="0"/>
              <w:spacing w:line="276" w:lineRule="auto"/>
              <w:jc w:val="both"/>
              <w:rPr>
                <w:rFonts w:ascii="宋体" w:hAnsi="宋体" w:eastAsia="宋体"/>
                <w:szCs w:val="21"/>
              </w:rPr>
            </w:pPr>
            <w:r>
              <w:rPr>
                <w:rFonts w:hint="eastAsia" w:ascii="宋体" w:hAnsi="宋体" w:eastAsia="宋体"/>
                <w:szCs w:val="21"/>
              </w:rPr>
              <w:t>400*100接地铜排，其他详见设计图纸及规范要求。</w:t>
            </w:r>
          </w:p>
        </w:tc>
        <w:tc>
          <w:tcPr>
            <w:tcW w:w="960" w:type="dxa"/>
            <w:vAlign w:val="center"/>
          </w:tcPr>
          <w:p w14:paraId="5C7CC3AD">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3F887A56">
            <w:pPr>
              <w:widowControl w:val="0"/>
              <w:spacing w:line="276" w:lineRule="auto"/>
              <w:jc w:val="center"/>
              <w:rPr>
                <w:rFonts w:ascii="宋体" w:hAnsi="宋体" w:eastAsia="宋体"/>
                <w:szCs w:val="21"/>
              </w:rPr>
            </w:pPr>
            <w:r>
              <w:rPr>
                <w:rFonts w:hint="eastAsia" w:ascii="宋体" w:hAnsi="宋体" w:eastAsia="宋体"/>
                <w:szCs w:val="21"/>
              </w:rPr>
              <w:t>个</w:t>
            </w:r>
          </w:p>
        </w:tc>
      </w:tr>
      <w:tr w14:paraId="4BD0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E4B2793">
            <w:pPr>
              <w:widowControl w:val="0"/>
              <w:spacing w:line="276" w:lineRule="auto"/>
              <w:jc w:val="center"/>
              <w:rPr>
                <w:rFonts w:ascii="宋体" w:hAnsi="宋体" w:eastAsia="宋体"/>
                <w:szCs w:val="21"/>
              </w:rPr>
            </w:pPr>
            <w:r>
              <w:rPr>
                <w:rFonts w:ascii="宋体" w:hAnsi="宋体" w:eastAsia="宋体"/>
                <w:szCs w:val="21"/>
              </w:rPr>
              <w:t>72</w:t>
            </w:r>
          </w:p>
        </w:tc>
        <w:tc>
          <w:tcPr>
            <w:tcW w:w="2001" w:type="dxa"/>
            <w:vAlign w:val="center"/>
          </w:tcPr>
          <w:p w14:paraId="2742B3CE">
            <w:pPr>
              <w:widowControl w:val="0"/>
              <w:spacing w:line="276" w:lineRule="auto"/>
              <w:jc w:val="center"/>
              <w:rPr>
                <w:rFonts w:ascii="宋体" w:hAnsi="宋体" w:eastAsia="宋体"/>
                <w:szCs w:val="21"/>
              </w:rPr>
            </w:pPr>
            <w:r>
              <w:rPr>
                <w:rFonts w:hint="eastAsia" w:ascii="宋体" w:hAnsi="宋体" w:eastAsia="宋体"/>
                <w:szCs w:val="21"/>
              </w:rPr>
              <w:t>悬臂式可变信息标志(H6.5m+L8m，含杆件、防雷及基础等)</w:t>
            </w:r>
          </w:p>
        </w:tc>
        <w:tc>
          <w:tcPr>
            <w:tcW w:w="4576" w:type="dxa"/>
            <w:vAlign w:val="center"/>
          </w:tcPr>
          <w:p w14:paraId="1F426E94">
            <w:pPr>
              <w:widowControl w:val="0"/>
              <w:spacing w:line="276" w:lineRule="auto"/>
              <w:jc w:val="both"/>
              <w:rPr>
                <w:rFonts w:ascii="宋体" w:hAnsi="宋体" w:eastAsia="宋体"/>
                <w:szCs w:val="21"/>
              </w:rPr>
            </w:pPr>
            <w:r>
              <w:rPr>
                <w:rFonts w:hint="eastAsia" w:ascii="宋体" w:hAnsi="宋体" w:eastAsia="宋体"/>
                <w:szCs w:val="21"/>
              </w:rPr>
              <w:t>杆件：H6.5m+L8m，含杆件、防雷及基础等；含安装期间车辆保通等，其他详见设计图纸及规范要求。</w:t>
            </w:r>
          </w:p>
        </w:tc>
        <w:tc>
          <w:tcPr>
            <w:tcW w:w="960" w:type="dxa"/>
            <w:vAlign w:val="center"/>
          </w:tcPr>
          <w:p w14:paraId="5DD2D99D">
            <w:pPr>
              <w:widowControl w:val="0"/>
              <w:spacing w:line="276" w:lineRule="auto"/>
              <w:jc w:val="center"/>
              <w:rPr>
                <w:rFonts w:ascii="宋体" w:hAnsi="宋体" w:eastAsia="宋体"/>
                <w:szCs w:val="21"/>
              </w:rPr>
            </w:pPr>
            <w:r>
              <w:rPr>
                <w:rFonts w:ascii="宋体" w:hAnsi="宋体" w:eastAsia="宋体"/>
                <w:szCs w:val="21"/>
              </w:rPr>
              <w:t>7</w:t>
            </w:r>
          </w:p>
        </w:tc>
        <w:tc>
          <w:tcPr>
            <w:tcW w:w="499" w:type="dxa"/>
            <w:vAlign w:val="center"/>
          </w:tcPr>
          <w:p w14:paraId="0CE5EEAE">
            <w:pPr>
              <w:widowControl w:val="0"/>
              <w:spacing w:line="276" w:lineRule="auto"/>
              <w:jc w:val="center"/>
              <w:rPr>
                <w:rFonts w:ascii="宋体" w:hAnsi="宋体" w:eastAsia="宋体"/>
                <w:szCs w:val="21"/>
              </w:rPr>
            </w:pPr>
            <w:r>
              <w:rPr>
                <w:rFonts w:hint="eastAsia" w:ascii="宋体" w:hAnsi="宋体" w:eastAsia="宋体"/>
                <w:szCs w:val="21"/>
              </w:rPr>
              <w:t>套</w:t>
            </w:r>
          </w:p>
        </w:tc>
      </w:tr>
      <w:tr w14:paraId="210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8D19BD7">
            <w:pPr>
              <w:widowControl w:val="0"/>
              <w:spacing w:line="276" w:lineRule="auto"/>
              <w:jc w:val="center"/>
              <w:rPr>
                <w:rFonts w:ascii="宋体" w:hAnsi="宋体" w:eastAsia="宋体"/>
                <w:szCs w:val="21"/>
              </w:rPr>
            </w:pPr>
            <w:r>
              <w:rPr>
                <w:rFonts w:hint="eastAsia" w:ascii="宋体" w:hAnsi="宋体" w:eastAsia="宋体"/>
                <w:szCs w:val="21"/>
              </w:rPr>
              <w:t>73</w:t>
            </w:r>
          </w:p>
        </w:tc>
        <w:tc>
          <w:tcPr>
            <w:tcW w:w="2001" w:type="dxa"/>
            <w:vAlign w:val="center"/>
          </w:tcPr>
          <w:p w14:paraId="78A5006D">
            <w:pPr>
              <w:widowControl w:val="0"/>
              <w:spacing w:line="276" w:lineRule="auto"/>
              <w:jc w:val="center"/>
              <w:rPr>
                <w:rFonts w:ascii="宋体" w:hAnsi="宋体" w:eastAsia="宋体"/>
                <w:szCs w:val="21"/>
              </w:rPr>
            </w:pPr>
            <w:r>
              <w:rPr>
                <w:rFonts w:hint="eastAsia" w:ascii="宋体" w:hAnsi="宋体" w:eastAsia="宋体"/>
                <w:szCs w:val="21"/>
              </w:rPr>
              <w:t>悬臂式可变信息标志(H6.5m+L10m，含杆件、防雷及基础等)</w:t>
            </w:r>
          </w:p>
        </w:tc>
        <w:tc>
          <w:tcPr>
            <w:tcW w:w="4576" w:type="dxa"/>
            <w:vAlign w:val="center"/>
          </w:tcPr>
          <w:p w14:paraId="04DAECFB">
            <w:pPr>
              <w:widowControl w:val="0"/>
              <w:spacing w:line="276" w:lineRule="auto"/>
              <w:jc w:val="both"/>
              <w:rPr>
                <w:rFonts w:ascii="宋体" w:hAnsi="宋体" w:eastAsia="宋体"/>
                <w:szCs w:val="21"/>
              </w:rPr>
            </w:pPr>
            <w:r>
              <w:rPr>
                <w:rFonts w:hint="eastAsia" w:ascii="宋体" w:hAnsi="宋体" w:eastAsia="宋体"/>
                <w:szCs w:val="21"/>
              </w:rPr>
              <w:t>杆件：H6.5m+L10m，含杆件、防雷及基础等，含安装期间车辆保通等，其他详见设计图纸及规范要求。</w:t>
            </w:r>
          </w:p>
        </w:tc>
        <w:tc>
          <w:tcPr>
            <w:tcW w:w="960" w:type="dxa"/>
            <w:vAlign w:val="center"/>
          </w:tcPr>
          <w:p w14:paraId="3276B2BC">
            <w:pPr>
              <w:widowControl w:val="0"/>
              <w:spacing w:line="276" w:lineRule="auto"/>
              <w:jc w:val="center"/>
              <w:rPr>
                <w:rFonts w:ascii="宋体" w:hAnsi="宋体" w:eastAsia="宋体"/>
                <w:szCs w:val="21"/>
              </w:rPr>
            </w:pPr>
            <w:r>
              <w:rPr>
                <w:rFonts w:ascii="宋体" w:hAnsi="宋体" w:eastAsia="宋体"/>
                <w:szCs w:val="21"/>
              </w:rPr>
              <w:t>17</w:t>
            </w:r>
          </w:p>
        </w:tc>
        <w:tc>
          <w:tcPr>
            <w:tcW w:w="499" w:type="dxa"/>
            <w:vAlign w:val="center"/>
          </w:tcPr>
          <w:p w14:paraId="2EF43312">
            <w:pPr>
              <w:widowControl w:val="0"/>
              <w:spacing w:line="276" w:lineRule="auto"/>
              <w:jc w:val="center"/>
              <w:rPr>
                <w:rFonts w:ascii="宋体" w:hAnsi="宋体" w:eastAsia="宋体"/>
                <w:szCs w:val="21"/>
              </w:rPr>
            </w:pPr>
            <w:r>
              <w:rPr>
                <w:rFonts w:hint="eastAsia" w:ascii="宋体" w:hAnsi="宋体" w:eastAsia="宋体"/>
                <w:szCs w:val="21"/>
              </w:rPr>
              <w:t>套</w:t>
            </w:r>
          </w:p>
        </w:tc>
      </w:tr>
      <w:tr w14:paraId="5FCC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2628E3F">
            <w:pPr>
              <w:widowControl w:val="0"/>
              <w:spacing w:line="276" w:lineRule="auto"/>
              <w:jc w:val="center"/>
              <w:rPr>
                <w:rFonts w:ascii="宋体" w:hAnsi="宋体" w:eastAsia="宋体"/>
                <w:szCs w:val="21"/>
              </w:rPr>
            </w:pPr>
            <w:r>
              <w:rPr>
                <w:rFonts w:hint="eastAsia" w:ascii="宋体" w:hAnsi="宋体" w:eastAsia="宋体"/>
                <w:szCs w:val="21"/>
              </w:rPr>
              <w:t>74</w:t>
            </w:r>
          </w:p>
        </w:tc>
        <w:tc>
          <w:tcPr>
            <w:tcW w:w="2001" w:type="dxa"/>
            <w:vAlign w:val="center"/>
          </w:tcPr>
          <w:p w14:paraId="2FACBAB2">
            <w:pPr>
              <w:widowControl w:val="0"/>
              <w:spacing w:line="276" w:lineRule="auto"/>
              <w:jc w:val="center"/>
              <w:rPr>
                <w:rFonts w:ascii="宋体" w:hAnsi="宋体" w:eastAsia="宋体"/>
                <w:szCs w:val="21"/>
              </w:rPr>
            </w:pPr>
            <w:r>
              <w:rPr>
                <w:rFonts w:hint="eastAsia" w:ascii="宋体" w:hAnsi="宋体" w:eastAsia="宋体"/>
                <w:szCs w:val="21"/>
              </w:rPr>
              <w:t>悬臂式可变信息标志(H6.5m+L12m，含杆件、防雷及基础等)</w:t>
            </w:r>
          </w:p>
        </w:tc>
        <w:tc>
          <w:tcPr>
            <w:tcW w:w="4576" w:type="dxa"/>
            <w:vAlign w:val="center"/>
          </w:tcPr>
          <w:p w14:paraId="259FAB36">
            <w:pPr>
              <w:widowControl w:val="0"/>
              <w:spacing w:line="276" w:lineRule="auto"/>
              <w:jc w:val="both"/>
              <w:rPr>
                <w:rFonts w:ascii="宋体" w:hAnsi="宋体" w:eastAsia="宋体"/>
                <w:szCs w:val="21"/>
              </w:rPr>
            </w:pPr>
            <w:r>
              <w:rPr>
                <w:rFonts w:hint="eastAsia" w:ascii="宋体" w:hAnsi="宋体" w:eastAsia="宋体"/>
                <w:szCs w:val="21"/>
              </w:rPr>
              <w:t>杆件：H6.5m+L12m，含杆件、防雷及基础等，含安装期间车辆保通等，其他详见设计图纸及规范要求。</w:t>
            </w:r>
          </w:p>
        </w:tc>
        <w:tc>
          <w:tcPr>
            <w:tcW w:w="960" w:type="dxa"/>
            <w:vAlign w:val="center"/>
          </w:tcPr>
          <w:p w14:paraId="14491078">
            <w:pPr>
              <w:widowControl w:val="0"/>
              <w:spacing w:line="276" w:lineRule="auto"/>
              <w:jc w:val="center"/>
              <w:rPr>
                <w:rFonts w:ascii="宋体" w:hAnsi="宋体" w:eastAsia="宋体"/>
                <w:szCs w:val="21"/>
              </w:rPr>
            </w:pPr>
            <w:r>
              <w:rPr>
                <w:rFonts w:ascii="宋体" w:hAnsi="宋体" w:eastAsia="宋体"/>
                <w:szCs w:val="21"/>
              </w:rPr>
              <w:t>30</w:t>
            </w:r>
          </w:p>
        </w:tc>
        <w:tc>
          <w:tcPr>
            <w:tcW w:w="499" w:type="dxa"/>
            <w:vAlign w:val="center"/>
          </w:tcPr>
          <w:p w14:paraId="65230DE4">
            <w:pPr>
              <w:widowControl w:val="0"/>
              <w:spacing w:line="276" w:lineRule="auto"/>
              <w:jc w:val="center"/>
              <w:rPr>
                <w:rFonts w:ascii="宋体" w:hAnsi="宋体" w:eastAsia="宋体"/>
                <w:szCs w:val="21"/>
              </w:rPr>
            </w:pPr>
            <w:r>
              <w:rPr>
                <w:rFonts w:hint="eastAsia" w:ascii="宋体" w:hAnsi="宋体" w:eastAsia="宋体"/>
                <w:szCs w:val="21"/>
              </w:rPr>
              <w:t>套</w:t>
            </w:r>
          </w:p>
        </w:tc>
      </w:tr>
      <w:tr w14:paraId="4B26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DCD485E">
            <w:pPr>
              <w:widowControl w:val="0"/>
              <w:spacing w:line="276" w:lineRule="auto"/>
              <w:jc w:val="center"/>
              <w:rPr>
                <w:rFonts w:ascii="宋体" w:hAnsi="宋体" w:eastAsia="宋体"/>
                <w:szCs w:val="21"/>
              </w:rPr>
            </w:pPr>
            <w:r>
              <w:rPr>
                <w:rFonts w:hint="eastAsia" w:ascii="宋体" w:hAnsi="宋体" w:eastAsia="宋体"/>
                <w:szCs w:val="21"/>
              </w:rPr>
              <w:t>75</w:t>
            </w:r>
          </w:p>
        </w:tc>
        <w:tc>
          <w:tcPr>
            <w:tcW w:w="2001" w:type="dxa"/>
            <w:vAlign w:val="center"/>
          </w:tcPr>
          <w:p w14:paraId="4DAF724A">
            <w:pPr>
              <w:widowControl w:val="0"/>
              <w:spacing w:line="276" w:lineRule="auto"/>
              <w:jc w:val="center"/>
              <w:rPr>
                <w:rFonts w:ascii="宋体" w:hAnsi="宋体" w:eastAsia="宋体"/>
                <w:szCs w:val="21"/>
              </w:rPr>
            </w:pPr>
            <w:r>
              <w:rPr>
                <w:rFonts w:hint="eastAsia" w:ascii="宋体" w:hAnsi="宋体" w:eastAsia="宋体"/>
                <w:szCs w:val="21"/>
              </w:rPr>
              <w:t>悬臂式可变信息标志(H6.5m+L14m，含杆件、防雷及基础等)</w:t>
            </w:r>
          </w:p>
        </w:tc>
        <w:tc>
          <w:tcPr>
            <w:tcW w:w="4576" w:type="dxa"/>
            <w:vAlign w:val="center"/>
          </w:tcPr>
          <w:p w14:paraId="55CC3241">
            <w:pPr>
              <w:widowControl w:val="0"/>
              <w:spacing w:line="276" w:lineRule="auto"/>
              <w:jc w:val="both"/>
              <w:rPr>
                <w:rFonts w:ascii="宋体" w:hAnsi="宋体" w:eastAsia="宋体"/>
                <w:szCs w:val="21"/>
              </w:rPr>
            </w:pPr>
            <w:r>
              <w:rPr>
                <w:rFonts w:hint="eastAsia" w:ascii="宋体" w:hAnsi="宋体" w:eastAsia="宋体"/>
                <w:szCs w:val="21"/>
              </w:rPr>
              <w:t>杆件：H6.5m+L14m，含杆件、防雷及基础等，含安装期间车辆保通等，其他详见设计图纸及规范要求。</w:t>
            </w:r>
          </w:p>
        </w:tc>
        <w:tc>
          <w:tcPr>
            <w:tcW w:w="960" w:type="dxa"/>
            <w:vAlign w:val="center"/>
          </w:tcPr>
          <w:p w14:paraId="1C0A26EF">
            <w:pPr>
              <w:widowControl w:val="0"/>
              <w:spacing w:line="276" w:lineRule="auto"/>
              <w:jc w:val="center"/>
              <w:rPr>
                <w:rFonts w:ascii="宋体" w:hAnsi="宋体" w:eastAsia="宋体"/>
                <w:szCs w:val="21"/>
              </w:rPr>
            </w:pPr>
            <w:r>
              <w:rPr>
                <w:rFonts w:ascii="宋体" w:hAnsi="宋体" w:eastAsia="宋体"/>
                <w:szCs w:val="21"/>
              </w:rPr>
              <w:t>13</w:t>
            </w:r>
          </w:p>
        </w:tc>
        <w:tc>
          <w:tcPr>
            <w:tcW w:w="499" w:type="dxa"/>
            <w:vAlign w:val="center"/>
          </w:tcPr>
          <w:p w14:paraId="02B6857C">
            <w:pPr>
              <w:widowControl w:val="0"/>
              <w:spacing w:line="276" w:lineRule="auto"/>
              <w:jc w:val="center"/>
              <w:rPr>
                <w:rFonts w:ascii="宋体" w:hAnsi="宋体" w:eastAsia="宋体"/>
                <w:szCs w:val="21"/>
              </w:rPr>
            </w:pPr>
            <w:r>
              <w:rPr>
                <w:rFonts w:hint="eastAsia" w:ascii="宋体" w:hAnsi="宋体" w:eastAsia="宋体"/>
                <w:szCs w:val="21"/>
              </w:rPr>
              <w:t>套</w:t>
            </w:r>
          </w:p>
        </w:tc>
      </w:tr>
      <w:tr w14:paraId="087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50A702F">
            <w:pPr>
              <w:widowControl w:val="0"/>
              <w:spacing w:line="276" w:lineRule="auto"/>
              <w:jc w:val="center"/>
              <w:rPr>
                <w:rFonts w:ascii="宋体" w:hAnsi="宋体" w:eastAsia="宋体"/>
                <w:szCs w:val="21"/>
              </w:rPr>
            </w:pPr>
            <w:r>
              <w:rPr>
                <w:rFonts w:hint="eastAsia" w:ascii="宋体" w:hAnsi="宋体" w:eastAsia="宋体"/>
                <w:szCs w:val="21"/>
              </w:rPr>
              <w:t>76</w:t>
            </w:r>
          </w:p>
        </w:tc>
        <w:tc>
          <w:tcPr>
            <w:tcW w:w="2001" w:type="dxa"/>
            <w:vAlign w:val="center"/>
          </w:tcPr>
          <w:p w14:paraId="5B2AFF97">
            <w:pPr>
              <w:widowControl w:val="0"/>
              <w:spacing w:line="276" w:lineRule="auto"/>
              <w:jc w:val="center"/>
              <w:rPr>
                <w:rFonts w:ascii="宋体" w:hAnsi="宋体" w:eastAsia="宋体"/>
                <w:szCs w:val="21"/>
              </w:rPr>
            </w:pPr>
            <w:r>
              <w:rPr>
                <w:rFonts w:hint="eastAsia" w:ascii="宋体" w:hAnsi="宋体" w:eastAsia="宋体"/>
                <w:szCs w:val="21"/>
              </w:rPr>
              <w:t>悬臂式可变信息标志(H6.5m+L18m，含杆件、防雷及基础等)</w:t>
            </w:r>
          </w:p>
        </w:tc>
        <w:tc>
          <w:tcPr>
            <w:tcW w:w="4576" w:type="dxa"/>
            <w:vAlign w:val="center"/>
          </w:tcPr>
          <w:p w14:paraId="04740686">
            <w:pPr>
              <w:widowControl w:val="0"/>
              <w:spacing w:line="276" w:lineRule="auto"/>
              <w:jc w:val="both"/>
              <w:rPr>
                <w:rFonts w:ascii="宋体" w:hAnsi="宋体" w:eastAsia="宋体"/>
                <w:szCs w:val="21"/>
              </w:rPr>
            </w:pPr>
            <w:r>
              <w:rPr>
                <w:rFonts w:hint="eastAsia" w:ascii="宋体" w:hAnsi="宋体" w:eastAsia="宋体"/>
                <w:szCs w:val="21"/>
              </w:rPr>
              <w:t>杆件：H6.5m+L18m，含杆件、防雷及基础等，含安装期间车辆保通等，其他详见设计图纸及规范要求。</w:t>
            </w:r>
          </w:p>
        </w:tc>
        <w:tc>
          <w:tcPr>
            <w:tcW w:w="960" w:type="dxa"/>
            <w:vAlign w:val="center"/>
          </w:tcPr>
          <w:p w14:paraId="0C5A2053">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7FBEAA05">
            <w:pPr>
              <w:widowControl w:val="0"/>
              <w:spacing w:line="276" w:lineRule="auto"/>
              <w:jc w:val="center"/>
              <w:rPr>
                <w:rFonts w:ascii="宋体" w:hAnsi="宋体" w:eastAsia="宋体"/>
                <w:szCs w:val="21"/>
              </w:rPr>
            </w:pPr>
            <w:r>
              <w:rPr>
                <w:rFonts w:hint="eastAsia" w:ascii="宋体" w:hAnsi="宋体" w:eastAsia="宋体"/>
                <w:szCs w:val="21"/>
              </w:rPr>
              <w:t>套</w:t>
            </w:r>
          </w:p>
        </w:tc>
      </w:tr>
      <w:tr w14:paraId="637C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5BDF462">
            <w:pPr>
              <w:widowControl w:val="0"/>
              <w:spacing w:line="276" w:lineRule="auto"/>
              <w:jc w:val="center"/>
              <w:rPr>
                <w:rFonts w:ascii="宋体" w:hAnsi="宋体" w:eastAsia="宋体"/>
                <w:szCs w:val="21"/>
              </w:rPr>
            </w:pPr>
            <w:r>
              <w:rPr>
                <w:rFonts w:hint="eastAsia" w:ascii="宋体" w:hAnsi="宋体" w:eastAsia="宋体"/>
                <w:szCs w:val="21"/>
              </w:rPr>
              <w:t>77</w:t>
            </w:r>
          </w:p>
        </w:tc>
        <w:tc>
          <w:tcPr>
            <w:tcW w:w="2001" w:type="dxa"/>
            <w:vAlign w:val="center"/>
          </w:tcPr>
          <w:p w14:paraId="6B51A529">
            <w:pPr>
              <w:widowControl w:val="0"/>
              <w:spacing w:line="276" w:lineRule="auto"/>
              <w:jc w:val="center"/>
              <w:rPr>
                <w:rFonts w:ascii="宋体" w:hAnsi="宋体" w:eastAsia="宋体"/>
                <w:szCs w:val="21"/>
              </w:rPr>
            </w:pPr>
            <w:r>
              <w:rPr>
                <w:rFonts w:hint="eastAsia" w:ascii="宋体" w:hAnsi="宋体" w:eastAsia="宋体"/>
                <w:szCs w:val="21"/>
              </w:rPr>
              <w:t>线缆井</w:t>
            </w:r>
          </w:p>
        </w:tc>
        <w:tc>
          <w:tcPr>
            <w:tcW w:w="4576" w:type="dxa"/>
            <w:vAlign w:val="center"/>
          </w:tcPr>
          <w:p w14:paraId="7BB337D6">
            <w:pPr>
              <w:widowControl w:val="0"/>
              <w:spacing w:line="276" w:lineRule="auto"/>
              <w:jc w:val="both"/>
              <w:rPr>
                <w:rFonts w:ascii="宋体" w:hAnsi="宋体" w:eastAsia="宋体"/>
                <w:szCs w:val="21"/>
              </w:rPr>
            </w:pPr>
            <w:r>
              <w:rPr>
                <w:rFonts w:hint="eastAsia" w:ascii="宋体" w:hAnsi="宋体" w:eastAsia="宋体"/>
                <w:szCs w:val="21"/>
              </w:rPr>
              <w:t>1、井盖采用球墨铸铁材料；2、井身：砖砌，其他详见设计图纸及规范要求。</w:t>
            </w:r>
          </w:p>
        </w:tc>
        <w:tc>
          <w:tcPr>
            <w:tcW w:w="960" w:type="dxa"/>
            <w:vAlign w:val="center"/>
          </w:tcPr>
          <w:p w14:paraId="7E938563">
            <w:pPr>
              <w:widowControl w:val="0"/>
              <w:spacing w:line="276" w:lineRule="auto"/>
              <w:jc w:val="center"/>
              <w:rPr>
                <w:rFonts w:ascii="宋体" w:hAnsi="宋体" w:eastAsia="宋体"/>
                <w:szCs w:val="21"/>
              </w:rPr>
            </w:pPr>
            <w:r>
              <w:rPr>
                <w:rFonts w:ascii="宋体" w:hAnsi="宋体" w:eastAsia="宋体"/>
                <w:szCs w:val="21"/>
              </w:rPr>
              <w:t>182</w:t>
            </w:r>
          </w:p>
        </w:tc>
        <w:tc>
          <w:tcPr>
            <w:tcW w:w="499" w:type="dxa"/>
            <w:vAlign w:val="center"/>
          </w:tcPr>
          <w:p w14:paraId="2B4ECCD6">
            <w:pPr>
              <w:widowControl w:val="0"/>
              <w:spacing w:line="276" w:lineRule="auto"/>
              <w:jc w:val="center"/>
              <w:rPr>
                <w:rFonts w:ascii="宋体" w:hAnsi="宋体" w:eastAsia="宋体"/>
                <w:szCs w:val="21"/>
              </w:rPr>
            </w:pPr>
            <w:r>
              <w:rPr>
                <w:rFonts w:hint="eastAsia" w:ascii="宋体" w:hAnsi="宋体" w:eastAsia="宋体"/>
                <w:szCs w:val="21"/>
              </w:rPr>
              <w:t>个</w:t>
            </w:r>
          </w:p>
        </w:tc>
      </w:tr>
      <w:tr w14:paraId="0B35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E6BF5BA">
            <w:pPr>
              <w:widowControl w:val="0"/>
              <w:spacing w:line="276" w:lineRule="auto"/>
              <w:jc w:val="center"/>
              <w:rPr>
                <w:rFonts w:ascii="宋体" w:hAnsi="宋体" w:eastAsia="宋体"/>
                <w:szCs w:val="21"/>
              </w:rPr>
            </w:pPr>
            <w:r>
              <w:rPr>
                <w:rFonts w:hint="eastAsia" w:ascii="宋体" w:hAnsi="宋体" w:eastAsia="宋体"/>
                <w:szCs w:val="21"/>
              </w:rPr>
              <w:t>78</w:t>
            </w:r>
          </w:p>
        </w:tc>
        <w:tc>
          <w:tcPr>
            <w:tcW w:w="2001" w:type="dxa"/>
            <w:vAlign w:val="center"/>
          </w:tcPr>
          <w:p w14:paraId="0C196BEA">
            <w:pPr>
              <w:widowControl w:val="0"/>
              <w:spacing w:line="276" w:lineRule="auto"/>
              <w:jc w:val="center"/>
              <w:rPr>
                <w:rFonts w:ascii="宋体" w:hAnsi="宋体" w:eastAsia="宋体"/>
                <w:szCs w:val="21"/>
              </w:rPr>
            </w:pPr>
            <w:r>
              <w:rPr>
                <w:rFonts w:hint="eastAsia" w:ascii="宋体" w:hAnsi="宋体" w:eastAsia="宋体"/>
                <w:szCs w:val="21"/>
              </w:rPr>
              <w:t>嵌入式监控主机</w:t>
            </w:r>
          </w:p>
        </w:tc>
        <w:tc>
          <w:tcPr>
            <w:tcW w:w="4576" w:type="dxa"/>
            <w:vAlign w:val="center"/>
          </w:tcPr>
          <w:p w14:paraId="0A9B790F">
            <w:pPr>
              <w:widowControl w:val="0"/>
              <w:numPr>
                <w:ilvl w:val="0"/>
                <w:numId w:val="13"/>
              </w:numPr>
              <w:spacing w:line="276" w:lineRule="auto"/>
              <w:jc w:val="both"/>
              <w:rPr>
                <w:rFonts w:hint="eastAsia" w:ascii="宋体" w:hAnsi="宋体" w:eastAsia="宋体"/>
                <w:szCs w:val="21"/>
              </w:rPr>
            </w:pPr>
            <w:r>
              <w:rPr>
                <w:rFonts w:hint="eastAsia" w:ascii="宋体" w:hAnsi="宋体" w:eastAsia="宋体"/>
                <w:szCs w:val="21"/>
              </w:rPr>
              <w:t>功能要求：</w:t>
            </w:r>
            <w:r>
              <w:rPr>
                <w:rFonts w:hint="eastAsia" w:ascii="宋体" w:hAnsi="宋体" w:eastAsia="宋体"/>
                <w:szCs w:val="21"/>
              </w:rPr>
              <w:br w:type="page"/>
            </w:r>
            <w:r>
              <w:rPr>
                <w:rFonts w:ascii="宋体" w:hAnsi="宋体" w:eastAsia="宋体"/>
                <w:szCs w:val="21"/>
              </w:rPr>
              <w:t>1</w:t>
            </w:r>
            <w:r>
              <w:rPr>
                <w:rFonts w:hint="eastAsia" w:ascii="宋体" w:hAnsi="宋体" w:eastAsia="宋体"/>
                <w:szCs w:val="21"/>
              </w:rPr>
              <w:t>、数据采集功能：实现对机房环境设备的数据采集和控制；2、报警功能：可以设置监控对象的正常工作范围或状态，当实时采集的数据异常时，系统可以通过声光、多媒体语音、蜂鸣器等多种告警方式通知管理人员进行处理；3、</w:t>
            </w:r>
            <w:r>
              <w:rPr>
                <w:rFonts w:hint="eastAsia" w:ascii="宋体" w:hAnsi="宋体" w:eastAsia="宋体"/>
                <w:szCs w:val="21"/>
              </w:rPr>
              <w:br w:type="page"/>
            </w:r>
            <w:r>
              <w:rPr>
                <w:rFonts w:hint="eastAsia" w:ascii="宋体" w:hAnsi="宋体" w:eastAsia="宋体"/>
                <w:szCs w:val="21"/>
              </w:rPr>
              <w:t>联网功能：既可单机运行，也可以组网形成联网机房监控；4、</w:t>
            </w:r>
            <w:r>
              <w:rPr>
                <w:rFonts w:hint="eastAsia" w:ascii="宋体" w:hAnsi="宋体" w:eastAsia="宋体"/>
                <w:szCs w:val="21"/>
              </w:rPr>
              <w:br w:type="page"/>
            </w:r>
            <w:r>
              <w:rPr>
                <w:rFonts w:hint="eastAsia" w:ascii="宋体" w:hAnsi="宋体" w:eastAsia="宋体"/>
                <w:szCs w:val="21"/>
              </w:rPr>
              <w:t>日志管理功能：包括各种报警信息、系统事件、设备参数等进行详细记录，能够以报</w:t>
            </w:r>
            <w:r>
              <w:rPr>
                <w:rFonts w:hint="eastAsia" w:ascii="宋体" w:hAnsi="宋体" w:eastAsia="宋体"/>
                <w:szCs w:val="21"/>
              </w:rPr>
              <w:br w:type="page"/>
            </w:r>
            <w:r>
              <w:rPr>
                <w:rFonts w:hint="eastAsia" w:ascii="宋体" w:hAnsi="宋体" w:eastAsia="宋体"/>
                <w:szCs w:val="21"/>
              </w:rPr>
              <w:t>表形式导出；5、</w:t>
            </w:r>
            <w:r>
              <w:rPr>
                <w:rFonts w:hint="eastAsia" w:ascii="宋体" w:hAnsi="宋体" w:eastAsia="宋体"/>
                <w:szCs w:val="21"/>
              </w:rPr>
              <w:br w:type="page"/>
            </w:r>
            <w:r>
              <w:rPr>
                <w:rFonts w:hint="eastAsia" w:ascii="宋体" w:hAnsi="宋体" w:eastAsia="宋体"/>
                <w:szCs w:val="21"/>
              </w:rPr>
              <w:t>支持温湿度空调联动，联动功能可自定义，过程无需编程，采用策略组态模式，由用</w:t>
            </w:r>
            <w:r>
              <w:rPr>
                <w:rFonts w:hint="eastAsia" w:ascii="宋体" w:hAnsi="宋体" w:eastAsia="宋体"/>
                <w:szCs w:val="21"/>
              </w:rPr>
              <w:br w:type="page"/>
            </w:r>
            <w:r>
              <w:rPr>
                <w:rFonts w:hint="eastAsia" w:ascii="宋体" w:hAnsi="宋体" w:eastAsia="宋体"/>
                <w:szCs w:val="21"/>
              </w:rPr>
              <w:t>户更改联动关系；6、</w:t>
            </w:r>
            <w:r>
              <w:rPr>
                <w:rFonts w:hint="eastAsia" w:ascii="宋体" w:hAnsi="宋体" w:eastAsia="宋体"/>
                <w:szCs w:val="21"/>
              </w:rPr>
              <w:br w:type="page"/>
            </w:r>
            <w:r>
              <w:rPr>
                <w:rFonts w:hint="eastAsia" w:ascii="宋体" w:hAnsi="宋体" w:eastAsia="宋体"/>
                <w:szCs w:val="21"/>
              </w:rPr>
              <w:t>用户权限功能：系统具有多级用户管理，可设定用户管理权限；7、</w:t>
            </w:r>
            <w:r>
              <w:rPr>
                <w:rFonts w:hint="eastAsia" w:ascii="宋体" w:hAnsi="宋体" w:eastAsia="宋体"/>
                <w:szCs w:val="21"/>
              </w:rPr>
              <w:br w:type="page"/>
            </w:r>
            <w:r>
              <w:rPr>
                <w:rFonts w:hint="eastAsia" w:ascii="宋体" w:hAnsi="宋体" w:eastAsia="宋体"/>
                <w:szCs w:val="21"/>
              </w:rPr>
              <w:t>支持平台软件：可接入分中心的机房环境监控系统，具有组态功能，也可单独工作；</w:t>
            </w:r>
            <w:r>
              <w:rPr>
                <w:rFonts w:ascii="宋体" w:hAnsi="宋体" w:eastAsia="宋体"/>
                <w:szCs w:val="21"/>
              </w:rPr>
              <w:t>8</w:t>
            </w:r>
            <w:r>
              <w:rPr>
                <w:rFonts w:hint="eastAsia" w:ascii="宋体" w:hAnsi="宋体" w:eastAsia="宋体"/>
                <w:szCs w:val="21"/>
              </w:rPr>
              <w:t>、</w:t>
            </w:r>
            <w:r>
              <w:rPr>
                <w:rFonts w:hint="eastAsia" w:ascii="宋体" w:hAnsi="宋体" w:eastAsia="宋体"/>
                <w:szCs w:val="21"/>
              </w:rPr>
              <w:br w:type="page"/>
            </w:r>
            <w:r>
              <w:rPr>
                <w:rFonts w:hint="eastAsia" w:ascii="宋体" w:hAnsi="宋体" w:eastAsia="宋体"/>
                <w:szCs w:val="21"/>
              </w:rPr>
              <w:t>遥信、遥测、遥控和遥调功能，具有现场联动能力；9、</w:t>
            </w:r>
            <w:r>
              <w:rPr>
                <w:rFonts w:hint="eastAsia" w:ascii="宋体" w:hAnsi="宋体" w:eastAsia="宋体"/>
                <w:szCs w:val="21"/>
              </w:rPr>
              <w:br w:type="page"/>
            </w:r>
            <w:r>
              <w:rPr>
                <w:rFonts w:hint="eastAsia" w:ascii="宋体" w:hAnsi="宋体" w:eastAsia="宋体"/>
                <w:szCs w:val="21"/>
              </w:rPr>
              <w:t>按照规定的协议通过以太网/RS485/RS232/干接点等接口向路段监控应用软件上传环</w:t>
            </w:r>
            <w:r>
              <w:rPr>
                <w:rFonts w:hint="eastAsia" w:ascii="宋体" w:hAnsi="宋体" w:eastAsia="宋体"/>
                <w:szCs w:val="21"/>
              </w:rPr>
              <w:br w:type="page"/>
            </w:r>
            <w:r>
              <w:rPr>
                <w:rFonts w:hint="eastAsia" w:ascii="宋体" w:hAnsi="宋体" w:eastAsia="宋体"/>
                <w:szCs w:val="21"/>
              </w:rPr>
              <w:t>境数据，接受远程系统指令，支持通过SNMP、C1等多种协议接入第三方监控平台。</w:t>
            </w:r>
            <w:r>
              <w:rPr>
                <w:rFonts w:hint="eastAsia" w:ascii="宋体" w:hAnsi="宋体" w:eastAsia="宋体"/>
                <w:szCs w:val="21"/>
              </w:rPr>
              <w:br w:type="page"/>
            </w:r>
            <w:r>
              <w:rPr>
                <w:rFonts w:hint="eastAsia" w:ascii="宋体" w:hAnsi="宋体" w:eastAsia="宋体"/>
                <w:szCs w:val="21"/>
              </w:rPr>
              <w:t>（2）技术要求：</w:t>
            </w:r>
            <w:r>
              <w:rPr>
                <w:rFonts w:hint="eastAsia" w:ascii="宋体" w:hAnsi="宋体" w:eastAsia="宋体"/>
                <w:szCs w:val="21"/>
              </w:rPr>
              <w:br w:type="page"/>
            </w:r>
            <w:r>
              <w:rPr>
                <w:rFonts w:hint="eastAsia" w:ascii="宋体" w:hAnsi="宋体" w:eastAsia="宋体"/>
                <w:szCs w:val="21"/>
              </w:rPr>
              <w:t>1、嵌入式平台，不低于32 位ARM处理器、Linux 操作系统。</w:t>
            </w:r>
            <w:r>
              <w:rPr>
                <w:rFonts w:hint="eastAsia" w:ascii="宋体" w:hAnsi="宋体" w:eastAsia="宋体"/>
                <w:szCs w:val="21"/>
              </w:rPr>
              <w:br w:type="page"/>
            </w:r>
            <w:r>
              <w:rPr>
                <w:rFonts w:hint="eastAsia" w:ascii="宋体" w:hAnsi="宋体" w:eastAsia="宋体"/>
                <w:szCs w:val="21"/>
              </w:rPr>
              <w:t>2、内置多种设备（精密空调、UPS等）的插件包（可扩充）。</w:t>
            </w:r>
            <w:r>
              <w:rPr>
                <w:rFonts w:hint="eastAsia" w:ascii="宋体" w:hAnsi="宋体" w:eastAsia="宋体"/>
                <w:szCs w:val="21"/>
              </w:rPr>
              <w:br w:type="page"/>
            </w:r>
            <w:r>
              <w:rPr>
                <w:rFonts w:hint="eastAsia" w:ascii="宋体" w:hAnsi="宋体" w:eastAsia="宋体"/>
                <w:szCs w:val="21"/>
              </w:rPr>
              <w:t>3、内置数据库，可对设备状态、监测点数据进行存储，支持数据备份。</w:t>
            </w:r>
            <w:r>
              <w:rPr>
                <w:rFonts w:hint="eastAsia" w:ascii="宋体" w:hAnsi="宋体" w:eastAsia="宋体"/>
                <w:szCs w:val="21"/>
              </w:rPr>
              <w:br w:type="page"/>
            </w:r>
            <w:r>
              <w:rPr>
                <w:rFonts w:hint="eastAsia" w:ascii="宋体" w:hAnsi="宋体" w:eastAsia="宋体"/>
                <w:szCs w:val="21"/>
              </w:rPr>
              <w:t>4、液晶显示可查看IP 地址、设备信息、事件记录等功能。</w:t>
            </w:r>
            <w:r>
              <w:rPr>
                <w:rFonts w:hint="eastAsia" w:ascii="宋体" w:hAnsi="宋体" w:eastAsia="宋体"/>
                <w:szCs w:val="21"/>
              </w:rPr>
              <w:br w:type="page"/>
            </w:r>
            <w:r>
              <w:rPr>
                <w:rFonts w:hint="eastAsia" w:ascii="宋体" w:hAnsi="宋体" w:eastAsia="宋体"/>
                <w:szCs w:val="21"/>
              </w:rPr>
              <w:t>5、内置WEB服务器,支持B/S 架构，无需安装客户端，支持3D展示。</w:t>
            </w:r>
            <w:r>
              <w:rPr>
                <w:rFonts w:hint="eastAsia" w:ascii="宋体" w:hAnsi="宋体" w:eastAsia="宋体"/>
                <w:szCs w:val="21"/>
              </w:rPr>
              <w:br w:type="page"/>
            </w:r>
            <w:r>
              <w:rPr>
                <w:rFonts w:hint="eastAsia" w:ascii="宋体" w:hAnsi="宋体" w:eastAsia="宋体"/>
                <w:szCs w:val="21"/>
              </w:rPr>
              <w:t>6、AI接口：不少于8 路模拟量输入。</w:t>
            </w:r>
            <w:r>
              <w:rPr>
                <w:rFonts w:hint="eastAsia" w:ascii="宋体" w:hAnsi="宋体" w:eastAsia="宋体"/>
                <w:szCs w:val="21"/>
              </w:rPr>
              <w:br w:type="page"/>
            </w:r>
            <w:r>
              <w:rPr>
                <w:rFonts w:hint="eastAsia" w:ascii="宋体" w:hAnsi="宋体" w:eastAsia="宋体"/>
                <w:szCs w:val="21"/>
              </w:rPr>
              <w:t>7、DI接口：不少于16 路开关量输入，光电隔离干接点接口。</w:t>
            </w:r>
            <w:r>
              <w:rPr>
                <w:rFonts w:hint="eastAsia" w:ascii="宋体" w:hAnsi="宋体" w:eastAsia="宋体"/>
                <w:szCs w:val="21"/>
              </w:rPr>
              <w:br w:type="page"/>
            </w:r>
            <w:r>
              <w:rPr>
                <w:rFonts w:hint="eastAsia" w:ascii="宋体" w:hAnsi="宋体" w:eastAsia="宋体"/>
                <w:szCs w:val="21"/>
              </w:rPr>
              <w:t>8、DO接口：不少于8 路继电器输出，支持联动输出。</w:t>
            </w:r>
            <w:r>
              <w:rPr>
                <w:rFonts w:hint="eastAsia" w:ascii="宋体" w:hAnsi="宋体" w:eastAsia="宋体"/>
                <w:szCs w:val="21"/>
              </w:rPr>
              <w:br w:type="page"/>
            </w:r>
            <w:r>
              <w:rPr>
                <w:rFonts w:hint="eastAsia" w:ascii="宋体" w:hAnsi="宋体" w:eastAsia="宋体"/>
                <w:szCs w:val="21"/>
              </w:rPr>
              <w:t>9、网络接口：不少于2 路，RJ4510M/100M自适应以太网口。</w:t>
            </w:r>
            <w:r>
              <w:rPr>
                <w:rFonts w:hint="eastAsia" w:ascii="宋体" w:hAnsi="宋体" w:eastAsia="宋体"/>
                <w:szCs w:val="21"/>
              </w:rPr>
              <w:br w:type="page"/>
            </w:r>
            <w:r>
              <w:rPr>
                <w:rFonts w:hint="eastAsia" w:ascii="宋体" w:hAnsi="宋体" w:eastAsia="宋体"/>
                <w:szCs w:val="21"/>
              </w:rPr>
              <w:t>10、串行口：不少于8 路标准RS485/RS232复用串行接口，支持接入智能设备。</w:t>
            </w:r>
            <w:r>
              <w:rPr>
                <w:rFonts w:hint="eastAsia" w:ascii="宋体" w:hAnsi="宋体" w:eastAsia="宋体"/>
                <w:szCs w:val="21"/>
              </w:rPr>
              <w:br w:type="page"/>
            </w:r>
            <w:r>
              <w:rPr>
                <w:rFonts w:hint="eastAsia" w:ascii="宋体" w:hAnsi="宋体" w:eastAsia="宋体"/>
                <w:szCs w:val="21"/>
              </w:rPr>
              <w:t>11、电源接口：提供DC12V电源输出接口，可为监测传感器供电。</w:t>
            </w:r>
            <w:r>
              <w:rPr>
                <w:rFonts w:hint="eastAsia" w:ascii="宋体" w:hAnsi="宋体" w:eastAsia="宋体"/>
                <w:szCs w:val="21"/>
              </w:rPr>
              <w:br w:type="page"/>
            </w:r>
            <w:r>
              <w:rPr>
                <w:rFonts w:hint="eastAsia" w:ascii="宋体" w:hAnsi="宋体" w:eastAsia="宋体"/>
                <w:szCs w:val="21"/>
              </w:rPr>
              <w:t>12、调试接口：1路调试接口。</w:t>
            </w:r>
            <w:r>
              <w:rPr>
                <w:rFonts w:hint="eastAsia" w:ascii="宋体" w:hAnsi="宋体" w:eastAsia="宋体"/>
                <w:szCs w:val="21"/>
              </w:rPr>
              <w:br w:type="page"/>
            </w:r>
            <w:r>
              <w:rPr>
                <w:rFonts w:hint="eastAsia" w:ascii="宋体" w:hAnsi="宋体" w:eastAsia="宋体"/>
                <w:szCs w:val="21"/>
              </w:rPr>
              <w:t>13、SIM 卡槽：用于插入手机SIM 卡。</w:t>
            </w:r>
            <w:r>
              <w:rPr>
                <w:rFonts w:hint="eastAsia" w:ascii="宋体" w:hAnsi="宋体" w:eastAsia="宋体"/>
                <w:szCs w:val="21"/>
              </w:rPr>
              <w:br w:type="page"/>
            </w:r>
            <w:r>
              <w:rPr>
                <w:rFonts w:hint="eastAsia" w:ascii="宋体" w:hAnsi="宋体" w:eastAsia="宋体"/>
                <w:szCs w:val="21"/>
              </w:rPr>
              <w:t>14、无线通信：支持2G/3G/4G/5G/WiFi/NB-IoT/Lora。</w:t>
            </w:r>
            <w:r>
              <w:rPr>
                <w:rFonts w:hint="eastAsia" w:ascii="宋体" w:hAnsi="宋体" w:eastAsia="宋体"/>
                <w:szCs w:val="21"/>
              </w:rPr>
              <w:br w:type="page"/>
            </w:r>
            <w:r>
              <w:rPr>
                <w:rFonts w:hint="eastAsia" w:ascii="宋体" w:hAnsi="宋体" w:eastAsia="宋体"/>
                <w:szCs w:val="21"/>
              </w:rPr>
              <w:t>15、内置：报警蜂鸣器，SD存储卡，双重看门狗。</w:t>
            </w:r>
            <w:r>
              <w:rPr>
                <w:rFonts w:hint="eastAsia" w:ascii="宋体" w:hAnsi="宋体" w:eastAsia="宋体"/>
                <w:szCs w:val="21"/>
              </w:rPr>
              <w:br w:type="page"/>
            </w:r>
            <w:r>
              <w:rPr>
                <w:rFonts w:hint="eastAsia" w:ascii="宋体" w:hAnsi="宋体" w:eastAsia="宋体"/>
                <w:szCs w:val="21"/>
              </w:rPr>
              <w:t>16、供电方式：交流或直流供电，交流供电电压范围：100～260VAC（47～63Hz），</w:t>
            </w:r>
            <w:r>
              <w:rPr>
                <w:rFonts w:hint="eastAsia" w:ascii="宋体" w:hAnsi="宋体" w:eastAsia="宋体"/>
                <w:szCs w:val="21"/>
              </w:rPr>
              <w:br w:type="page"/>
            </w:r>
            <w:r>
              <w:rPr>
                <w:rFonts w:hint="eastAsia" w:ascii="宋体" w:hAnsi="宋体" w:eastAsia="宋体"/>
                <w:szCs w:val="21"/>
              </w:rPr>
              <w:t>直流供电电压范围：36～72VDC 或12VDC±5%。</w:t>
            </w:r>
          </w:p>
          <w:p w14:paraId="276CFB49">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r>
              <w:rPr>
                <w:rFonts w:hint="eastAsia" w:ascii="宋体" w:hAnsi="宋体" w:eastAsia="宋体"/>
                <w:szCs w:val="21"/>
              </w:rPr>
              <w:br w:type="page"/>
            </w:r>
            <w:r>
              <w:rPr>
                <w:rFonts w:ascii="宋体" w:hAnsi="宋体" w:eastAsia="宋体"/>
                <w:szCs w:val="21"/>
              </w:rPr>
              <w:t xml:space="preserve"> </w:t>
            </w:r>
          </w:p>
        </w:tc>
        <w:tc>
          <w:tcPr>
            <w:tcW w:w="960" w:type="dxa"/>
            <w:vAlign w:val="center"/>
          </w:tcPr>
          <w:p w14:paraId="727DD6D9">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5A91DCD">
            <w:pPr>
              <w:widowControl w:val="0"/>
              <w:spacing w:line="276" w:lineRule="auto"/>
              <w:jc w:val="center"/>
              <w:rPr>
                <w:rFonts w:ascii="宋体" w:hAnsi="宋体" w:eastAsia="宋体"/>
                <w:szCs w:val="21"/>
              </w:rPr>
            </w:pPr>
            <w:r>
              <w:rPr>
                <w:rFonts w:hint="eastAsia" w:ascii="宋体" w:hAnsi="宋体" w:eastAsia="宋体"/>
                <w:szCs w:val="21"/>
              </w:rPr>
              <w:t>套</w:t>
            </w:r>
          </w:p>
        </w:tc>
      </w:tr>
      <w:tr w14:paraId="6BD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CA830A5">
            <w:pPr>
              <w:widowControl w:val="0"/>
              <w:spacing w:line="276" w:lineRule="auto"/>
              <w:jc w:val="center"/>
              <w:rPr>
                <w:rFonts w:ascii="宋体" w:hAnsi="宋体" w:eastAsia="宋体"/>
                <w:szCs w:val="21"/>
              </w:rPr>
            </w:pPr>
            <w:r>
              <w:rPr>
                <w:rFonts w:ascii="宋体" w:hAnsi="宋体" w:eastAsia="宋体"/>
                <w:szCs w:val="21"/>
              </w:rPr>
              <w:t>79</w:t>
            </w:r>
          </w:p>
        </w:tc>
        <w:tc>
          <w:tcPr>
            <w:tcW w:w="2001" w:type="dxa"/>
            <w:vAlign w:val="center"/>
          </w:tcPr>
          <w:p w14:paraId="52DF4402">
            <w:pPr>
              <w:widowControl w:val="0"/>
              <w:spacing w:line="276" w:lineRule="auto"/>
              <w:jc w:val="center"/>
              <w:rPr>
                <w:rFonts w:ascii="宋体" w:hAnsi="宋体" w:eastAsia="宋体"/>
                <w:szCs w:val="21"/>
              </w:rPr>
            </w:pPr>
            <w:r>
              <w:rPr>
                <w:rFonts w:hint="eastAsia" w:ascii="宋体" w:hAnsi="宋体" w:eastAsia="宋体"/>
                <w:szCs w:val="21"/>
              </w:rPr>
              <w:t>温湿度传感器</w:t>
            </w:r>
          </w:p>
        </w:tc>
        <w:tc>
          <w:tcPr>
            <w:tcW w:w="4576" w:type="dxa"/>
            <w:vAlign w:val="center"/>
          </w:tcPr>
          <w:p w14:paraId="23AF3A7A">
            <w:pPr>
              <w:widowControl w:val="0"/>
              <w:spacing w:line="276" w:lineRule="auto"/>
              <w:jc w:val="both"/>
              <w:rPr>
                <w:rFonts w:hint="eastAsia" w:ascii="宋体" w:hAnsi="宋体" w:eastAsia="宋体"/>
                <w:szCs w:val="21"/>
              </w:rPr>
            </w:pPr>
            <w:r>
              <w:rPr>
                <w:rFonts w:hint="eastAsia" w:ascii="宋体" w:hAnsi="宋体" w:eastAsia="宋体"/>
                <w:szCs w:val="21"/>
              </w:rPr>
              <w:t>主要技术要求：</w:t>
            </w:r>
            <w:r>
              <w:rPr>
                <w:rFonts w:hint="eastAsia" w:ascii="宋体" w:hAnsi="宋体" w:eastAsia="宋体"/>
                <w:szCs w:val="21"/>
              </w:rPr>
              <w:br w:type="page"/>
            </w:r>
            <w:r>
              <w:rPr>
                <w:rFonts w:hint="eastAsia" w:ascii="宋体" w:hAnsi="宋体" w:eastAsia="宋体"/>
                <w:szCs w:val="21"/>
              </w:rPr>
              <w:t>1、精密网络型温湿度传感器，通讯地址0-255，波特率1200-19200bps 可调。</w:t>
            </w:r>
            <w:r>
              <w:rPr>
                <w:rFonts w:hint="eastAsia" w:ascii="宋体" w:hAnsi="宋体" w:eastAsia="宋体"/>
                <w:szCs w:val="21"/>
              </w:rPr>
              <w:br w:type="page"/>
            </w:r>
            <w:r>
              <w:rPr>
                <w:rFonts w:hint="eastAsia" w:ascii="宋体" w:hAnsi="宋体" w:eastAsia="宋体"/>
                <w:szCs w:val="21"/>
              </w:rPr>
              <w:t>2、经可溯源标准检验，具备程序校准精度功能。</w:t>
            </w:r>
            <w:r>
              <w:rPr>
                <w:rFonts w:hint="eastAsia" w:ascii="宋体" w:hAnsi="宋体" w:eastAsia="宋体"/>
                <w:szCs w:val="21"/>
              </w:rPr>
              <w:br w:type="page"/>
            </w:r>
            <w:r>
              <w:rPr>
                <w:rFonts w:hint="eastAsia" w:ascii="宋体" w:hAnsi="宋体" w:eastAsia="宋体"/>
                <w:szCs w:val="21"/>
              </w:rPr>
              <w:t>3、继电器：2 路，分别控制温度报警器、湿度报警器。用户可设置为超限报警或故障</w:t>
            </w:r>
            <w:r>
              <w:rPr>
                <w:rFonts w:hint="eastAsia" w:ascii="宋体" w:hAnsi="宋体" w:eastAsia="宋体"/>
                <w:szCs w:val="21"/>
              </w:rPr>
              <w:br w:type="page"/>
            </w:r>
            <w:r>
              <w:rPr>
                <w:rFonts w:hint="eastAsia" w:ascii="宋体" w:hAnsi="宋体" w:eastAsia="宋体"/>
                <w:szCs w:val="21"/>
              </w:rPr>
              <w:t>报警；额定值：40VDC。</w:t>
            </w:r>
            <w:r>
              <w:rPr>
                <w:rFonts w:hint="eastAsia" w:ascii="宋体" w:hAnsi="宋体" w:eastAsia="宋体"/>
                <w:szCs w:val="21"/>
              </w:rPr>
              <w:br w:type="page"/>
            </w:r>
            <w:r>
              <w:rPr>
                <w:rFonts w:hint="eastAsia" w:ascii="宋体" w:hAnsi="宋体" w:eastAsia="宋体"/>
                <w:szCs w:val="21"/>
              </w:rPr>
              <w:t>4、通信方式：支持RS485、WiFi；</w:t>
            </w:r>
            <w:r>
              <w:rPr>
                <w:rFonts w:hint="eastAsia" w:ascii="宋体" w:hAnsi="宋体" w:eastAsia="宋体"/>
                <w:szCs w:val="21"/>
              </w:rPr>
              <w:br w:type="page"/>
            </w:r>
            <w:r>
              <w:rPr>
                <w:rFonts w:hint="eastAsia" w:ascii="宋体" w:hAnsi="宋体" w:eastAsia="宋体"/>
                <w:szCs w:val="21"/>
              </w:rPr>
              <w:t>5、通信协议：TPC/IP、UDP、Modbus 等。</w:t>
            </w:r>
            <w:r>
              <w:rPr>
                <w:rFonts w:hint="eastAsia" w:ascii="宋体" w:hAnsi="宋体" w:eastAsia="宋体"/>
                <w:szCs w:val="21"/>
              </w:rPr>
              <w:br w:type="page"/>
            </w:r>
            <w:r>
              <w:rPr>
                <w:rFonts w:hint="eastAsia" w:ascii="宋体" w:hAnsi="宋体" w:eastAsia="宋体"/>
                <w:szCs w:val="21"/>
              </w:rPr>
              <w:t>6、阻燃绝缘纤维外壳，快装端子。</w:t>
            </w:r>
            <w:r>
              <w:rPr>
                <w:rFonts w:hint="eastAsia" w:ascii="宋体" w:hAnsi="宋体" w:eastAsia="宋体"/>
                <w:szCs w:val="21"/>
              </w:rPr>
              <w:br w:type="page"/>
            </w:r>
            <w:r>
              <w:rPr>
                <w:rFonts w:hint="eastAsia" w:ascii="宋体" w:hAnsi="宋体" w:eastAsia="宋体"/>
                <w:szCs w:val="21"/>
              </w:rPr>
              <w:t>7、供电电源：12VDC。</w:t>
            </w:r>
            <w:r>
              <w:rPr>
                <w:rFonts w:hint="eastAsia" w:ascii="宋体" w:hAnsi="宋体" w:eastAsia="宋体"/>
                <w:szCs w:val="21"/>
              </w:rPr>
              <w:br w:type="page"/>
            </w:r>
            <w:r>
              <w:rPr>
                <w:rFonts w:hint="eastAsia" w:ascii="宋体" w:hAnsi="宋体" w:eastAsia="宋体"/>
                <w:szCs w:val="21"/>
              </w:rPr>
              <w:t>8、电流：＜100mA。</w:t>
            </w:r>
            <w:r>
              <w:rPr>
                <w:rFonts w:hint="eastAsia" w:ascii="宋体" w:hAnsi="宋体" w:eastAsia="宋体"/>
                <w:szCs w:val="21"/>
              </w:rPr>
              <w:br w:type="page"/>
            </w:r>
            <w:r>
              <w:rPr>
                <w:rFonts w:hint="eastAsia" w:ascii="宋体" w:hAnsi="宋体" w:eastAsia="宋体"/>
                <w:szCs w:val="21"/>
              </w:rPr>
              <w:t>9、显示：数码显示测量值。</w:t>
            </w:r>
            <w:r>
              <w:rPr>
                <w:rFonts w:hint="eastAsia" w:ascii="宋体" w:hAnsi="宋体" w:eastAsia="宋体"/>
                <w:szCs w:val="21"/>
              </w:rPr>
              <w:br w:type="page"/>
            </w:r>
            <w:r>
              <w:rPr>
                <w:rFonts w:hint="eastAsia" w:ascii="宋体" w:hAnsi="宋体" w:eastAsia="宋体"/>
                <w:szCs w:val="21"/>
              </w:rPr>
              <w:t>10、测湿范围：0～100％RH。</w:t>
            </w:r>
            <w:r>
              <w:rPr>
                <w:rFonts w:hint="eastAsia" w:ascii="宋体" w:hAnsi="宋体" w:eastAsia="宋体"/>
                <w:szCs w:val="21"/>
              </w:rPr>
              <w:br w:type="page"/>
            </w:r>
            <w:r>
              <w:rPr>
                <w:rFonts w:hint="eastAsia" w:ascii="宋体" w:hAnsi="宋体" w:eastAsia="宋体"/>
                <w:szCs w:val="21"/>
              </w:rPr>
              <w:t>11、精度：±3%RH（25℃时）。</w:t>
            </w:r>
            <w:r>
              <w:rPr>
                <w:rFonts w:hint="eastAsia" w:ascii="宋体" w:hAnsi="宋体" w:eastAsia="宋体"/>
                <w:szCs w:val="21"/>
              </w:rPr>
              <w:br w:type="page"/>
            </w:r>
            <w:r>
              <w:rPr>
                <w:rFonts w:hint="eastAsia" w:ascii="宋体" w:hAnsi="宋体" w:eastAsia="宋体"/>
                <w:szCs w:val="21"/>
              </w:rPr>
              <w:t>12、测温范围：-20～+60℃。</w:t>
            </w:r>
            <w:r>
              <w:rPr>
                <w:rFonts w:hint="eastAsia" w:ascii="宋体" w:hAnsi="宋体" w:eastAsia="宋体"/>
                <w:szCs w:val="21"/>
              </w:rPr>
              <w:br w:type="page"/>
            </w:r>
            <w:r>
              <w:rPr>
                <w:rFonts w:hint="eastAsia" w:ascii="宋体" w:hAnsi="宋体" w:eastAsia="宋体"/>
                <w:szCs w:val="21"/>
              </w:rPr>
              <w:t>13、精度：±0.5℃（全量程内）。</w:t>
            </w:r>
            <w:r>
              <w:rPr>
                <w:rFonts w:hint="eastAsia" w:ascii="宋体" w:hAnsi="宋体" w:eastAsia="宋体"/>
                <w:szCs w:val="21"/>
              </w:rPr>
              <w:br w:type="page"/>
            </w:r>
            <w:r>
              <w:rPr>
                <w:rFonts w:hint="eastAsia" w:ascii="宋体" w:hAnsi="宋体" w:eastAsia="宋体"/>
                <w:szCs w:val="21"/>
              </w:rPr>
              <w:t>14、安装方式：支持墙面安装与天花板吸顶安装。</w:t>
            </w:r>
          </w:p>
          <w:p w14:paraId="2AA5D4AF">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C6F83D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D10BC90">
            <w:pPr>
              <w:widowControl w:val="0"/>
              <w:spacing w:line="276" w:lineRule="auto"/>
              <w:jc w:val="center"/>
              <w:rPr>
                <w:rFonts w:ascii="宋体" w:hAnsi="宋体" w:eastAsia="宋体"/>
                <w:szCs w:val="21"/>
              </w:rPr>
            </w:pPr>
            <w:r>
              <w:rPr>
                <w:rFonts w:hint="eastAsia" w:ascii="宋体" w:hAnsi="宋体" w:eastAsia="宋体"/>
                <w:szCs w:val="21"/>
              </w:rPr>
              <w:t>套</w:t>
            </w:r>
          </w:p>
        </w:tc>
      </w:tr>
      <w:tr w14:paraId="5768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FF473E0">
            <w:pPr>
              <w:widowControl w:val="0"/>
              <w:spacing w:line="276" w:lineRule="auto"/>
              <w:jc w:val="center"/>
              <w:rPr>
                <w:rFonts w:ascii="宋体" w:hAnsi="宋体" w:eastAsia="宋体"/>
                <w:szCs w:val="21"/>
              </w:rPr>
            </w:pPr>
            <w:r>
              <w:rPr>
                <w:rFonts w:ascii="宋体" w:hAnsi="宋体" w:eastAsia="宋体"/>
                <w:szCs w:val="21"/>
              </w:rPr>
              <w:t>80</w:t>
            </w:r>
          </w:p>
        </w:tc>
        <w:tc>
          <w:tcPr>
            <w:tcW w:w="2001" w:type="dxa"/>
            <w:vAlign w:val="center"/>
          </w:tcPr>
          <w:p w14:paraId="5FEE7F06">
            <w:pPr>
              <w:widowControl w:val="0"/>
              <w:spacing w:line="276" w:lineRule="auto"/>
              <w:jc w:val="center"/>
              <w:rPr>
                <w:rFonts w:ascii="宋体" w:hAnsi="宋体" w:eastAsia="宋体"/>
                <w:szCs w:val="21"/>
              </w:rPr>
            </w:pPr>
            <w:r>
              <w:rPr>
                <w:rFonts w:hint="eastAsia" w:ascii="宋体" w:hAnsi="宋体" w:eastAsia="宋体"/>
                <w:szCs w:val="21"/>
              </w:rPr>
              <w:t>烟雾传感器</w:t>
            </w:r>
          </w:p>
        </w:tc>
        <w:tc>
          <w:tcPr>
            <w:tcW w:w="4576" w:type="dxa"/>
            <w:vAlign w:val="center"/>
          </w:tcPr>
          <w:p w14:paraId="006A68EC">
            <w:pPr>
              <w:widowControl w:val="0"/>
              <w:spacing w:line="276" w:lineRule="auto"/>
              <w:jc w:val="both"/>
              <w:rPr>
                <w:rFonts w:hint="eastAsia" w:ascii="宋体" w:hAnsi="宋体" w:eastAsia="宋体"/>
                <w:szCs w:val="21"/>
              </w:rPr>
            </w:pPr>
            <w:r>
              <w:rPr>
                <w:rFonts w:hint="eastAsia" w:ascii="宋体" w:hAnsi="宋体" w:eastAsia="宋体"/>
                <w:szCs w:val="21"/>
              </w:rPr>
              <w:t>主要技术指标：</w:t>
            </w:r>
            <w:r>
              <w:rPr>
                <w:rFonts w:hint="eastAsia" w:ascii="宋体" w:hAnsi="宋体" w:eastAsia="宋体"/>
                <w:szCs w:val="21"/>
              </w:rPr>
              <w:br w:type="textWrapping"/>
            </w:r>
            <w:r>
              <w:rPr>
                <w:rFonts w:hint="eastAsia" w:ascii="宋体" w:hAnsi="宋体" w:eastAsia="宋体"/>
                <w:szCs w:val="21"/>
              </w:rPr>
              <w:t>1、报警声音：≥80dB。</w:t>
            </w:r>
            <w:r>
              <w:rPr>
                <w:rFonts w:hint="eastAsia" w:ascii="宋体" w:hAnsi="宋体" w:eastAsia="宋体"/>
                <w:szCs w:val="21"/>
              </w:rPr>
              <w:br w:type="textWrapping"/>
            </w:r>
            <w:r>
              <w:rPr>
                <w:rFonts w:hint="eastAsia" w:ascii="宋体" w:hAnsi="宋体" w:eastAsia="宋体"/>
                <w:szCs w:val="21"/>
              </w:rPr>
              <w:t>2、供电电源：DC9V-35V。</w:t>
            </w:r>
            <w:r>
              <w:rPr>
                <w:rFonts w:hint="eastAsia" w:ascii="宋体" w:hAnsi="宋体" w:eastAsia="宋体"/>
                <w:szCs w:val="21"/>
              </w:rPr>
              <w:br w:type="textWrapping"/>
            </w:r>
            <w:r>
              <w:rPr>
                <w:rFonts w:hint="eastAsia" w:ascii="宋体" w:hAnsi="宋体" w:eastAsia="宋体"/>
                <w:szCs w:val="21"/>
              </w:rPr>
              <w:t>3、待机电流：12mA（继电器常闭）500uA(继电器常开)。</w:t>
            </w:r>
            <w:r>
              <w:rPr>
                <w:rFonts w:hint="eastAsia" w:ascii="宋体" w:hAnsi="宋体" w:eastAsia="宋体"/>
                <w:szCs w:val="21"/>
              </w:rPr>
              <w:br w:type="textWrapping"/>
            </w:r>
            <w:r>
              <w:rPr>
                <w:rFonts w:hint="eastAsia" w:ascii="宋体" w:hAnsi="宋体" w:eastAsia="宋体"/>
                <w:szCs w:val="21"/>
              </w:rPr>
              <w:t>4、报警电流：10mA（继电器常闭）18mA（继电器常开）。</w:t>
            </w:r>
            <w:r>
              <w:rPr>
                <w:rFonts w:hint="eastAsia" w:ascii="宋体" w:hAnsi="宋体" w:eastAsia="宋体"/>
                <w:szCs w:val="21"/>
              </w:rPr>
              <w:br w:type="textWrapping"/>
            </w:r>
            <w:r>
              <w:rPr>
                <w:rFonts w:hint="eastAsia" w:ascii="宋体" w:hAnsi="宋体" w:eastAsia="宋体"/>
                <w:szCs w:val="21"/>
              </w:rPr>
              <w:t>5、工作温度：-10℃～+50℃。</w:t>
            </w:r>
            <w:r>
              <w:rPr>
                <w:rFonts w:hint="eastAsia" w:ascii="宋体" w:hAnsi="宋体" w:eastAsia="宋体"/>
                <w:szCs w:val="21"/>
              </w:rPr>
              <w:br w:type="textWrapping"/>
            </w:r>
            <w:r>
              <w:rPr>
                <w:rFonts w:hint="eastAsia" w:ascii="宋体" w:hAnsi="宋体" w:eastAsia="宋体"/>
                <w:szCs w:val="21"/>
              </w:rPr>
              <w:t>6、工作环境：无冷凝。</w:t>
            </w:r>
            <w:r>
              <w:rPr>
                <w:rFonts w:hint="eastAsia" w:ascii="宋体" w:hAnsi="宋体" w:eastAsia="宋体"/>
                <w:szCs w:val="21"/>
              </w:rPr>
              <w:br w:type="textWrapping"/>
            </w:r>
            <w:r>
              <w:rPr>
                <w:rFonts w:hint="eastAsia" w:ascii="宋体" w:hAnsi="宋体" w:eastAsia="宋体"/>
                <w:szCs w:val="21"/>
              </w:rPr>
              <w:t>7、输出形式：声光报警/无源触点输出。</w:t>
            </w:r>
            <w:r>
              <w:rPr>
                <w:rFonts w:hint="eastAsia" w:ascii="宋体" w:hAnsi="宋体" w:eastAsia="宋体"/>
                <w:szCs w:val="21"/>
              </w:rPr>
              <w:br w:type="textWrapping"/>
            </w:r>
            <w:r>
              <w:rPr>
                <w:rFonts w:hint="eastAsia" w:ascii="宋体" w:hAnsi="宋体" w:eastAsia="宋体"/>
                <w:szCs w:val="21"/>
              </w:rPr>
              <w:t>8、抗RF干扰：10MHz-1GHz20V/m。</w:t>
            </w:r>
            <w:r>
              <w:rPr>
                <w:rFonts w:hint="eastAsia" w:ascii="宋体" w:hAnsi="宋体" w:eastAsia="宋体"/>
                <w:szCs w:val="21"/>
              </w:rPr>
              <w:br w:type="textWrapping"/>
            </w:r>
            <w:r>
              <w:rPr>
                <w:rFonts w:hint="eastAsia" w:ascii="宋体" w:hAnsi="宋体" w:eastAsia="宋体"/>
                <w:szCs w:val="21"/>
              </w:rPr>
              <w:t>9、吸顶式安装。</w:t>
            </w:r>
          </w:p>
          <w:p w14:paraId="012E739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D65C91D">
            <w:pPr>
              <w:widowControl w:val="0"/>
              <w:spacing w:line="276" w:lineRule="auto"/>
              <w:jc w:val="center"/>
              <w:rPr>
                <w:rFonts w:ascii="宋体" w:hAnsi="宋体" w:eastAsia="宋体"/>
                <w:szCs w:val="21"/>
              </w:rPr>
            </w:pPr>
            <w:r>
              <w:rPr>
                <w:rFonts w:ascii="宋体" w:hAnsi="宋体" w:eastAsia="宋体"/>
                <w:szCs w:val="21"/>
              </w:rPr>
              <w:t>2</w:t>
            </w:r>
          </w:p>
        </w:tc>
        <w:tc>
          <w:tcPr>
            <w:tcW w:w="499" w:type="dxa"/>
            <w:vAlign w:val="center"/>
          </w:tcPr>
          <w:p w14:paraId="372B7371">
            <w:pPr>
              <w:widowControl w:val="0"/>
              <w:spacing w:line="276" w:lineRule="auto"/>
              <w:jc w:val="center"/>
              <w:rPr>
                <w:rFonts w:ascii="宋体" w:hAnsi="宋体" w:eastAsia="宋体"/>
                <w:szCs w:val="21"/>
              </w:rPr>
            </w:pPr>
            <w:r>
              <w:rPr>
                <w:rFonts w:hint="eastAsia" w:ascii="宋体" w:hAnsi="宋体" w:eastAsia="宋体"/>
                <w:szCs w:val="21"/>
              </w:rPr>
              <w:t>套</w:t>
            </w:r>
          </w:p>
        </w:tc>
      </w:tr>
      <w:tr w14:paraId="06A5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5E28150">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1</w:t>
            </w:r>
          </w:p>
        </w:tc>
        <w:tc>
          <w:tcPr>
            <w:tcW w:w="2001" w:type="dxa"/>
            <w:vAlign w:val="center"/>
          </w:tcPr>
          <w:p w14:paraId="65418934">
            <w:pPr>
              <w:widowControl w:val="0"/>
              <w:spacing w:line="276" w:lineRule="auto"/>
              <w:jc w:val="center"/>
              <w:rPr>
                <w:rFonts w:ascii="宋体" w:hAnsi="宋体" w:eastAsia="宋体"/>
                <w:szCs w:val="21"/>
              </w:rPr>
            </w:pPr>
            <w:r>
              <w:rPr>
                <w:rFonts w:hint="eastAsia" w:ascii="宋体" w:hAnsi="宋体" w:eastAsia="宋体"/>
                <w:szCs w:val="21"/>
              </w:rPr>
              <w:t>48V直流电源监测</w:t>
            </w:r>
          </w:p>
        </w:tc>
        <w:tc>
          <w:tcPr>
            <w:tcW w:w="4576" w:type="dxa"/>
            <w:vAlign w:val="center"/>
          </w:tcPr>
          <w:p w14:paraId="5649AF1E">
            <w:pPr>
              <w:widowControl w:val="0"/>
              <w:spacing w:line="276" w:lineRule="auto"/>
              <w:jc w:val="both"/>
              <w:rPr>
                <w:rFonts w:ascii="宋体" w:hAnsi="宋体" w:eastAsia="宋体"/>
                <w:szCs w:val="21"/>
              </w:rPr>
            </w:pPr>
            <w:r>
              <w:rPr>
                <w:rFonts w:hint="eastAsia" w:ascii="宋体" w:hAnsi="宋体" w:eastAsia="宋体"/>
                <w:szCs w:val="21"/>
              </w:rPr>
              <w:t>48V直流。其他详见设计图纸及规范要求。</w:t>
            </w:r>
          </w:p>
        </w:tc>
        <w:tc>
          <w:tcPr>
            <w:tcW w:w="960" w:type="dxa"/>
            <w:vAlign w:val="center"/>
          </w:tcPr>
          <w:p w14:paraId="0685CBC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55024FE">
            <w:pPr>
              <w:widowControl w:val="0"/>
              <w:spacing w:line="276" w:lineRule="auto"/>
              <w:jc w:val="center"/>
              <w:rPr>
                <w:rFonts w:ascii="宋体" w:hAnsi="宋体" w:eastAsia="宋体"/>
                <w:szCs w:val="21"/>
              </w:rPr>
            </w:pPr>
            <w:r>
              <w:rPr>
                <w:rFonts w:hint="eastAsia" w:ascii="宋体" w:hAnsi="宋体" w:eastAsia="宋体"/>
                <w:szCs w:val="21"/>
              </w:rPr>
              <w:t>套</w:t>
            </w:r>
          </w:p>
        </w:tc>
      </w:tr>
      <w:tr w14:paraId="2230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8D0027A">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2</w:t>
            </w:r>
          </w:p>
        </w:tc>
        <w:tc>
          <w:tcPr>
            <w:tcW w:w="2001" w:type="dxa"/>
            <w:vAlign w:val="center"/>
          </w:tcPr>
          <w:p w14:paraId="6AF36583">
            <w:pPr>
              <w:widowControl w:val="0"/>
              <w:spacing w:line="276" w:lineRule="auto"/>
              <w:jc w:val="center"/>
              <w:rPr>
                <w:rFonts w:ascii="宋体" w:hAnsi="宋体" w:eastAsia="宋体"/>
                <w:szCs w:val="21"/>
              </w:rPr>
            </w:pPr>
            <w:r>
              <w:rPr>
                <w:rFonts w:hint="eastAsia" w:ascii="宋体" w:hAnsi="宋体" w:eastAsia="宋体"/>
                <w:szCs w:val="21"/>
              </w:rPr>
              <w:t>水浸检测器</w:t>
            </w:r>
          </w:p>
        </w:tc>
        <w:tc>
          <w:tcPr>
            <w:tcW w:w="4576" w:type="dxa"/>
            <w:vAlign w:val="center"/>
          </w:tcPr>
          <w:p w14:paraId="26558DE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漏水控制器</w:t>
            </w:r>
            <w:r>
              <w:rPr>
                <w:rFonts w:hint="eastAsia" w:ascii="宋体" w:hAnsi="宋体" w:eastAsia="宋体"/>
                <w:szCs w:val="21"/>
              </w:rPr>
              <w:t>。1、检测距离：</w:t>
            </w:r>
            <w:r>
              <w:rPr>
                <w:rFonts w:ascii="宋体" w:hAnsi="宋体" w:eastAsia="宋体"/>
                <w:szCs w:val="21"/>
              </w:rPr>
              <w:t>200 米</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电源要求：12V 直流，3W</w:t>
            </w:r>
            <w:r>
              <w:rPr>
                <w:rFonts w:hint="eastAsia" w:ascii="宋体" w:hAnsi="宋体" w:eastAsia="宋体"/>
                <w:szCs w:val="21"/>
              </w:rPr>
              <w:t>；3、</w:t>
            </w:r>
            <w:r>
              <w:rPr>
                <w:rFonts w:ascii="宋体" w:hAnsi="宋体" w:eastAsia="宋体"/>
                <w:szCs w:val="21"/>
              </w:rPr>
              <w:t>网络配置：RS-485 双线网络，波特率可选，地址范围 0 到 255</w:t>
            </w:r>
            <w:r>
              <w:rPr>
                <w:rFonts w:hint="eastAsia" w:ascii="宋体" w:hAnsi="宋体" w:eastAsia="宋体"/>
                <w:szCs w:val="21"/>
              </w:rPr>
              <w:t>；4、</w:t>
            </w:r>
            <w:r>
              <w:rPr>
                <w:rFonts w:ascii="宋体" w:hAnsi="宋体" w:eastAsia="宋体"/>
                <w:szCs w:val="21"/>
              </w:rPr>
              <w:t>继电器特点：常态通电或常态断电，可自由选择泄漏报警或泄漏与传感器故障报警。</w:t>
            </w:r>
            <w:r>
              <w:rPr>
                <w:rFonts w:hint="eastAsia" w:ascii="宋体" w:hAnsi="宋体" w:eastAsia="宋体"/>
                <w:szCs w:val="21"/>
              </w:rPr>
              <w:t>（2）</w:t>
            </w:r>
            <w:r>
              <w:rPr>
                <w:rFonts w:ascii="宋体" w:hAnsi="宋体" w:eastAsia="宋体"/>
                <w:szCs w:val="21"/>
              </w:rPr>
              <w:t>漏液感应线</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w:t>
            </w:r>
            <w:r>
              <w:rPr>
                <w:rFonts w:ascii="宋体" w:hAnsi="宋体" w:eastAsia="宋体"/>
                <w:szCs w:val="21"/>
              </w:rPr>
              <w:t>漏水感应线与漏水控制器配套使用。</w:t>
            </w:r>
          </w:p>
          <w:p w14:paraId="3DE4EEFD">
            <w:pPr>
              <w:widowControl w:val="0"/>
              <w:spacing w:line="276" w:lineRule="auto"/>
              <w:jc w:val="both"/>
              <w:rPr>
                <w:rFonts w:ascii="宋体" w:hAnsi="宋体" w:eastAsia="宋体"/>
                <w:szCs w:val="21"/>
              </w:rPr>
            </w:pPr>
            <w:r>
              <w:rPr>
                <w:rFonts w:hint="eastAsia" w:ascii="宋体" w:hAnsi="宋体" w:eastAsia="宋体"/>
                <w:szCs w:val="21"/>
              </w:rPr>
              <w:t>2、</w:t>
            </w:r>
            <w:r>
              <w:rPr>
                <w:rFonts w:ascii="宋体" w:hAnsi="宋体" w:eastAsia="宋体"/>
                <w:szCs w:val="21"/>
              </w:rPr>
              <w:t>当有水接触时，两根感应线便会短接，发生电流变化，控制器通过快速处理，给出具体的泄漏位置。</w:t>
            </w:r>
          </w:p>
          <w:p w14:paraId="3B35320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DE1870B">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BA0145A">
            <w:pPr>
              <w:widowControl w:val="0"/>
              <w:spacing w:line="276" w:lineRule="auto"/>
              <w:jc w:val="center"/>
              <w:rPr>
                <w:rFonts w:ascii="宋体" w:hAnsi="宋体" w:eastAsia="宋体"/>
                <w:szCs w:val="21"/>
              </w:rPr>
            </w:pPr>
            <w:r>
              <w:rPr>
                <w:rFonts w:hint="eastAsia" w:ascii="宋体" w:hAnsi="宋体" w:eastAsia="宋体"/>
                <w:szCs w:val="21"/>
              </w:rPr>
              <w:t>套</w:t>
            </w:r>
          </w:p>
        </w:tc>
      </w:tr>
      <w:tr w14:paraId="5C95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B348340">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3</w:t>
            </w:r>
          </w:p>
        </w:tc>
        <w:tc>
          <w:tcPr>
            <w:tcW w:w="2001" w:type="dxa"/>
            <w:vAlign w:val="center"/>
          </w:tcPr>
          <w:p w14:paraId="3A19D341">
            <w:pPr>
              <w:widowControl w:val="0"/>
              <w:spacing w:line="276" w:lineRule="auto"/>
              <w:jc w:val="center"/>
              <w:rPr>
                <w:rFonts w:ascii="宋体" w:hAnsi="宋体" w:eastAsia="宋体"/>
                <w:szCs w:val="21"/>
              </w:rPr>
            </w:pPr>
            <w:r>
              <w:rPr>
                <w:rFonts w:hint="eastAsia" w:ascii="宋体" w:hAnsi="宋体" w:eastAsia="宋体"/>
                <w:szCs w:val="21"/>
              </w:rPr>
              <w:t>UPS监测模块</w:t>
            </w:r>
          </w:p>
        </w:tc>
        <w:tc>
          <w:tcPr>
            <w:tcW w:w="4576" w:type="dxa"/>
            <w:vAlign w:val="center"/>
          </w:tcPr>
          <w:p w14:paraId="27731374">
            <w:pPr>
              <w:widowControl w:val="0"/>
              <w:spacing w:line="276" w:lineRule="auto"/>
              <w:jc w:val="both"/>
              <w:rPr>
                <w:rFonts w:ascii="宋体" w:hAnsi="宋体" w:eastAsia="宋体"/>
                <w:szCs w:val="21"/>
              </w:rPr>
            </w:pPr>
            <w:r>
              <w:rPr>
                <w:rFonts w:hint="eastAsia" w:ascii="宋体" w:hAnsi="宋体" w:eastAsia="宋体"/>
                <w:szCs w:val="21"/>
              </w:rPr>
              <w:t>监控系统实时地监控UPS整流器、逆变器、电池（电池健康检测，含电压电流等数值）、旁路、负载等各部分的运行状态与参数。系统可全面诊断UPS 运行状况，实时监控UPS的各种参数。一旦</w:t>
            </w:r>
            <w:r>
              <w:rPr>
                <w:rFonts w:ascii="宋体" w:hAnsi="宋体" w:eastAsia="宋体"/>
                <w:szCs w:val="21"/>
              </w:rPr>
              <w:t>UPS报警，将自动切换到相应UP 监控子系统的运行画面。对于重要的参数，可作曲线记录，系统可查询一年内相应参数的运行曲线，并可显示查询选定具体时间相应时间的参数值，当天（以天为单位）该参数的最大值，最小值，方便管理员全面</w:t>
            </w:r>
            <w:r>
              <w:rPr>
                <w:rFonts w:hint="eastAsia" w:ascii="宋体" w:hAnsi="宋体" w:eastAsia="宋体"/>
                <w:szCs w:val="21"/>
              </w:rPr>
              <w:t>了解</w:t>
            </w:r>
            <w:r>
              <w:rPr>
                <w:rFonts w:ascii="宋体" w:hAnsi="宋体" w:eastAsia="宋体"/>
                <w:szCs w:val="21"/>
              </w:rPr>
              <w:t>UPS的运行状况，及时地发现并解决 UPS 运行中出现的各种问题。</w:t>
            </w:r>
            <w:r>
              <w:rPr>
                <w:rFonts w:hint="eastAsia" w:ascii="宋体" w:hAnsi="宋体" w:eastAsia="宋体"/>
                <w:szCs w:val="21"/>
              </w:rPr>
              <w:t>其他详见设计图纸及规范要求。</w:t>
            </w:r>
          </w:p>
        </w:tc>
        <w:tc>
          <w:tcPr>
            <w:tcW w:w="960" w:type="dxa"/>
            <w:vAlign w:val="center"/>
          </w:tcPr>
          <w:p w14:paraId="29323B81">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703FDE7">
            <w:pPr>
              <w:widowControl w:val="0"/>
              <w:spacing w:line="276" w:lineRule="auto"/>
              <w:jc w:val="center"/>
              <w:rPr>
                <w:rFonts w:ascii="宋体" w:hAnsi="宋体" w:eastAsia="宋体"/>
                <w:szCs w:val="21"/>
              </w:rPr>
            </w:pPr>
            <w:r>
              <w:rPr>
                <w:rFonts w:hint="eastAsia" w:ascii="宋体" w:hAnsi="宋体" w:eastAsia="宋体"/>
                <w:szCs w:val="21"/>
              </w:rPr>
              <w:t>套</w:t>
            </w:r>
          </w:p>
        </w:tc>
      </w:tr>
      <w:tr w14:paraId="08F7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7BF94D64">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4</w:t>
            </w:r>
          </w:p>
        </w:tc>
        <w:tc>
          <w:tcPr>
            <w:tcW w:w="2001" w:type="dxa"/>
            <w:vAlign w:val="center"/>
          </w:tcPr>
          <w:p w14:paraId="1DFE24BC">
            <w:pPr>
              <w:widowControl w:val="0"/>
              <w:spacing w:line="276" w:lineRule="auto"/>
              <w:jc w:val="center"/>
              <w:rPr>
                <w:rFonts w:ascii="宋体" w:hAnsi="宋体" w:eastAsia="宋体"/>
                <w:szCs w:val="21"/>
              </w:rPr>
            </w:pPr>
            <w:r>
              <w:rPr>
                <w:rFonts w:hint="eastAsia" w:ascii="宋体" w:hAnsi="宋体" w:eastAsia="宋体"/>
                <w:szCs w:val="21"/>
              </w:rPr>
              <w:t>蓄电池转换器</w:t>
            </w:r>
          </w:p>
        </w:tc>
        <w:tc>
          <w:tcPr>
            <w:tcW w:w="4576" w:type="dxa"/>
            <w:vAlign w:val="center"/>
          </w:tcPr>
          <w:p w14:paraId="094538D2">
            <w:pPr>
              <w:widowControl w:val="0"/>
              <w:spacing w:line="276" w:lineRule="auto"/>
              <w:jc w:val="both"/>
              <w:rPr>
                <w:rFonts w:hint="eastAsia" w:ascii="宋体" w:hAnsi="宋体" w:eastAsia="宋体"/>
                <w:szCs w:val="21"/>
              </w:rPr>
            </w:pPr>
            <w:r>
              <w:rPr>
                <w:rFonts w:hint="eastAsia" w:ascii="宋体" w:hAnsi="宋体" w:eastAsia="宋体"/>
                <w:szCs w:val="21"/>
              </w:rPr>
              <w:t>电池检测仪主机可以从单体电池检测模块中逐个读取电压、内阻与温度值，并进行分析处理与显示，一个电池检测仪主机最多可以监测六组电池，具体功能如下：</w:t>
            </w:r>
            <w:r>
              <w:rPr>
                <w:rFonts w:hint="eastAsia" w:ascii="宋体" w:hAnsi="宋体" w:eastAsia="宋体"/>
                <w:szCs w:val="21"/>
              </w:rPr>
              <w:br w:type="textWrapping"/>
            </w:r>
            <w:r>
              <w:rPr>
                <w:rFonts w:hint="eastAsia" w:ascii="宋体" w:hAnsi="宋体" w:eastAsia="宋体"/>
                <w:szCs w:val="21"/>
              </w:rPr>
              <w:t>1、可管理六组电池，每组最大为300节，最大可监测总电池数为960节，</w:t>
            </w:r>
            <w:r>
              <w:rPr>
                <w:rFonts w:hint="eastAsia" w:ascii="宋体" w:hAnsi="宋体" w:eastAsia="宋体"/>
                <w:szCs w:val="21"/>
              </w:rPr>
              <w:br w:type="textWrapping"/>
            </w:r>
            <w:r>
              <w:rPr>
                <w:rFonts w:hint="eastAsia" w:ascii="宋体" w:hAnsi="宋体" w:eastAsia="宋体"/>
                <w:szCs w:val="21"/>
              </w:rPr>
              <w:t>2、监测范围：2V、6V、12V电池，容量小于3000AH</w:t>
            </w:r>
            <w:r>
              <w:rPr>
                <w:rFonts w:hint="eastAsia" w:ascii="宋体" w:hAnsi="宋体" w:eastAsia="宋体"/>
                <w:szCs w:val="21"/>
              </w:rPr>
              <w:br w:type="textWrapping"/>
            </w:r>
            <w:r>
              <w:rPr>
                <w:rFonts w:hint="eastAsia" w:ascii="宋体" w:hAnsi="宋体" w:eastAsia="宋体"/>
                <w:szCs w:val="21"/>
              </w:rPr>
              <w:t>3、 轮巡读取每个TA模块测得的电池电压、内阻与温度值；</w:t>
            </w:r>
            <w:r>
              <w:rPr>
                <w:rFonts w:hint="eastAsia" w:ascii="宋体" w:hAnsi="宋体" w:eastAsia="宋体"/>
                <w:szCs w:val="21"/>
              </w:rPr>
              <w:br w:type="textWrapping"/>
            </w:r>
            <w:r>
              <w:rPr>
                <w:rFonts w:hint="eastAsia" w:ascii="宋体" w:hAnsi="宋体" w:eastAsia="宋体"/>
                <w:szCs w:val="21"/>
              </w:rPr>
              <w:t>4、 带LCD显示，可查询实时监测数据及历史告警记录；</w:t>
            </w:r>
            <w:r>
              <w:rPr>
                <w:rFonts w:hint="eastAsia" w:ascii="宋体" w:hAnsi="宋体" w:eastAsia="宋体"/>
                <w:szCs w:val="21"/>
              </w:rPr>
              <w:br w:type="textWrapping"/>
            </w:r>
            <w:r>
              <w:rPr>
                <w:rFonts w:hint="eastAsia" w:ascii="宋体" w:hAnsi="宋体" w:eastAsia="宋体"/>
                <w:szCs w:val="21"/>
              </w:rPr>
              <w:t>5、 可设置上下限值与运行参数；</w:t>
            </w:r>
            <w:r>
              <w:rPr>
                <w:rFonts w:hint="eastAsia" w:ascii="宋体" w:hAnsi="宋体" w:eastAsia="宋体"/>
                <w:szCs w:val="21"/>
              </w:rPr>
              <w:br w:type="textWrapping"/>
            </w:r>
            <w:r>
              <w:rPr>
                <w:rFonts w:hint="eastAsia" w:ascii="宋体" w:hAnsi="宋体" w:eastAsia="宋体"/>
                <w:szCs w:val="21"/>
              </w:rPr>
              <w:t>6、 自动告警功能，告警时LED灯亮，蜂鸣器响，同时对应干接点闭合；</w:t>
            </w:r>
            <w:r>
              <w:rPr>
                <w:rFonts w:hint="eastAsia" w:ascii="宋体" w:hAnsi="宋体" w:eastAsia="宋体"/>
                <w:szCs w:val="21"/>
              </w:rPr>
              <w:br w:type="textWrapping"/>
            </w:r>
            <w:r>
              <w:rPr>
                <w:rFonts w:hint="eastAsia" w:ascii="宋体" w:hAnsi="宋体" w:eastAsia="宋体"/>
                <w:szCs w:val="21"/>
              </w:rPr>
              <w:t>7、 带一个RS485口与一个网络，可接入到上位机。</w:t>
            </w:r>
          </w:p>
          <w:p w14:paraId="622ADCDC">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0AA5B9E">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F4EF548">
            <w:pPr>
              <w:widowControl w:val="0"/>
              <w:spacing w:line="276" w:lineRule="auto"/>
              <w:jc w:val="center"/>
              <w:rPr>
                <w:rFonts w:ascii="宋体" w:hAnsi="宋体" w:eastAsia="宋体"/>
                <w:szCs w:val="21"/>
              </w:rPr>
            </w:pPr>
            <w:r>
              <w:rPr>
                <w:rFonts w:hint="eastAsia" w:ascii="宋体" w:hAnsi="宋体" w:eastAsia="宋体"/>
                <w:szCs w:val="21"/>
              </w:rPr>
              <w:t>个</w:t>
            </w:r>
          </w:p>
        </w:tc>
      </w:tr>
      <w:tr w14:paraId="0C1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1AFFFD0">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5</w:t>
            </w:r>
          </w:p>
        </w:tc>
        <w:tc>
          <w:tcPr>
            <w:tcW w:w="2001" w:type="dxa"/>
            <w:vAlign w:val="center"/>
          </w:tcPr>
          <w:p w14:paraId="4CC3E30A">
            <w:pPr>
              <w:widowControl w:val="0"/>
              <w:spacing w:line="276" w:lineRule="auto"/>
              <w:jc w:val="center"/>
              <w:rPr>
                <w:rFonts w:ascii="宋体" w:hAnsi="宋体" w:eastAsia="宋体"/>
                <w:szCs w:val="21"/>
              </w:rPr>
            </w:pPr>
            <w:r>
              <w:rPr>
                <w:rFonts w:hint="eastAsia" w:ascii="宋体" w:hAnsi="宋体" w:eastAsia="宋体"/>
                <w:szCs w:val="21"/>
              </w:rPr>
              <w:t>蓄电池单体监测</w:t>
            </w:r>
          </w:p>
        </w:tc>
        <w:tc>
          <w:tcPr>
            <w:tcW w:w="4576" w:type="dxa"/>
            <w:vAlign w:val="center"/>
          </w:tcPr>
          <w:p w14:paraId="7AA797DE">
            <w:pPr>
              <w:widowControl w:val="0"/>
              <w:numPr>
                <w:ilvl w:val="0"/>
                <w:numId w:val="14"/>
              </w:numPr>
              <w:spacing w:line="276" w:lineRule="auto"/>
              <w:jc w:val="both"/>
              <w:rPr>
                <w:rFonts w:hint="eastAsia" w:ascii="宋体" w:hAnsi="宋体" w:eastAsia="宋体"/>
                <w:szCs w:val="21"/>
              </w:rPr>
            </w:pPr>
            <w:r>
              <w:rPr>
                <w:rFonts w:hint="eastAsia" w:ascii="宋体" w:hAnsi="宋体" w:eastAsia="宋体"/>
                <w:szCs w:val="21"/>
              </w:rPr>
              <w:t>监测能力 ：一个模块监测一个电池电压、内阻、温度；监测范围 ：2V、6V、12V 电池，容量小于 3000AH ；</w:t>
            </w:r>
            <w:r>
              <w:rPr>
                <w:rFonts w:ascii="宋体" w:hAnsi="宋体" w:eastAsia="宋体"/>
                <w:szCs w:val="21"/>
              </w:rPr>
              <w:t>2</w:t>
            </w:r>
            <w:r>
              <w:rPr>
                <w:rFonts w:hint="eastAsia" w:ascii="宋体" w:hAnsi="宋体" w:eastAsia="宋体"/>
                <w:szCs w:val="21"/>
              </w:rPr>
              <w:t>、电源要求 ：直接从被监测电池取电，2V 模块正常工作时吸收电流为 7mA，最大不大于 13mA，6V、12V 模块正常工作时吸收电流为 3mA，最大不大于7mA，不同模块吸收电流一致性极高 ；</w:t>
            </w:r>
            <w:r>
              <w:rPr>
                <w:rFonts w:hint="eastAsia" w:ascii="宋体" w:hAnsi="宋体" w:eastAsia="宋体"/>
                <w:szCs w:val="21"/>
              </w:rPr>
              <w:br w:type="page"/>
            </w:r>
            <w:r>
              <w:rPr>
                <w:rFonts w:ascii="宋体" w:hAnsi="宋体" w:eastAsia="宋体"/>
                <w:szCs w:val="21"/>
              </w:rPr>
              <w:t>3</w:t>
            </w:r>
            <w:r>
              <w:rPr>
                <w:rFonts w:hint="eastAsia" w:ascii="宋体" w:hAnsi="宋体" w:eastAsia="宋体"/>
                <w:szCs w:val="21"/>
              </w:rPr>
              <w:t>、保护：测量回路与电源回路带两级保护，带反接保护与光电隔离；</w:t>
            </w:r>
            <w:r>
              <w:rPr>
                <w:rFonts w:hint="eastAsia" w:ascii="宋体" w:hAnsi="宋体" w:eastAsia="宋体"/>
                <w:szCs w:val="21"/>
              </w:rPr>
              <w:br w:type="page"/>
            </w:r>
            <w:r>
              <w:rPr>
                <w:rFonts w:ascii="宋体" w:hAnsi="宋体" w:eastAsia="宋体"/>
                <w:szCs w:val="21"/>
              </w:rPr>
              <w:t>4</w:t>
            </w:r>
            <w:r>
              <w:rPr>
                <w:rFonts w:hint="eastAsia" w:ascii="宋体" w:hAnsi="宋体" w:eastAsia="宋体"/>
                <w:szCs w:val="21"/>
              </w:rPr>
              <w:t>、测量范围及精度：单体电压 2V、6V、12V ±0.1%；单体内阻 50～65535u</w:t>
            </w:r>
            <w:r>
              <w:rPr>
                <w:rFonts w:ascii="宋体" w:hAnsi="宋体" w:eastAsia="宋体" w:cs="Calibri"/>
                <w:szCs w:val="21"/>
              </w:rPr>
              <w:t>Ω</w:t>
            </w:r>
            <w:r>
              <w:rPr>
                <w:rFonts w:hint="eastAsia" w:ascii="宋体" w:hAnsi="宋体" w:eastAsia="宋体"/>
                <w:szCs w:val="21"/>
              </w:rPr>
              <w:t xml:space="preserve"> ±2% 分辨率1u</w:t>
            </w:r>
            <w:r>
              <w:rPr>
                <w:rFonts w:ascii="宋体" w:hAnsi="宋体" w:eastAsia="宋体" w:cs="Calibri"/>
                <w:szCs w:val="21"/>
              </w:rPr>
              <w:t>Ω</w:t>
            </w:r>
            <w:r>
              <w:rPr>
                <w:rFonts w:hint="eastAsia" w:ascii="宋体" w:hAnsi="宋体" w:eastAsia="宋体"/>
                <w:szCs w:val="21"/>
              </w:rPr>
              <w:t>；负极温度 -5℃～+99.9℃ ±1℃ ；</w:t>
            </w:r>
            <w:r>
              <w:rPr>
                <w:rFonts w:ascii="宋体" w:hAnsi="宋体" w:eastAsia="宋体"/>
                <w:szCs w:val="21"/>
              </w:rPr>
              <w:t>4</w:t>
            </w:r>
            <w:r>
              <w:rPr>
                <w:rFonts w:hint="eastAsia" w:ascii="宋体" w:hAnsi="宋体" w:eastAsia="宋体"/>
                <w:szCs w:val="21"/>
              </w:rPr>
              <w:t>、安装方式 ：直接粘贴到电池上或安装到固定条上。</w:t>
            </w:r>
          </w:p>
          <w:p w14:paraId="6EC12074">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C60B17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30DDC29">
            <w:pPr>
              <w:widowControl w:val="0"/>
              <w:spacing w:line="276" w:lineRule="auto"/>
              <w:jc w:val="center"/>
              <w:rPr>
                <w:rFonts w:ascii="宋体" w:hAnsi="宋体" w:eastAsia="宋体"/>
                <w:szCs w:val="21"/>
              </w:rPr>
            </w:pPr>
            <w:r>
              <w:rPr>
                <w:rFonts w:hint="eastAsia" w:ascii="宋体" w:hAnsi="宋体" w:eastAsia="宋体"/>
                <w:szCs w:val="21"/>
              </w:rPr>
              <w:t>个</w:t>
            </w:r>
          </w:p>
        </w:tc>
      </w:tr>
      <w:tr w14:paraId="21EA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1F6F540">
            <w:pPr>
              <w:widowControl w:val="0"/>
              <w:spacing w:line="276" w:lineRule="auto"/>
              <w:jc w:val="center"/>
              <w:rPr>
                <w:rFonts w:ascii="宋体" w:hAnsi="宋体" w:eastAsia="宋体"/>
                <w:szCs w:val="21"/>
              </w:rPr>
            </w:pPr>
            <w:r>
              <w:rPr>
                <w:rFonts w:ascii="宋体" w:hAnsi="宋体" w:eastAsia="宋体"/>
                <w:szCs w:val="21"/>
              </w:rPr>
              <w:t>86</w:t>
            </w:r>
          </w:p>
        </w:tc>
        <w:tc>
          <w:tcPr>
            <w:tcW w:w="2001" w:type="dxa"/>
            <w:vAlign w:val="center"/>
          </w:tcPr>
          <w:p w14:paraId="2D2DAFC2">
            <w:pPr>
              <w:widowControl w:val="0"/>
              <w:spacing w:line="276" w:lineRule="auto"/>
              <w:jc w:val="center"/>
              <w:rPr>
                <w:rFonts w:ascii="宋体" w:hAnsi="宋体" w:eastAsia="宋体"/>
                <w:szCs w:val="21"/>
              </w:rPr>
            </w:pPr>
            <w:r>
              <w:rPr>
                <w:rFonts w:hint="eastAsia" w:ascii="宋体" w:hAnsi="宋体" w:eastAsia="宋体"/>
                <w:szCs w:val="21"/>
              </w:rPr>
              <w:t>声光报警器</w:t>
            </w:r>
          </w:p>
        </w:tc>
        <w:tc>
          <w:tcPr>
            <w:tcW w:w="4576" w:type="dxa"/>
            <w:vAlign w:val="center"/>
          </w:tcPr>
          <w:p w14:paraId="56202DFD">
            <w:pPr>
              <w:widowControl w:val="0"/>
              <w:spacing w:line="276" w:lineRule="auto"/>
              <w:jc w:val="both"/>
              <w:rPr>
                <w:rFonts w:ascii="宋体" w:hAnsi="宋体" w:eastAsia="宋体"/>
                <w:szCs w:val="21"/>
              </w:rPr>
            </w:pPr>
            <w:r>
              <w:rPr>
                <w:rFonts w:hint="eastAsia" w:ascii="宋体" w:hAnsi="宋体" w:eastAsia="宋体"/>
                <w:szCs w:val="21"/>
              </w:rPr>
              <w:t>市场主流配置。其他详见设计图纸及规范要求。</w:t>
            </w:r>
          </w:p>
        </w:tc>
        <w:tc>
          <w:tcPr>
            <w:tcW w:w="960" w:type="dxa"/>
            <w:vAlign w:val="center"/>
          </w:tcPr>
          <w:p w14:paraId="3CAF1E0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3D5F2B8">
            <w:pPr>
              <w:widowControl w:val="0"/>
              <w:spacing w:line="276" w:lineRule="auto"/>
              <w:jc w:val="center"/>
              <w:rPr>
                <w:rFonts w:ascii="宋体" w:hAnsi="宋体" w:eastAsia="宋体"/>
                <w:szCs w:val="21"/>
              </w:rPr>
            </w:pPr>
            <w:r>
              <w:rPr>
                <w:rFonts w:hint="eastAsia" w:ascii="宋体" w:hAnsi="宋体" w:eastAsia="宋体"/>
                <w:szCs w:val="21"/>
              </w:rPr>
              <w:t>套</w:t>
            </w:r>
          </w:p>
        </w:tc>
      </w:tr>
      <w:tr w14:paraId="0A3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C4CC05C">
            <w:pPr>
              <w:widowControl w:val="0"/>
              <w:spacing w:line="276" w:lineRule="auto"/>
              <w:jc w:val="center"/>
              <w:rPr>
                <w:rFonts w:ascii="宋体" w:hAnsi="宋体" w:eastAsia="宋体"/>
                <w:szCs w:val="21"/>
              </w:rPr>
            </w:pPr>
            <w:r>
              <w:rPr>
                <w:rFonts w:ascii="宋体" w:hAnsi="宋体" w:eastAsia="宋体"/>
                <w:szCs w:val="21"/>
              </w:rPr>
              <w:t>87</w:t>
            </w:r>
          </w:p>
        </w:tc>
        <w:tc>
          <w:tcPr>
            <w:tcW w:w="2001" w:type="dxa"/>
            <w:vAlign w:val="center"/>
          </w:tcPr>
          <w:p w14:paraId="23364224">
            <w:pPr>
              <w:widowControl w:val="0"/>
              <w:spacing w:line="276" w:lineRule="auto"/>
              <w:jc w:val="center"/>
              <w:rPr>
                <w:rFonts w:ascii="宋体" w:hAnsi="宋体" w:eastAsia="宋体"/>
                <w:szCs w:val="21"/>
              </w:rPr>
            </w:pPr>
            <w:r>
              <w:rPr>
                <w:rFonts w:hint="eastAsia" w:ascii="宋体" w:hAnsi="宋体" w:eastAsia="宋体"/>
                <w:szCs w:val="21"/>
              </w:rPr>
              <w:t>监控摄像机（机房视频监控）</w:t>
            </w:r>
          </w:p>
        </w:tc>
        <w:tc>
          <w:tcPr>
            <w:tcW w:w="4576" w:type="dxa"/>
            <w:vAlign w:val="center"/>
          </w:tcPr>
          <w:p w14:paraId="0187EE7A">
            <w:pPr>
              <w:widowControl w:val="0"/>
              <w:numPr>
                <w:ilvl w:val="0"/>
                <w:numId w:val="15"/>
              </w:numPr>
              <w:spacing w:line="276" w:lineRule="auto"/>
              <w:jc w:val="both"/>
              <w:rPr>
                <w:rFonts w:hint="eastAsia" w:ascii="宋体" w:hAnsi="宋体" w:eastAsia="宋体"/>
                <w:szCs w:val="21"/>
              </w:rPr>
            </w:pPr>
            <w:r>
              <w:rPr>
                <w:rFonts w:hint="eastAsia" w:ascii="宋体" w:hAnsi="宋体" w:eastAsia="宋体"/>
                <w:szCs w:val="21"/>
              </w:rPr>
              <w:t>类型：网络摄像机；</w:t>
            </w:r>
            <w:r>
              <w:rPr>
                <w:rFonts w:hint="eastAsia" w:ascii="宋体" w:hAnsi="宋体" w:eastAsia="宋体"/>
                <w:szCs w:val="21"/>
              </w:rPr>
              <w:br w:type="textWrapping"/>
            </w:r>
            <w:r>
              <w:rPr>
                <w:rFonts w:hint="eastAsia" w:ascii="宋体" w:hAnsi="宋体" w:eastAsia="宋体"/>
                <w:szCs w:val="21"/>
              </w:rPr>
              <w:t>2、水平清晰度：≥1080PTVL；</w:t>
            </w:r>
            <w:r>
              <w:rPr>
                <w:rFonts w:hint="eastAsia" w:ascii="宋体" w:hAnsi="宋体" w:eastAsia="宋体"/>
                <w:szCs w:val="21"/>
              </w:rPr>
              <w:br w:type="textWrapping"/>
            </w:r>
            <w:r>
              <w:rPr>
                <w:rFonts w:hint="eastAsia" w:ascii="宋体" w:hAnsi="宋体" w:eastAsia="宋体"/>
                <w:szCs w:val="21"/>
              </w:rPr>
              <w:t>3、最低照度：≤0.001Lux；</w:t>
            </w:r>
            <w:r>
              <w:rPr>
                <w:rFonts w:hint="eastAsia" w:ascii="宋体" w:hAnsi="宋体" w:eastAsia="宋体"/>
                <w:szCs w:val="21"/>
              </w:rPr>
              <w:br w:type="textWrapping"/>
            </w:r>
            <w:r>
              <w:rPr>
                <w:rFonts w:hint="eastAsia" w:ascii="宋体" w:hAnsi="宋体" w:eastAsia="宋体"/>
                <w:szCs w:val="21"/>
              </w:rPr>
              <w:t>4、视频编码：H.264；</w:t>
            </w:r>
            <w:r>
              <w:rPr>
                <w:rFonts w:hint="eastAsia" w:ascii="宋体" w:hAnsi="宋体" w:eastAsia="宋体"/>
                <w:szCs w:val="21"/>
              </w:rPr>
              <w:br w:type="textWrapping"/>
            </w:r>
            <w:r>
              <w:rPr>
                <w:rFonts w:hint="eastAsia" w:ascii="宋体" w:hAnsi="宋体" w:eastAsia="宋体"/>
                <w:szCs w:val="21"/>
              </w:rPr>
              <w:t>5、协议：支持主流网络视频协议；</w:t>
            </w:r>
            <w:r>
              <w:rPr>
                <w:rFonts w:hint="eastAsia" w:ascii="宋体" w:hAnsi="宋体" w:eastAsia="宋体"/>
                <w:szCs w:val="21"/>
              </w:rPr>
              <w:br w:type="textWrapping"/>
            </w:r>
            <w:r>
              <w:rPr>
                <w:rFonts w:hint="eastAsia" w:ascii="宋体" w:hAnsi="宋体" w:eastAsia="宋体"/>
                <w:szCs w:val="21"/>
              </w:rPr>
              <w:t>6、传感器：不小于200 万像素，1/2.7 英寸Progressive Scan CMOS；</w:t>
            </w:r>
            <w:r>
              <w:rPr>
                <w:rFonts w:hint="eastAsia" w:ascii="宋体" w:hAnsi="宋体" w:eastAsia="宋体"/>
                <w:szCs w:val="21"/>
              </w:rPr>
              <w:br w:type="textWrapping"/>
            </w:r>
            <w:r>
              <w:rPr>
                <w:rFonts w:hint="eastAsia" w:ascii="宋体" w:hAnsi="宋体" w:eastAsia="宋体"/>
                <w:szCs w:val="21"/>
              </w:rPr>
              <w:t>7、镜头参数：镜头4mm(2.8,6mm,8,12mm 可调)；</w:t>
            </w:r>
            <w:r>
              <w:rPr>
                <w:rFonts w:hint="eastAsia" w:ascii="宋体" w:hAnsi="宋体" w:eastAsia="宋体"/>
                <w:szCs w:val="21"/>
              </w:rPr>
              <w:br w:type="textWrapping"/>
            </w:r>
            <w:r>
              <w:rPr>
                <w:rFonts w:hint="eastAsia" w:ascii="宋体" w:hAnsi="宋体" w:eastAsia="宋体"/>
                <w:szCs w:val="21"/>
              </w:rPr>
              <w:t>8、智能报警；</w:t>
            </w:r>
            <w:r>
              <w:rPr>
                <w:rFonts w:hint="eastAsia" w:ascii="宋体" w:hAnsi="宋体" w:eastAsia="宋体"/>
                <w:szCs w:val="21"/>
              </w:rPr>
              <w:br w:type="textWrapping"/>
            </w:r>
            <w:r>
              <w:rPr>
                <w:rFonts w:hint="eastAsia" w:ascii="宋体" w:hAnsi="宋体" w:eastAsia="宋体"/>
                <w:szCs w:val="21"/>
              </w:rPr>
              <w:t>9、具有电子防抖、ROI 感兴趣区域、SVC 可伸缩编码、自动增益、背光补偿、数字降噪、强光抑制、防红外过曝等功能；</w:t>
            </w:r>
            <w:r>
              <w:rPr>
                <w:rFonts w:hint="eastAsia" w:ascii="宋体" w:hAnsi="宋体" w:eastAsia="宋体"/>
                <w:szCs w:val="21"/>
              </w:rPr>
              <w:br w:type="textWrapping"/>
            </w:r>
            <w:r>
              <w:rPr>
                <w:rFonts w:hint="eastAsia" w:ascii="宋体" w:hAnsi="宋体" w:eastAsia="宋体"/>
                <w:szCs w:val="21"/>
              </w:rPr>
              <w:t>10、支持移动跟踪；</w:t>
            </w:r>
            <w:r>
              <w:rPr>
                <w:rFonts w:hint="eastAsia" w:ascii="宋体" w:hAnsi="宋体" w:eastAsia="宋体"/>
                <w:szCs w:val="21"/>
              </w:rPr>
              <w:br w:type="textWrapping"/>
            </w:r>
            <w:r>
              <w:rPr>
                <w:rFonts w:hint="eastAsia" w:ascii="宋体" w:hAnsi="宋体" w:eastAsia="宋体"/>
                <w:szCs w:val="21"/>
              </w:rPr>
              <w:t>11、红外夜视。</w:t>
            </w:r>
          </w:p>
          <w:p w14:paraId="1A585608">
            <w:pPr>
              <w:widowControl w:val="0"/>
              <w:numPr>
                <w:ilvl w:val="0"/>
                <w:numId w:val="0"/>
              </w:numPr>
              <w:spacing w:line="276" w:lineRule="auto"/>
              <w:jc w:val="both"/>
              <w:rPr>
                <w:rFonts w:ascii="宋体" w:hAnsi="宋体" w:eastAsia="宋体"/>
                <w:szCs w:val="21"/>
              </w:rPr>
            </w:pPr>
            <w:r>
              <w:rPr>
                <w:rFonts w:hint="eastAsia" w:ascii="宋体" w:hAnsi="宋体" w:eastAsia="宋体"/>
                <w:color w:val="auto"/>
                <w:szCs w:val="21"/>
              </w:rPr>
              <w:t>其他详见设计图纸及规范要求。</w:t>
            </w:r>
          </w:p>
        </w:tc>
        <w:tc>
          <w:tcPr>
            <w:tcW w:w="960" w:type="dxa"/>
            <w:vAlign w:val="center"/>
          </w:tcPr>
          <w:p w14:paraId="3BDF5ED6">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5EC238A">
            <w:pPr>
              <w:widowControl w:val="0"/>
              <w:spacing w:line="276" w:lineRule="auto"/>
              <w:jc w:val="center"/>
              <w:rPr>
                <w:rFonts w:ascii="宋体" w:hAnsi="宋体" w:eastAsia="宋体"/>
                <w:szCs w:val="21"/>
              </w:rPr>
            </w:pPr>
            <w:r>
              <w:rPr>
                <w:rFonts w:hint="eastAsia" w:ascii="宋体" w:hAnsi="宋体" w:eastAsia="宋体"/>
                <w:szCs w:val="21"/>
              </w:rPr>
              <w:t>套</w:t>
            </w:r>
          </w:p>
        </w:tc>
      </w:tr>
      <w:tr w14:paraId="11AA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A469F99">
            <w:pPr>
              <w:widowControl w:val="0"/>
              <w:spacing w:line="276" w:lineRule="auto"/>
              <w:jc w:val="center"/>
              <w:rPr>
                <w:rFonts w:ascii="宋体" w:hAnsi="宋体" w:eastAsia="宋体"/>
                <w:szCs w:val="21"/>
              </w:rPr>
            </w:pPr>
            <w:r>
              <w:rPr>
                <w:rFonts w:ascii="宋体" w:hAnsi="宋体" w:eastAsia="宋体"/>
                <w:szCs w:val="21"/>
              </w:rPr>
              <w:t>88</w:t>
            </w:r>
          </w:p>
        </w:tc>
        <w:tc>
          <w:tcPr>
            <w:tcW w:w="2001" w:type="dxa"/>
            <w:vAlign w:val="center"/>
          </w:tcPr>
          <w:p w14:paraId="6B146A62">
            <w:pPr>
              <w:widowControl w:val="0"/>
              <w:spacing w:line="276" w:lineRule="auto"/>
              <w:jc w:val="center"/>
              <w:rPr>
                <w:rFonts w:ascii="宋体" w:hAnsi="宋体" w:eastAsia="宋体"/>
                <w:szCs w:val="21"/>
              </w:rPr>
            </w:pPr>
            <w:r>
              <w:rPr>
                <w:rFonts w:hint="eastAsia" w:ascii="宋体" w:hAnsi="宋体" w:eastAsia="宋体"/>
                <w:szCs w:val="21"/>
              </w:rPr>
              <w:t>机房动力环境监控系统管理平台</w:t>
            </w:r>
          </w:p>
        </w:tc>
        <w:tc>
          <w:tcPr>
            <w:tcW w:w="4576" w:type="dxa"/>
            <w:vAlign w:val="center"/>
          </w:tcPr>
          <w:p w14:paraId="3EA41ACB">
            <w:pPr>
              <w:widowControl w:val="0"/>
              <w:spacing w:line="276" w:lineRule="auto"/>
              <w:jc w:val="both"/>
              <w:rPr>
                <w:rFonts w:ascii="宋体" w:hAnsi="宋体" w:eastAsia="宋体"/>
                <w:szCs w:val="21"/>
              </w:rPr>
            </w:pPr>
            <w:r>
              <w:rPr>
                <w:rFonts w:hint="eastAsia" w:ascii="宋体" w:hAnsi="宋体" w:eastAsia="宋体"/>
                <w:szCs w:val="21"/>
              </w:rPr>
              <w:t>含管理工作站及配套软件，硬件为主流配置。兼容ETC门架机房、通信站机房动环主机。其他详见设计图纸及规范要求。</w:t>
            </w:r>
          </w:p>
        </w:tc>
        <w:tc>
          <w:tcPr>
            <w:tcW w:w="960" w:type="dxa"/>
            <w:vAlign w:val="center"/>
          </w:tcPr>
          <w:p w14:paraId="76342D05">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4ACB818">
            <w:pPr>
              <w:widowControl w:val="0"/>
              <w:spacing w:line="276" w:lineRule="auto"/>
              <w:jc w:val="center"/>
              <w:rPr>
                <w:rFonts w:ascii="宋体" w:hAnsi="宋体" w:eastAsia="宋体"/>
                <w:szCs w:val="21"/>
              </w:rPr>
            </w:pPr>
            <w:r>
              <w:rPr>
                <w:rFonts w:hint="eastAsia" w:ascii="宋体" w:hAnsi="宋体" w:eastAsia="宋体"/>
                <w:szCs w:val="21"/>
              </w:rPr>
              <w:t>套</w:t>
            </w:r>
          </w:p>
        </w:tc>
      </w:tr>
      <w:tr w14:paraId="48D3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2FA2CB0">
            <w:pPr>
              <w:widowControl w:val="0"/>
              <w:spacing w:line="276" w:lineRule="auto"/>
              <w:jc w:val="center"/>
              <w:rPr>
                <w:rFonts w:ascii="宋体" w:hAnsi="宋体" w:eastAsia="宋体"/>
                <w:szCs w:val="21"/>
              </w:rPr>
            </w:pPr>
            <w:r>
              <w:rPr>
                <w:rFonts w:ascii="宋体" w:hAnsi="宋体" w:eastAsia="宋体"/>
                <w:szCs w:val="21"/>
              </w:rPr>
              <w:t>89</w:t>
            </w:r>
          </w:p>
        </w:tc>
        <w:tc>
          <w:tcPr>
            <w:tcW w:w="2001" w:type="dxa"/>
            <w:vAlign w:val="center"/>
          </w:tcPr>
          <w:p w14:paraId="065102AE">
            <w:pPr>
              <w:widowControl w:val="0"/>
              <w:spacing w:line="276" w:lineRule="auto"/>
              <w:jc w:val="center"/>
              <w:rPr>
                <w:rFonts w:ascii="宋体" w:hAnsi="宋体" w:eastAsia="宋体"/>
                <w:szCs w:val="21"/>
              </w:rPr>
            </w:pPr>
            <w:r>
              <w:rPr>
                <w:rFonts w:hint="eastAsia" w:ascii="宋体" w:hAnsi="宋体" w:eastAsia="宋体"/>
                <w:szCs w:val="21"/>
              </w:rPr>
              <w:t>空调控制器</w:t>
            </w:r>
          </w:p>
        </w:tc>
        <w:tc>
          <w:tcPr>
            <w:tcW w:w="4576" w:type="dxa"/>
            <w:vAlign w:val="center"/>
          </w:tcPr>
          <w:p w14:paraId="3738A4C7">
            <w:pPr>
              <w:widowControl w:val="0"/>
              <w:spacing w:line="276" w:lineRule="auto"/>
              <w:jc w:val="both"/>
              <w:rPr>
                <w:rFonts w:ascii="宋体" w:hAnsi="宋体" w:eastAsia="宋体"/>
                <w:szCs w:val="21"/>
              </w:rPr>
            </w:pPr>
            <w:r>
              <w:rPr>
                <w:rFonts w:hint="eastAsia" w:ascii="宋体" w:hAnsi="宋体" w:eastAsia="宋体"/>
                <w:szCs w:val="21"/>
              </w:rPr>
              <w:t>空调控制器可以远程控制和定时控制普通带遥控的空调，通过学习并存储空调遥控器的指令代码来实现对空调的控制，可实现远程开关机、工作模式切换、温度调节等所有遥控器上的功能。同时可智能检测制冷系统有无问题或存在着的隐性故障，以便用户及时发现和解决问题，实现节能环保。485接口，含配套的传感器与线缆，含安装辅材。</w:t>
            </w:r>
          </w:p>
          <w:p w14:paraId="5BFA49DD">
            <w:pPr>
              <w:widowControl w:val="0"/>
              <w:spacing w:line="276" w:lineRule="auto"/>
              <w:jc w:val="both"/>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安装形式：不用拆装原空调与供电线路（不检测电流）；</w:t>
            </w:r>
          </w:p>
          <w:p w14:paraId="3E81531C">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控制空调形式：红外；</w:t>
            </w:r>
          </w:p>
          <w:p w14:paraId="28CEF028">
            <w:pPr>
              <w:widowControl w:val="0"/>
              <w:spacing w:line="276" w:lineRule="auto"/>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节能性：可定时开关机、双机自动轮询工作、达到温度下限自动关机和温度自动调节功能，如客户调低空调的温度，空调控制器可自动恢复设定的温度；</w:t>
            </w:r>
          </w:p>
          <w:p w14:paraId="4BEFBEF8">
            <w:pPr>
              <w:widowControl w:val="0"/>
              <w:spacing w:line="276" w:lineRule="auto"/>
              <w:jc w:val="both"/>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故障检测功能：可检测制冷系统存在的故障，并发出报警，如雪种不足、过滤网脏、机组脏、压缩机损坏、冷疑风机损坏等影响制冷效果的关键元器件；</w:t>
            </w:r>
          </w:p>
          <w:p w14:paraId="0183F793">
            <w:pPr>
              <w:widowControl w:val="0"/>
              <w:spacing w:line="276" w:lineRule="auto"/>
              <w:jc w:val="both"/>
              <w:rPr>
                <w:rFonts w:ascii="宋体" w:hAnsi="宋体" w:eastAsia="宋体"/>
                <w:szCs w:val="21"/>
              </w:rPr>
            </w:pPr>
            <w:r>
              <w:rPr>
                <w:rFonts w:hint="eastAsia" w:ascii="宋体" w:hAnsi="宋体" w:eastAsia="宋体"/>
                <w:szCs w:val="21"/>
              </w:rPr>
              <w:t>5、</w:t>
            </w:r>
            <w:r>
              <w:rPr>
                <w:rFonts w:ascii="宋体" w:hAnsi="宋体" w:eastAsia="宋体"/>
                <w:szCs w:val="21"/>
              </w:rPr>
              <w:t>联网管理：RS485 接口进行远程组网管理，亦可单独使用；</w:t>
            </w:r>
          </w:p>
          <w:p w14:paraId="1AF3E3F1">
            <w:pPr>
              <w:widowControl w:val="0"/>
              <w:spacing w:line="276" w:lineRule="auto"/>
              <w:jc w:val="both"/>
              <w:rPr>
                <w:rFonts w:ascii="宋体" w:hAnsi="宋体" w:eastAsia="宋体"/>
                <w:szCs w:val="21"/>
              </w:rPr>
            </w:pPr>
            <w:r>
              <w:rPr>
                <w:rFonts w:hint="eastAsia" w:ascii="宋体" w:hAnsi="宋体" w:eastAsia="宋体"/>
                <w:szCs w:val="21"/>
              </w:rPr>
              <w:t>6、</w:t>
            </w:r>
            <w:r>
              <w:rPr>
                <w:rFonts w:ascii="宋体" w:hAnsi="宋体" w:eastAsia="宋体"/>
                <w:szCs w:val="21"/>
              </w:rPr>
              <w:t>稳定性：可常年7×24小时连续工作，无须专人维护。</w:t>
            </w:r>
          </w:p>
          <w:p w14:paraId="0F38C61B">
            <w:pPr>
              <w:widowControl w:val="0"/>
              <w:spacing w:line="276" w:lineRule="auto"/>
              <w:jc w:val="both"/>
              <w:rPr>
                <w:rFonts w:ascii="宋体" w:hAnsi="宋体" w:eastAsia="宋体"/>
                <w:szCs w:val="21"/>
              </w:rPr>
            </w:pPr>
            <w:r>
              <w:rPr>
                <w:rFonts w:hint="eastAsia" w:ascii="宋体" w:hAnsi="宋体" w:eastAsia="宋体"/>
                <w:szCs w:val="21"/>
              </w:rPr>
              <w:t>7、</w:t>
            </w:r>
            <w:r>
              <w:rPr>
                <w:rFonts w:ascii="宋体" w:hAnsi="宋体" w:eastAsia="宋体"/>
                <w:szCs w:val="21"/>
              </w:rPr>
              <w:t>功耗：具备电源，功耗不大于5W；</w:t>
            </w:r>
          </w:p>
          <w:p w14:paraId="123F8EF6">
            <w:pPr>
              <w:widowControl w:val="0"/>
              <w:spacing w:line="276" w:lineRule="auto"/>
              <w:jc w:val="both"/>
              <w:rPr>
                <w:rFonts w:ascii="宋体" w:hAnsi="宋体" w:eastAsia="宋体"/>
                <w:szCs w:val="21"/>
              </w:rPr>
            </w:pPr>
            <w:r>
              <w:rPr>
                <w:rFonts w:hint="eastAsia" w:ascii="宋体" w:hAnsi="宋体" w:eastAsia="宋体"/>
                <w:szCs w:val="21"/>
              </w:rPr>
              <w:t>8、</w:t>
            </w:r>
            <w:r>
              <w:rPr>
                <w:rFonts w:ascii="宋体" w:hAnsi="宋体" w:eastAsia="宋体"/>
                <w:szCs w:val="21"/>
              </w:rPr>
              <w:t>温度监控：支持送风温度监控，回风温度监控，标配温度探测器，探测器标配线长不小于1.5米；</w:t>
            </w:r>
          </w:p>
          <w:p w14:paraId="603CB530">
            <w:pPr>
              <w:widowControl w:val="0"/>
              <w:spacing w:line="276" w:lineRule="auto"/>
              <w:jc w:val="both"/>
              <w:rPr>
                <w:rFonts w:ascii="宋体" w:hAnsi="宋体" w:eastAsia="宋体"/>
                <w:szCs w:val="21"/>
              </w:rPr>
            </w:pPr>
            <w:r>
              <w:rPr>
                <w:rFonts w:hint="eastAsia" w:ascii="宋体" w:hAnsi="宋体" w:eastAsia="宋体"/>
                <w:szCs w:val="21"/>
              </w:rPr>
              <w:t>9、</w:t>
            </w:r>
            <w:r>
              <w:rPr>
                <w:rFonts w:ascii="宋体" w:hAnsi="宋体" w:eastAsia="宋体"/>
                <w:szCs w:val="21"/>
              </w:rPr>
              <w:t>红外控制：标配1 路红外发射接口，载波频率38～42KHz，标配线长不小于1.5米；</w:t>
            </w:r>
          </w:p>
          <w:p w14:paraId="6D54261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通信接口：1路RS485 接口，标准MODBUS协议；</w:t>
            </w:r>
          </w:p>
          <w:p w14:paraId="6A7E2B7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来电启动：支持来电1分钟启动空调功能；</w:t>
            </w:r>
          </w:p>
          <w:p w14:paraId="28FDA9DE">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自动控制：可自动控制空调的开启时间、温度、模式设置，可离线单独工作。</w:t>
            </w:r>
          </w:p>
          <w:p w14:paraId="42E77434">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5A76024">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BB6361B">
            <w:pPr>
              <w:widowControl w:val="0"/>
              <w:spacing w:line="276" w:lineRule="auto"/>
              <w:jc w:val="center"/>
              <w:rPr>
                <w:rFonts w:ascii="宋体" w:hAnsi="宋体" w:eastAsia="宋体"/>
                <w:szCs w:val="21"/>
              </w:rPr>
            </w:pPr>
            <w:r>
              <w:rPr>
                <w:rFonts w:hint="eastAsia" w:ascii="宋体" w:hAnsi="宋体" w:eastAsia="宋体"/>
                <w:szCs w:val="21"/>
              </w:rPr>
              <w:t>套</w:t>
            </w:r>
          </w:p>
        </w:tc>
      </w:tr>
      <w:tr w14:paraId="4648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C19D94F">
            <w:pPr>
              <w:widowControl w:val="0"/>
              <w:spacing w:line="276" w:lineRule="auto"/>
              <w:jc w:val="both"/>
              <w:rPr>
                <w:rFonts w:ascii="宋体" w:hAnsi="宋体" w:eastAsia="宋体"/>
                <w:szCs w:val="21"/>
              </w:rPr>
            </w:pPr>
            <w:r>
              <w:rPr>
                <w:rFonts w:ascii="宋体" w:hAnsi="宋体" w:eastAsia="宋体"/>
                <w:szCs w:val="21"/>
              </w:rPr>
              <w:t>90</w:t>
            </w:r>
          </w:p>
        </w:tc>
        <w:tc>
          <w:tcPr>
            <w:tcW w:w="2001" w:type="dxa"/>
            <w:vAlign w:val="center"/>
          </w:tcPr>
          <w:p w14:paraId="069ADE4A">
            <w:pPr>
              <w:widowControl w:val="0"/>
              <w:spacing w:line="276" w:lineRule="auto"/>
              <w:jc w:val="both"/>
              <w:rPr>
                <w:rFonts w:ascii="宋体" w:hAnsi="宋体" w:eastAsia="宋体"/>
                <w:szCs w:val="21"/>
              </w:rPr>
            </w:pPr>
            <w:r>
              <w:rPr>
                <w:rFonts w:hint="eastAsia" w:ascii="宋体" w:hAnsi="宋体" w:eastAsia="宋体"/>
                <w:szCs w:val="21"/>
              </w:rPr>
              <w:t>门禁系统</w:t>
            </w:r>
          </w:p>
        </w:tc>
        <w:tc>
          <w:tcPr>
            <w:tcW w:w="4576" w:type="dxa"/>
            <w:vAlign w:val="center"/>
          </w:tcPr>
          <w:p w14:paraId="28412A87">
            <w:pPr>
              <w:widowControl w:val="0"/>
              <w:spacing w:line="276" w:lineRule="auto"/>
              <w:jc w:val="both"/>
              <w:rPr>
                <w:rFonts w:ascii="宋体" w:hAnsi="宋体" w:eastAsia="宋体"/>
                <w:szCs w:val="21"/>
              </w:rPr>
            </w:pPr>
            <w:r>
              <w:rPr>
                <w:rFonts w:hint="eastAsia" w:ascii="宋体" w:hAnsi="宋体" w:eastAsia="宋体"/>
                <w:szCs w:val="21"/>
              </w:rPr>
              <w:t>（1）门禁控制器技术要求</w:t>
            </w:r>
            <w:r>
              <w:rPr>
                <w:rFonts w:hint="eastAsia" w:ascii="宋体" w:hAnsi="宋体" w:eastAsia="宋体"/>
                <w:szCs w:val="21"/>
              </w:rPr>
              <w:br w:type="textWrapping"/>
            </w:r>
            <w:r>
              <w:rPr>
                <w:rFonts w:hint="eastAsia" w:ascii="宋体" w:hAnsi="宋体" w:eastAsia="宋体"/>
                <w:szCs w:val="21"/>
              </w:rPr>
              <w:t>1、管理门数：1。</w:t>
            </w:r>
            <w:r>
              <w:rPr>
                <w:rFonts w:hint="eastAsia" w:ascii="宋体" w:hAnsi="宋体" w:eastAsia="宋体"/>
                <w:szCs w:val="21"/>
              </w:rPr>
              <w:br w:type="textWrapping"/>
            </w:r>
            <w:r>
              <w:rPr>
                <w:rFonts w:hint="eastAsia" w:ascii="宋体" w:hAnsi="宋体" w:eastAsia="宋体"/>
                <w:szCs w:val="21"/>
              </w:rPr>
              <w:t>2、读卡器数量：2。</w:t>
            </w:r>
            <w:r>
              <w:rPr>
                <w:rFonts w:hint="eastAsia" w:ascii="宋体" w:hAnsi="宋体" w:eastAsia="宋体"/>
                <w:szCs w:val="21"/>
              </w:rPr>
              <w:br w:type="textWrapping"/>
            </w:r>
            <w:r>
              <w:rPr>
                <w:rFonts w:hint="eastAsia" w:ascii="宋体" w:hAnsi="宋体" w:eastAsia="宋体"/>
                <w:szCs w:val="21"/>
              </w:rPr>
              <w:t>3、输入格式：兼容主流读卡器和生物识别设备。</w:t>
            </w:r>
            <w:r>
              <w:rPr>
                <w:rFonts w:hint="eastAsia" w:ascii="宋体" w:hAnsi="宋体" w:eastAsia="宋体"/>
                <w:szCs w:val="21"/>
              </w:rPr>
              <w:br w:type="textWrapping"/>
            </w:r>
            <w:r>
              <w:rPr>
                <w:rFonts w:hint="eastAsia" w:ascii="宋体" w:hAnsi="宋体" w:eastAsia="宋体"/>
                <w:szCs w:val="21"/>
              </w:rPr>
              <w:t>4、存储注册卡（用户卡）：≥1 万。</w:t>
            </w:r>
            <w:r>
              <w:rPr>
                <w:rFonts w:hint="eastAsia" w:ascii="宋体" w:hAnsi="宋体" w:eastAsia="宋体"/>
                <w:szCs w:val="21"/>
              </w:rPr>
              <w:br w:type="textWrapping"/>
            </w:r>
            <w:r>
              <w:rPr>
                <w:rFonts w:hint="eastAsia" w:ascii="宋体" w:hAnsi="宋体" w:eastAsia="宋体"/>
                <w:szCs w:val="21"/>
              </w:rPr>
              <w:t>5、脱机存储记录数：10 万。</w:t>
            </w:r>
            <w:r>
              <w:rPr>
                <w:rFonts w:hint="eastAsia" w:ascii="宋体" w:hAnsi="宋体" w:eastAsia="宋体"/>
                <w:szCs w:val="21"/>
              </w:rPr>
              <w:br w:type="textWrapping"/>
            </w:r>
            <w:r>
              <w:rPr>
                <w:rFonts w:hint="eastAsia" w:ascii="宋体" w:hAnsi="宋体" w:eastAsia="宋体"/>
                <w:szCs w:val="21"/>
              </w:rPr>
              <w:t>6、通讯方式：TCP/IP。</w:t>
            </w:r>
            <w:r>
              <w:rPr>
                <w:rFonts w:hint="eastAsia" w:ascii="宋体" w:hAnsi="宋体" w:eastAsia="宋体"/>
                <w:szCs w:val="21"/>
              </w:rPr>
              <w:br w:type="textWrapping"/>
            </w:r>
            <w:r>
              <w:rPr>
                <w:rFonts w:hint="eastAsia" w:ascii="宋体" w:hAnsi="宋体" w:eastAsia="宋体"/>
                <w:szCs w:val="21"/>
              </w:rPr>
              <w:t>7、支持主流数据库</w:t>
            </w:r>
            <w:r>
              <w:rPr>
                <w:rFonts w:hint="eastAsia" w:ascii="宋体" w:hAnsi="宋体" w:eastAsia="宋体"/>
                <w:szCs w:val="21"/>
              </w:rPr>
              <w:br w:type="textWrapping"/>
            </w:r>
            <w:r>
              <w:rPr>
                <w:rFonts w:hint="eastAsia" w:ascii="宋体" w:hAnsi="宋体" w:eastAsia="宋体"/>
                <w:szCs w:val="21"/>
              </w:rPr>
              <w:t>8、支持的数据库：Access和SQL。</w:t>
            </w:r>
            <w:r>
              <w:rPr>
                <w:rFonts w:hint="eastAsia" w:ascii="宋体" w:hAnsi="宋体" w:eastAsia="宋体"/>
                <w:szCs w:val="21"/>
              </w:rPr>
              <w:br w:type="textWrapping"/>
            </w:r>
            <w:r>
              <w:rPr>
                <w:rFonts w:hint="eastAsia" w:ascii="宋体" w:hAnsi="宋体" w:eastAsia="宋体"/>
                <w:szCs w:val="21"/>
              </w:rPr>
              <w:t>9、电源输入：AC110V或AC220V。</w:t>
            </w:r>
            <w:r>
              <w:rPr>
                <w:rFonts w:hint="eastAsia" w:ascii="宋体" w:hAnsi="宋体" w:eastAsia="宋体"/>
                <w:szCs w:val="21"/>
              </w:rPr>
              <w:br w:type="textWrapping"/>
            </w:r>
            <w:r>
              <w:rPr>
                <w:rFonts w:hint="eastAsia" w:ascii="宋体" w:hAnsi="宋体" w:eastAsia="宋体"/>
                <w:szCs w:val="21"/>
              </w:rPr>
              <w:t>（2）读卡器技术要求：</w:t>
            </w:r>
            <w:r>
              <w:rPr>
                <w:rFonts w:hint="eastAsia" w:ascii="宋体" w:hAnsi="宋体" w:eastAsia="宋体"/>
                <w:szCs w:val="21"/>
              </w:rPr>
              <w:br w:type="textWrapping"/>
            </w:r>
            <w:r>
              <w:rPr>
                <w:rFonts w:hint="eastAsia" w:ascii="宋体" w:hAnsi="宋体" w:eastAsia="宋体"/>
                <w:szCs w:val="21"/>
              </w:rPr>
              <w:t>1、读卡距离：≥5cm。</w:t>
            </w:r>
            <w:r>
              <w:rPr>
                <w:rFonts w:hint="eastAsia" w:ascii="宋体" w:hAnsi="宋体" w:eastAsia="宋体"/>
                <w:szCs w:val="21"/>
              </w:rPr>
              <w:br w:type="textWrapping"/>
            </w:r>
            <w:r>
              <w:rPr>
                <w:rFonts w:hint="eastAsia" w:ascii="宋体" w:hAnsi="宋体" w:eastAsia="宋体"/>
                <w:szCs w:val="21"/>
              </w:rPr>
              <w:t>2、工作电压：6V—12V。</w:t>
            </w:r>
            <w:r>
              <w:rPr>
                <w:rFonts w:hint="eastAsia" w:ascii="宋体" w:hAnsi="宋体" w:eastAsia="宋体"/>
                <w:szCs w:val="21"/>
              </w:rPr>
              <w:br w:type="textWrapping"/>
            </w:r>
            <w:r>
              <w:rPr>
                <w:rFonts w:hint="eastAsia" w:ascii="宋体" w:hAnsi="宋体" w:eastAsia="宋体"/>
                <w:szCs w:val="21"/>
              </w:rPr>
              <w:t>3、感应时间：≤0.2S。</w:t>
            </w:r>
          </w:p>
          <w:p w14:paraId="0DA2E3D4">
            <w:pPr>
              <w:widowControl w:val="0"/>
              <w:spacing w:line="276" w:lineRule="auto"/>
              <w:jc w:val="both"/>
              <w:rPr>
                <w:rFonts w:hint="eastAsia" w:ascii="宋体" w:hAnsi="宋体" w:eastAsia="宋体"/>
                <w:szCs w:val="21"/>
              </w:rPr>
            </w:pPr>
            <w:r>
              <w:rPr>
                <w:rFonts w:hint="eastAsia" w:ascii="宋体" w:hAnsi="宋体" w:eastAsia="宋体"/>
                <w:szCs w:val="21"/>
              </w:rPr>
              <w:t>（3）单门磁力锁技术要求：</w:t>
            </w:r>
            <w:r>
              <w:rPr>
                <w:rFonts w:hint="eastAsia" w:ascii="宋体" w:hAnsi="宋体" w:eastAsia="宋体"/>
                <w:szCs w:val="21"/>
              </w:rPr>
              <w:br w:type="textWrapping"/>
            </w:r>
            <w:r>
              <w:rPr>
                <w:rFonts w:hint="eastAsia" w:ascii="宋体" w:hAnsi="宋体" w:eastAsia="宋体"/>
                <w:szCs w:val="21"/>
              </w:rPr>
              <w:t>1、最大拉力：≥280kg 直线拉力。</w:t>
            </w:r>
            <w:r>
              <w:rPr>
                <w:rFonts w:hint="eastAsia" w:ascii="宋体" w:hAnsi="宋体" w:eastAsia="宋体"/>
                <w:szCs w:val="21"/>
              </w:rPr>
              <w:br w:type="textWrapping"/>
            </w:r>
            <w:r>
              <w:rPr>
                <w:rFonts w:hint="eastAsia" w:ascii="宋体" w:hAnsi="宋体" w:eastAsia="宋体"/>
                <w:szCs w:val="21"/>
              </w:rPr>
              <w:t>2、输入电压：DC12V或DC24V。</w:t>
            </w:r>
            <w:r>
              <w:rPr>
                <w:rFonts w:hint="eastAsia" w:ascii="宋体" w:hAnsi="宋体" w:eastAsia="宋体"/>
                <w:szCs w:val="21"/>
              </w:rPr>
              <w:br w:type="textWrapping"/>
            </w:r>
            <w:r>
              <w:rPr>
                <w:rFonts w:hint="eastAsia" w:ascii="宋体" w:hAnsi="宋体" w:eastAsia="宋体"/>
                <w:szCs w:val="21"/>
              </w:rPr>
              <w:t>3、工作电流：12V/500mA×2，24V/250mA×2。</w:t>
            </w:r>
            <w:r>
              <w:rPr>
                <w:rFonts w:hint="eastAsia" w:ascii="宋体" w:hAnsi="宋体" w:eastAsia="宋体"/>
                <w:szCs w:val="21"/>
              </w:rPr>
              <w:br w:type="textWrapping"/>
            </w:r>
            <w:r>
              <w:rPr>
                <w:rFonts w:hint="eastAsia" w:ascii="宋体" w:hAnsi="宋体" w:eastAsia="宋体"/>
                <w:szCs w:val="21"/>
              </w:rPr>
              <w:t>4、信号输出：干接点输出，最大电流：≥3A。</w:t>
            </w:r>
            <w:r>
              <w:rPr>
                <w:rFonts w:hint="eastAsia" w:ascii="宋体" w:hAnsi="宋体" w:eastAsia="宋体"/>
                <w:szCs w:val="21"/>
              </w:rPr>
              <w:br w:type="textWrapping"/>
            </w:r>
            <w:r>
              <w:rPr>
                <w:rFonts w:hint="eastAsia" w:ascii="宋体" w:hAnsi="宋体" w:eastAsia="宋体"/>
                <w:szCs w:val="21"/>
              </w:rPr>
              <w:t>5、LED显示：红灯(开门状态)，绿灯(上锁状态)。</w:t>
            </w:r>
            <w:r>
              <w:rPr>
                <w:rFonts w:hint="eastAsia" w:ascii="宋体" w:hAnsi="宋体" w:eastAsia="宋体"/>
                <w:szCs w:val="21"/>
              </w:rPr>
              <w:br w:type="textWrapping"/>
            </w:r>
            <w:r>
              <w:rPr>
                <w:rFonts w:hint="eastAsia" w:ascii="宋体" w:hAnsi="宋体" w:eastAsia="宋体"/>
                <w:szCs w:val="21"/>
              </w:rPr>
              <w:t>（4）IC 卡片技术要求：</w:t>
            </w:r>
            <w:r>
              <w:rPr>
                <w:rFonts w:hint="eastAsia" w:ascii="宋体" w:hAnsi="宋体" w:eastAsia="宋体"/>
                <w:szCs w:val="21"/>
              </w:rPr>
              <w:br w:type="textWrapping"/>
            </w:r>
            <w:r>
              <w:rPr>
                <w:rFonts w:hint="eastAsia" w:ascii="宋体" w:hAnsi="宋体" w:eastAsia="宋体"/>
                <w:szCs w:val="21"/>
              </w:rPr>
              <w:t>mifareone 卡IC 白卡。</w:t>
            </w:r>
          </w:p>
          <w:p w14:paraId="7D6A29A2">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EA0AE8F">
            <w:pPr>
              <w:widowControl w:val="0"/>
              <w:spacing w:line="276" w:lineRule="auto"/>
              <w:jc w:val="both"/>
              <w:rPr>
                <w:rFonts w:ascii="宋体" w:hAnsi="宋体" w:eastAsia="宋体"/>
                <w:szCs w:val="21"/>
              </w:rPr>
            </w:pPr>
            <w:r>
              <w:rPr>
                <w:rFonts w:ascii="宋体" w:hAnsi="宋体" w:eastAsia="宋体"/>
                <w:szCs w:val="21"/>
              </w:rPr>
              <w:t>2</w:t>
            </w:r>
          </w:p>
        </w:tc>
        <w:tc>
          <w:tcPr>
            <w:tcW w:w="499" w:type="dxa"/>
            <w:vAlign w:val="center"/>
          </w:tcPr>
          <w:p w14:paraId="56AAB100">
            <w:pPr>
              <w:widowControl w:val="0"/>
              <w:spacing w:line="276" w:lineRule="auto"/>
              <w:jc w:val="both"/>
              <w:rPr>
                <w:rFonts w:ascii="宋体" w:hAnsi="宋体" w:eastAsia="宋体"/>
                <w:szCs w:val="21"/>
              </w:rPr>
            </w:pPr>
            <w:r>
              <w:rPr>
                <w:rFonts w:hint="eastAsia" w:ascii="宋体" w:hAnsi="宋体" w:eastAsia="宋体"/>
                <w:szCs w:val="21"/>
              </w:rPr>
              <w:t>套</w:t>
            </w:r>
          </w:p>
        </w:tc>
      </w:tr>
    </w:tbl>
    <w:p w14:paraId="40218413">
      <w:pPr>
        <w:spacing w:line="276" w:lineRule="auto"/>
      </w:pPr>
    </w:p>
    <w:p w14:paraId="7272BD26">
      <w:pPr>
        <w:pStyle w:val="4"/>
        <w:rPr>
          <w:rFonts w:hint="eastAsia"/>
          <w:lang w:val="en-US" w:eastAsia="zh-CN"/>
        </w:rPr>
      </w:pPr>
    </w:p>
    <w:p w14:paraId="2C118EDB">
      <w:pPr>
        <w:pStyle w:val="23"/>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Chars="0"/>
        <w:jc w:val="both"/>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2.</w:t>
      </w:r>
      <w:r>
        <w:rPr>
          <w:rFonts w:hint="eastAsia" w:ascii="宋体" w:hAnsi="宋体" w:eastAsia="宋体" w:cs="宋体"/>
          <w:spacing w:val="0"/>
          <w:w w:val="100"/>
          <w:sz w:val="24"/>
          <w:szCs w:val="24"/>
        </w:rPr>
        <w:t>核心产品</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本项目/包为非单一产品采购项目，核心产品为</w:t>
      </w:r>
      <w:r>
        <w:rPr>
          <w:rFonts w:hint="eastAsia" w:ascii="宋体" w:hAnsi="宋体" w:eastAsia="宋体" w:cs="宋体"/>
          <w:spacing w:val="0"/>
          <w:w w:val="100"/>
          <w:sz w:val="24"/>
          <w:szCs w:val="24"/>
          <w:lang w:eastAsia="zh-CN"/>
        </w:rPr>
        <w:t>：</w:t>
      </w:r>
      <w:bookmarkStart w:id="2" w:name="OLE_LINK2"/>
      <w:r>
        <w:rPr>
          <w:rFonts w:hint="eastAsia" w:ascii="宋体" w:hAnsi="宋体" w:eastAsia="宋体" w:cs="宋体"/>
          <w:b/>
          <w:bCs/>
          <w:spacing w:val="0"/>
          <w:w w:val="100"/>
          <w:sz w:val="24"/>
          <w:szCs w:val="24"/>
          <w:lang w:val="en-US" w:eastAsia="zh-CN"/>
        </w:rPr>
        <w:t>500万抓拍单元</w:t>
      </w:r>
      <w:bookmarkEnd w:id="2"/>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多家投标人提供的核心产品品牌相同且通过资格审查、符合性审查的，按一家投标人计算，评审后得分最高的同品牌投标人获得中标人推荐</w:t>
      </w:r>
      <w:r>
        <w:rPr>
          <w:rFonts w:hint="eastAsia" w:ascii="宋体" w:hAnsi="宋体" w:eastAsia="宋体" w:cs="宋体"/>
          <w:spacing w:val="0"/>
          <w:w w:val="100"/>
          <w:sz w:val="24"/>
          <w:szCs w:val="24"/>
          <w:lang w:eastAsia="zh-CN"/>
        </w:rPr>
        <w:t>。</w:t>
      </w:r>
    </w:p>
    <w:p w14:paraId="5B70CF9D">
      <w:pPr>
        <w:pStyle w:val="23"/>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w:t>
      </w:r>
      <w:r>
        <w:rPr>
          <w:rFonts w:hint="eastAsia" w:ascii="宋体" w:hAnsi="宋体" w:eastAsia="宋体" w:cs="宋体"/>
          <w:b/>
          <w:bCs/>
          <w:spacing w:val="0"/>
          <w:w w:val="100"/>
          <w:sz w:val="24"/>
          <w:szCs w:val="24"/>
          <w:lang w:val="en-US" w:eastAsia="zh-CN"/>
        </w:rPr>
        <w:t>加</w:t>
      </w: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项的处理方式：</w:t>
      </w:r>
      <w:r>
        <w:rPr>
          <w:rFonts w:hint="eastAsia" w:ascii="宋体" w:hAnsi="宋体" w:eastAsia="宋体" w:cs="宋体"/>
          <w:b/>
          <w:bCs/>
          <w:spacing w:val="0"/>
          <w:w w:val="100"/>
          <w:sz w:val="24"/>
          <w:szCs w:val="24"/>
        </w:rPr>
        <w:t>不允许</w:t>
      </w:r>
      <w:r>
        <w:rPr>
          <w:rFonts w:hint="eastAsia" w:ascii="宋体" w:hAnsi="宋体" w:eastAsia="宋体" w:cs="宋体"/>
          <w:b/>
          <w:bCs/>
          <w:spacing w:val="0"/>
          <w:w w:val="100"/>
          <w:sz w:val="24"/>
          <w:szCs w:val="24"/>
          <w:lang w:val="en-US" w:eastAsia="zh-CN"/>
        </w:rPr>
        <w:t>负</w:t>
      </w:r>
      <w:r>
        <w:rPr>
          <w:rFonts w:hint="eastAsia" w:ascii="宋体" w:hAnsi="宋体" w:eastAsia="宋体" w:cs="宋体"/>
          <w:b/>
          <w:bCs/>
          <w:spacing w:val="0"/>
          <w:w w:val="100"/>
          <w:sz w:val="24"/>
          <w:szCs w:val="24"/>
        </w:rPr>
        <w:t>偏离的实质性要求和条件。</w:t>
      </w:r>
    </w:p>
    <w:p w14:paraId="5442A3F7">
      <w:pPr>
        <w:pStyle w:val="23"/>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Chars="0"/>
        <w:jc w:val="both"/>
        <w:textAlignment w:val="baseline"/>
        <w:rPr>
          <w:rFonts w:hint="eastAsia" w:ascii="宋体" w:hAnsi="宋体" w:eastAsia="宋体" w:cs="宋体"/>
          <w:spacing w:val="0"/>
          <w:w w:val="100"/>
          <w:sz w:val="24"/>
          <w:szCs w:val="24"/>
        </w:rPr>
      </w:pPr>
    </w:p>
    <w:p w14:paraId="0FCABAE9">
      <w:pPr>
        <w:numPr>
          <w:ilvl w:val="0"/>
          <w:numId w:val="16"/>
        </w:numPr>
        <w:ind w:left="0" w:leftChars="0" w:firstLine="0" w:firstLineChars="0"/>
        <w:rPr>
          <w:rFonts w:hint="eastAsia" w:asciiTheme="minorEastAsia" w:hAnsiTheme="minorEastAsia" w:eastAsiaTheme="minorEastAsia" w:cstheme="minorEastAsia"/>
          <w:b/>
          <w:bCs/>
          <w:spacing w:val="0"/>
          <w:kern w:val="0"/>
          <w:position w:val="0"/>
          <w:sz w:val="36"/>
          <w:szCs w:val="36"/>
          <w:lang w:val="en-US" w:eastAsia="zh-CN"/>
        </w:rPr>
      </w:pPr>
      <w:r>
        <w:rPr>
          <w:rFonts w:hint="eastAsia" w:asciiTheme="minorEastAsia" w:hAnsiTheme="minorEastAsia" w:eastAsiaTheme="minorEastAsia" w:cstheme="minorEastAsia"/>
          <w:b/>
          <w:bCs/>
          <w:spacing w:val="0"/>
          <w:kern w:val="0"/>
          <w:position w:val="0"/>
          <w:sz w:val="36"/>
          <w:szCs w:val="36"/>
          <w:lang w:val="en-US" w:eastAsia="zh-CN"/>
        </w:rPr>
        <w:t>项目需要达到和满足的的技术文件</w:t>
      </w:r>
    </w:p>
    <w:p w14:paraId="4A57755F">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《公路工程技术标准》（JTGB01-2023）</w:t>
      </w:r>
    </w:p>
    <w:p w14:paraId="630725CD">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《信息安全技术网络安全等级保护基本要求》（GB/T22239-2019）</w:t>
      </w:r>
    </w:p>
    <w:p w14:paraId="4EDA5444">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《信息安全技术信息系统安全等级保护定级指南》（GB/T22240－2020）</w:t>
      </w:r>
    </w:p>
    <w:p w14:paraId="585FB07B">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《公共安全视频监控联网信息安全技术要求》（GB/T35114-2017）</w:t>
      </w:r>
    </w:p>
    <w:p w14:paraId="59FD599C">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《公共安全重点区域视频图像信息采集规范》（GB/T37300-2018）</w:t>
      </w:r>
    </w:p>
    <w:p w14:paraId="4D63EEE0">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《公共安全视频监控联网系统信息传输、交换、控制技术要求》（GB/T28181-2022）</w:t>
      </w:r>
    </w:p>
    <w:p w14:paraId="1FF5FF59">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《公路网图像信息管理系统平台互联技术规范》（GB/T28059-2023）</w:t>
      </w:r>
    </w:p>
    <w:p w14:paraId="32806A6C">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《信息技术安全技术信息安全风险管理》（GB/T31722-2015）</w:t>
      </w:r>
    </w:p>
    <w:p w14:paraId="54ADF67C">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中华人民共和国交通运输行业标准《公路交通情况调查设备第1部分:技术要求》（JT/T1008.1-2015）；</w:t>
      </w:r>
    </w:p>
    <w:p w14:paraId="3DBAF137">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中华人民共和国交通运输行业标准《公路交通情况调查设备第2部分:通信协议》（JT/T1008.2-2015）；</w:t>
      </w:r>
    </w:p>
    <w:p w14:paraId="6C8DB02F">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《安全防范视频监控联网系统信息传输、交换、控制技术要求》（GB/T28181）；</w:t>
      </w:r>
    </w:p>
    <w:p w14:paraId="1BBE8C38">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《民用闭路监视电视系统工程技术规范》（GB50198-2011）《交通运输视频图像文字信息标注规范第6部分：普通公路》(JT/T1389.6-2021）；</w:t>
      </w:r>
    </w:p>
    <w:p w14:paraId="51842EC1">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《国家综合交通运输信息平台视频资源编码与命名规范》（JT/T1532-2024）；</w:t>
      </w:r>
    </w:p>
    <w:p w14:paraId="2954792C">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《低压配电设计规范》（GB50054-2011）</w:t>
      </w:r>
    </w:p>
    <w:p w14:paraId="355A44B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《道路车辆智能监测记录系统通用技术条件》（GA/T497－2016）；</w:t>
      </w:r>
    </w:p>
    <w:p w14:paraId="16346F4D">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《机动车号牌图像自动识别技术规范》（GA/T833-2016）；</w:t>
      </w:r>
    </w:p>
    <w:p w14:paraId="6BA58BFD">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《供配电系统设计规范》（GB50052-2009）；</w:t>
      </w:r>
    </w:p>
    <w:p w14:paraId="1DE87DFE">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《建筑物防雷设计规范》（GB50057-2010）</w:t>
      </w:r>
    </w:p>
    <w:p w14:paraId="64E41371">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《ED道路交通诱导可变信息标志》（GA/T484-2018）</w:t>
      </w:r>
    </w:p>
    <w:p w14:paraId="04703EE8">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《电力工程电缆设计标准》（GB50217—2018）</w:t>
      </w:r>
    </w:p>
    <w:p w14:paraId="5673934F">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《公用计算机互联网工程设计规范》（YD/T5037-2005）</w:t>
      </w:r>
    </w:p>
    <w:p w14:paraId="19A4EB6D">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《通信电源设备安装工程设计规范》（GB51194-2016）</w:t>
      </w:r>
    </w:p>
    <w:p w14:paraId="18BF287A">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《电气装置安装工程接地装置施工及验收规范》（GB50169－2016）</w:t>
      </w:r>
    </w:p>
    <w:p w14:paraId="1628F442">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《电气装置安装工程低压电器施工及验收规范》（GB50254-2014）</w:t>
      </w:r>
    </w:p>
    <w:p w14:paraId="34C6A92B">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《计算机软件可靠性和可维护性管理》（GB/T14394-2008）</w:t>
      </w:r>
    </w:p>
    <w:p w14:paraId="4763DCFA">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《公路工程质量检验评定标准第一册土建工程》（JTGF80/1-2017）</w:t>
      </w:r>
    </w:p>
    <w:p w14:paraId="4F2D2D23">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《公路工程质量检验评定标准第二册机电工程》（JTG2182-2020）</w:t>
      </w:r>
    </w:p>
    <w:p w14:paraId="0AFAC15B">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《公路通信及电力管道设计规范》（JTG/T3383-01-2020）；</w:t>
      </w:r>
    </w:p>
    <w:p w14:paraId="777C3CE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《民用建筑电气设计标准》（GB51348-2019）；</w:t>
      </w:r>
    </w:p>
    <w:p w14:paraId="0332AC3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《安全防范工程技术标准》（GB50348-2018）；</w:t>
      </w:r>
    </w:p>
    <w:p w14:paraId="6866BBC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《汽车、挂车及汽车列车外廓尺寸、轴荷及质量限值》（GB1589-2016）；</w:t>
      </w:r>
    </w:p>
    <w:p w14:paraId="1654FF8A">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《河南省公路机电工程标准图集》（河南省交通运输厅发布2013年）；</w:t>
      </w:r>
    </w:p>
    <w:p w14:paraId="199727C1">
      <w:pPr>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rPr>
      </w:pPr>
      <w:r>
        <w:rPr>
          <w:rFonts w:hint="eastAsia" w:ascii="宋体" w:hAnsi="宋体" w:eastAsia="宋体" w:cs="宋体"/>
          <w:spacing w:val="0"/>
          <w:w w:val="100"/>
          <w:sz w:val="24"/>
          <w:szCs w:val="24"/>
        </w:rPr>
        <w:t>国家标准图集《电缆敷设》（D101-1-7）。</w:t>
      </w:r>
    </w:p>
    <w:p w14:paraId="27E48053">
      <w:pPr>
        <w:rPr>
          <w:rFonts w:hint="eastAsia" w:ascii="宋体" w:hAnsi="宋体" w:eastAsia="宋体" w:cs="宋体"/>
          <w:spacing w:val="0"/>
          <w:w w:val="100"/>
        </w:rPr>
      </w:pPr>
      <w:r>
        <w:rPr>
          <w:rFonts w:hint="eastAsia" w:ascii="宋体" w:hAnsi="宋体" w:eastAsia="宋体" w:cs="宋体"/>
          <w:spacing w:val="0"/>
          <w:w w:val="100"/>
          <w:sz w:val="24"/>
          <w:szCs w:val="24"/>
        </w:rPr>
        <w:br w:type="page"/>
      </w:r>
    </w:p>
    <w:p w14:paraId="25BC5DFC">
      <w:pPr>
        <w:numPr>
          <w:ilvl w:val="0"/>
          <w:numId w:val="16"/>
        </w:numPr>
        <w:ind w:left="0" w:leftChars="0" w:firstLine="0" w:firstLineChars="0"/>
        <w:rPr>
          <w:rFonts w:hint="eastAsia" w:asciiTheme="minorEastAsia" w:hAnsiTheme="minorEastAsia" w:eastAsiaTheme="minorEastAsia" w:cstheme="minorEastAsia"/>
          <w:b/>
          <w:bCs/>
          <w:spacing w:val="0"/>
          <w:kern w:val="0"/>
          <w:position w:val="0"/>
          <w:sz w:val="36"/>
          <w:szCs w:val="36"/>
          <w:lang w:val="en-US" w:eastAsia="zh-CN"/>
        </w:rPr>
      </w:pPr>
      <w:r>
        <w:rPr>
          <w:rFonts w:hint="eastAsia" w:asciiTheme="minorEastAsia" w:hAnsiTheme="minorEastAsia" w:eastAsiaTheme="minorEastAsia" w:cstheme="minorEastAsia"/>
          <w:b/>
          <w:bCs/>
          <w:spacing w:val="0"/>
          <w:kern w:val="0"/>
          <w:position w:val="0"/>
          <w:sz w:val="36"/>
          <w:szCs w:val="36"/>
          <w:lang w:val="en-US" w:eastAsia="zh-CN"/>
        </w:rPr>
        <w:t>商务条款</w:t>
      </w:r>
    </w:p>
    <w:p w14:paraId="42BEF5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3" w:name="_Toc15283"/>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总体要求</w:t>
      </w:r>
    </w:p>
    <w:p w14:paraId="157239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中标供应商</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保证所提供的所有产品（含硬件、软件及相关附件）均为原装正品、正版软件，完全符合招标文件的技术要求、配置及国家与行业相关标准。</w:t>
      </w:r>
      <w:r>
        <w:rPr>
          <w:rFonts w:hint="eastAsia" w:asciiTheme="minorEastAsia" w:hAnsiTheme="minorEastAsia" w:eastAsiaTheme="minorEastAsia" w:cstheme="minorEastAsia"/>
          <w:i w:val="0"/>
          <w:iCs w:val="0"/>
          <w:caps w:val="0"/>
          <w:color w:val="0F1115"/>
          <w:spacing w:val="0"/>
          <w:sz w:val="24"/>
          <w:szCs w:val="24"/>
          <w:shd w:val="clear" w:fill="FFFFFF"/>
        </w:rPr>
        <w:t>所有户外设备及安装组件需具备防雷、防水、防尘、宽温适应等特性，以满足公路复杂户外环境的长期稳定运行要求。</w:t>
      </w:r>
    </w:p>
    <w:p w14:paraId="042B03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本项目所采购的全部硬件设备、软件系统、平台、数据、定制开发源代码及所有项目成果的知识产权与所有权，均无条件归采购单位所有。中标供应商须在验收前提交完整的源代码及相关技术文档。</w:t>
      </w:r>
    </w:p>
    <w:p w14:paraId="5B59A3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中标供应商须保证所提供的产品及服务不侵犯任何第三方知识产权。若在本项目范围内出现任何版权或使用权纠纷，</w:t>
      </w:r>
      <w:r>
        <w:rPr>
          <w:rFonts w:hint="eastAsia" w:asciiTheme="minorEastAsia" w:hAnsiTheme="minorEastAsia" w:eastAsiaTheme="minorEastAsia" w:cstheme="minorEastAsia"/>
          <w:i w:val="0"/>
          <w:iCs w:val="0"/>
          <w:caps w:val="0"/>
          <w:color w:val="0F1115"/>
          <w:spacing w:val="0"/>
          <w:sz w:val="24"/>
          <w:szCs w:val="24"/>
          <w:shd w:val="clear" w:fill="FFFFFF"/>
        </w:rPr>
        <w:t>由中标供应商承担全部法律责任，并赔偿由此给采购单位造成的一切经济损失。</w:t>
      </w:r>
    </w:p>
    <w:p w14:paraId="151BDA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0F1115"/>
          <w:spacing w:val="0"/>
          <w:sz w:val="24"/>
          <w:szCs w:val="24"/>
          <w:shd w:val="clear" w:fill="FFFFFF"/>
        </w:rPr>
        <w:t>售后服务遵循国家相关规定与厂商标准中的较高者执行。本项目整体免费运维期自最终</w:t>
      </w:r>
      <w:r>
        <w:rPr>
          <w:rFonts w:hint="eastAsia" w:asciiTheme="minorEastAsia" w:hAnsiTheme="minorEastAsia" w:eastAsiaTheme="minorEastAsia" w:cstheme="minorEastAsia"/>
          <w:sz w:val="24"/>
          <w:szCs w:val="24"/>
        </w:rPr>
        <w:t>验收合格之日起计算，不得少于</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年。运维范围涵盖本项目所有硬件、软件及系统集成内容。</w:t>
      </w:r>
    </w:p>
    <w:p w14:paraId="4D63C76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人员配备与团队保障</w:t>
      </w:r>
    </w:p>
    <w:p w14:paraId="3D3CDD9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核心团队锁定：中标供应商应在投标文件中明确列示本项目的项目经理、技术负责人、软件架构师等核心成员，并承诺未经采购单位书面同意，在项目实施及运维期内不得随意更换。确需更换的，继任者资质与经验不得低于原投标承诺。</w:t>
      </w:r>
    </w:p>
    <w:p w14:paraId="4BCCD0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资质与经验：项目核心团队需持有与项目相关的专业资格证书（如系统集成项目管理工程师、系统架构设计师、CISP信息安全证书等），并提供有效的证书复印件及投标截止前近三个月的社保证明，确保“人证合一”。</w:t>
      </w:r>
    </w:p>
    <w:p w14:paraId="2B5E83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专业作业人员：为确保安装实施过程绝对安全，本项目所有涉及电工作业、高处作业等特种工序的人员，均</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持有应急管理部门颁发的有效特种作业操作证，持证上岗，并具备丰富的实践经验。</w:t>
      </w:r>
    </w:p>
    <w:p w14:paraId="7CD8E9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安装</w:t>
      </w:r>
      <w:r>
        <w:rPr>
          <w:rFonts w:hint="eastAsia" w:asciiTheme="minorEastAsia" w:hAnsiTheme="minorEastAsia" w:eastAsiaTheme="minorEastAsia" w:cstheme="minorEastAsia"/>
          <w:sz w:val="24"/>
          <w:szCs w:val="24"/>
          <w:lang w:eastAsia="zh-CN"/>
        </w:rPr>
        <w:t>实施</w:t>
      </w:r>
      <w:r>
        <w:rPr>
          <w:rFonts w:hint="eastAsia" w:asciiTheme="minorEastAsia" w:hAnsiTheme="minorEastAsia" w:eastAsiaTheme="minorEastAsia" w:cstheme="minorEastAsia"/>
          <w:sz w:val="24"/>
          <w:szCs w:val="24"/>
          <w:lang w:val="en-US" w:eastAsia="zh-CN"/>
        </w:rPr>
        <w:t>与</w:t>
      </w:r>
      <w:r>
        <w:rPr>
          <w:rFonts w:hint="eastAsia" w:asciiTheme="minorEastAsia" w:hAnsiTheme="minorEastAsia" w:eastAsiaTheme="minorEastAsia" w:cstheme="minorEastAsia"/>
          <w:sz w:val="24"/>
          <w:szCs w:val="24"/>
          <w:lang w:eastAsia="zh-CN"/>
        </w:rPr>
        <w:t>进度保障</w:t>
      </w:r>
    </w:p>
    <w:p w14:paraId="60E1BE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）中标供应商</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所有</w:t>
      </w:r>
      <w:r>
        <w:rPr>
          <w:rFonts w:hint="eastAsia" w:asciiTheme="minorEastAsia" w:hAnsiTheme="minorEastAsia" w:eastAsiaTheme="minorEastAsia" w:cstheme="minorEastAsia"/>
          <w:sz w:val="24"/>
          <w:szCs w:val="24"/>
        </w:rPr>
        <w:t>中标设备（软件和硬件）的安装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调试服务。安装实施须符合国家及交通运输行业最新技术规范与标准。所有软硬件必须同步安装部署到位，确保系统一次集成成功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调试费用已包含在投标总价中。</w:t>
      </w:r>
    </w:p>
    <w:p w14:paraId="1FD62D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安装地点由</w:t>
      </w:r>
      <w:r>
        <w:rPr>
          <w:rFonts w:hint="eastAsia" w:asciiTheme="minorEastAsia" w:hAnsiTheme="minorEastAsia" w:eastAsiaTheme="minorEastAsia" w:cstheme="minorEastAsia"/>
          <w:sz w:val="24"/>
          <w:szCs w:val="24"/>
          <w:lang w:eastAsia="zh-CN"/>
        </w:rPr>
        <w:t>采购单</w:t>
      </w:r>
      <w:r>
        <w:rPr>
          <w:rFonts w:hint="eastAsia" w:asciiTheme="minorEastAsia" w:hAnsiTheme="minorEastAsia" w:eastAsiaTheme="minorEastAsia" w:cstheme="minorEastAsia"/>
          <w:sz w:val="24"/>
          <w:szCs w:val="24"/>
          <w:lang w:val="en-US" w:eastAsia="zh-CN"/>
        </w:rPr>
        <w:t>位指定。中标供应商应在投标文件中提供详细的《安装实施计划》，内容应包括：项目实施总体流程、人员调度计划、对安装场地、环境、电力、网络的基础要求清单、以及针对可能影响工期的风险的应对预案。</w:t>
      </w:r>
    </w:p>
    <w:p w14:paraId="091002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3）中标供应商在签订合同后，须严格按照合同约定的绝对工期或关键节点</w:t>
      </w:r>
      <w:r>
        <w:rPr>
          <w:rFonts w:hint="eastAsia" w:asciiTheme="minorEastAsia" w:hAnsiTheme="minorEastAsia" w:eastAsiaTheme="minorEastAsia" w:cstheme="minorEastAsia"/>
          <w:sz w:val="24"/>
          <w:szCs w:val="24"/>
        </w:rPr>
        <w:t>要求，完成</w:t>
      </w:r>
      <w:r>
        <w:rPr>
          <w:rFonts w:hint="eastAsia" w:asciiTheme="minorEastAsia" w:hAnsiTheme="minorEastAsia" w:eastAsiaTheme="minorEastAsia" w:cstheme="minorEastAsia"/>
          <w:sz w:val="24"/>
          <w:szCs w:val="24"/>
          <w:lang w:val="en-US" w:eastAsia="zh-CN"/>
        </w:rPr>
        <w:t>全部建设内容并交</w:t>
      </w:r>
      <w:r>
        <w:rPr>
          <w:rFonts w:hint="eastAsia" w:asciiTheme="minorEastAsia" w:hAnsiTheme="minorEastAsia" w:eastAsiaTheme="minorEastAsia" w:cstheme="minorEastAsia"/>
          <w:b w:val="0"/>
          <w:bCs w:val="0"/>
          <w:sz w:val="24"/>
          <w:szCs w:val="24"/>
          <w:lang w:val="en-US" w:eastAsia="zh-CN"/>
        </w:rPr>
        <w:t>付验收</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i w:val="0"/>
          <w:iCs w:val="0"/>
          <w:caps w:val="0"/>
          <w:color w:val="0F1115"/>
          <w:spacing w:val="0"/>
          <w:sz w:val="24"/>
          <w:szCs w:val="24"/>
          <w:shd w:val="clear" w:fill="FFFFFF"/>
        </w:rPr>
        <w:t>如因中标供应商原因导致工期延误，每逾期一日，中标供应商应向采购单位支付合同总价款</w:t>
      </w:r>
      <w:r>
        <w:rPr>
          <w:rStyle w:val="19"/>
          <w:rFonts w:hint="eastAsia" w:asciiTheme="minorEastAsia" w:hAnsiTheme="minorEastAsia" w:eastAsiaTheme="minorEastAsia" w:cstheme="minorEastAsia"/>
          <w:b w:val="0"/>
          <w:bCs w:val="0"/>
          <w:i w:val="0"/>
          <w:iCs w:val="0"/>
          <w:caps w:val="0"/>
          <w:color w:val="0F1115"/>
          <w:spacing w:val="0"/>
          <w:sz w:val="24"/>
          <w:szCs w:val="24"/>
          <w:shd w:val="clear" w:fill="FFFFFF"/>
        </w:rPr>
        <w:t>千分之一</w:t>
      </w:r>
      <w:r>
        <w:rPr>
          <w:rFonts w:hint="eastAsia" w:asciiTheme="minorEastAsia" w:hAnsiTheme="minorEastAsia" w:eastAsiaTheme="minorEastAsia" w:cstheme="minorEastAsia"/>
          <w:b w:val="0"/>
          <w:bCs w:val="0"/>
          <w:i w:val="0"/>
          <w:iCs w:val="0"/>
          <w:caps w:val="0"/>
          <w:color w:val="0F1115"/>
          <w:spacing w:val="0"/>
          <w:sz w:val="24"/>
          <w:szCs w:val="24"/>
          <w:shd w:val="clear" w:fill="FFFFFF"/>
        </w:rPr>
        <w:t>的违约金，该项违约金总额不超过合同总价款的</w:t>
      </w:r>
      <w:r>
        <w:rPr>
          <w:rStyle w:val="19"/>
          <w:rFonts w:hint="eastAsia" w:asciiTheme="minorEastAsia" w:hAnsiTheme="minorEastAsia" w:eastAsiaTheme="minorEastAsia" w:cstheme="minorEastAsia"/>
          <w:b w:val="0"/>
          <w:bCs w:val="0"/>
          <w:i w:val="0"/>
          <w:iCs w:val="0"/>
          <w:caps w:val="0"/>
          <w:color w:val="0F1115"/>
          <w:spacing w:val="0"/>
          <w:sz w:val="24"/>
          <w:szCs w:val="24"/>
          <w:shd w:val="clear" w:fill="FFFFFF"/>
        </w:rPr>
        <w:t>百分之十</w:t>
      </w:r>
      <w:r>
        <w:rPr>
          <w:rFonts w:hint="eastAsia" w:asciiTheme="minorEastAsia" w:hAnsiTheme="minorEastAsia" w:eastAsiaTheme="minorEastAsia" w:cstheme="minorEastAsia"/>
          <w:b w:val="0"/>
          <w:bCs w:val="0"/>
          <w:i w:val="0"/>
          <w:iCs w:val="0"/>
          <w:caps w:val="0"/>
          <w:color w:val="0F1115"/>
          <w:spacing w:val="0"/>
          <w:sz w:val="24"/>
          <w:szCs w:val="24"/>
          <w:shd w:val="clear" w:fill="FFFFFF"/>
        </w:rPr>
        <w:t>。逾期超过</w:t>
      </w:r>
      <w:r>
        <w:rPr>
          <w:rStyle w:val="19"/>
          <w:rFonts w:hint="eastAsia" w:asciiTheme="minorEastAsia" w:hAnsiTheme="minorEastAsia" w:eastAsiaTheme="minorEastAsia" w:cstheme="minorEastAsia"/>
          <w:b w:val="0"/>
          <w:bCs w:val="0"/>
          <w:i w:val="0"/>
          <w:iCs w:val="0"/>
          <w:caps w:val="0"/>
          <w:color w:val="0F1115"/>
          <w:spacing w:val="0"/>
          <w:sz w:val="24"/>
          <w:szCs w:val="24"/>
          <w:shd w:val="clear" w:fill="FFFFFF"/>
        </w:rPr>
        <w:t>15个日历日</w:t>
      </w:r>
      <w:r>
        <w:rPr>
          <w:rFonts w:hint="eastAsia" w:asciiTheme="minorEastAsia" w:hAnsiTheme="minorEastAsia" w:eastAsiaTheme="minorEastAsia" w:cstheme="minorEastAsia"/>
          <w:b w:val="0"/>
          <w:bCs w:val="0"/>
          <w:i w:val="0"/>
          <w:iCs w:val="0"/>
          <w:caps w:val="0"/>
          <w:color w:val="0F1115"/>
          <w:spacing w:val="0"/>
          <w:sz w:val="24"/>
          <w:szCs w:val="24"/>
          <w:shd w:val="clear" w:fill="FFFFFF"/>
        </w:rPr>
        <w:t>，经采购单位书面催告后仍未能履行的，采购单位有权单方解除合同，中标供应商</w:t>
      </w:r>
      <w:r>
        <w:rPr>
          <w:rFonts w:hint="eastAsia" w:asciiTheme="minorEastAsia" w:hAnsiTheme="minorEastAsia" w:eastAsiaTheme="minorEastAsia" w:cstheme="minorEastAsia"/>
          <w:i w:val="0"/>
          <w:iCs w:val="0"/>
          <w:caps w:val="0"/>
          <w:color w:val="0F1115"/>
          <w:spacing w:val="0"/>
          <w:sz w:val="24"/>
          <w:szCs w:val="24"/>
          <w:shd w:val="clear" w:fill="FFFFFF"/>
        </w:rPr>
        <w:t>须承担由此造成的一切损失。</w:t>
      </w:r>
    </w:p>
    <w:p w14:paraId="15A79F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中标供应商必须制定详尽的《施工组织与交通安全保障方案》，针对电工作业、高处作业等高风险环节，执行专项安全管理制度与应急预案，确保人员、设备与现场环境的安全。</w:t>
      </w:r>
    </w:p>
    <w:p w14:paraId="428B8D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4.报价</w:t>
      </w:r>
    </w:p>
    <w:p w14:paraId="26DA7A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中标供应商的报价应包括为完成本项目所发生的一切费用和税费，采购人将不再支付报价以外的任何费用。中标供应商的报价应包括但不限于下列内容，招标文件中有特殊规定的，从其规定。</w:t>
      </w:r>
    </w:p>
    <w:p w14:paraId="047752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投标货物及标准附件、备品备件、专用工具等的出厂价和运至最终目的地的运输费和保险费，安装调试、检验、技术服务、培训、质量保证、售后服务、税费等；报价时应详细列出所投产品的生产厂商、品牌、型号、单价、数量、总价等。</w:t>
      </w:r>
    </w:p>
    <w:p w14:paraId="77F5172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在项目实施过程中可能发生的其它费用（如：增加耗材、增加设备、材料涨价、人工、运输成本增加等因素）。</w:t>
      </w:r>
    </w:p>
    <w:p w14:paraId="51FE1E5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第三方软件费用，包括但不限于软件产品费用、专利费用、授权费用等。</w:t>
      </w:r>
    </w:p>
    <w:p w14:paraId="43262B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.验收标准</w:t>
      </w:r>
    </w:p>
    <w:p w14:paraId="2E0445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1）系统</w:t>
      </w:r>
      <w:r>
        <w:rPr>
          <w:rFonts w:hint="eastAsia" w:asciiTheme="minorEastAsia" w:hAnsiTheme="minorEastAsia" w:eastAsiaTheme="minorEastAsia" w:cstheme="minorEastAsia"/>
          <w:sz w:val="24"/>
          <w:szCs w:val="24"/>
          <w:lang w:eastAsia="zh-CN"/>
        </w:rPr>
        <w:t>（设备）</w:t>
      </w:r>
      <w:r>
        <w:rPr>
          <w:rFonts w:hint="eastAsia" w:asciiTheme="minorEastAsia" w:hAnsiTheme="minorEastAsia" w:eastAsiaTheme="minorEastAsia" w:cstheme="minorEastAsia"/>
          <w:sz w:val="24"/>
          <w:szCs w:val="24"/>
        </w:rPr>
        <w:t>验收将依据合同、招标文件技术要求、投标文件承诺及国家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行业相关标准进</w:t>
      </w:r>
      <w:r>
        <w:rPr>
          <w:rFonts w:hint="eastAsia" w:asciiTheme="minorEastAsia" w:hAnsiTheme="minorEastAsia" w:eastAsiaTheme="minorEastAsia" w:cstheme="minorEastAsia"/>
          <w:sz w:val="24"/>
          <w:szCs w:val="24"/>
          <w:lang w:val="en-US" w:eastAsia="zh-CN"/>
        </w:rPr>
        <w:t>行。验收分为到货验收、初步验收、试运行验收（不少于1个月）和最终验收四个阶段。中标供应商应提供设备厂家的出厂检验报告、合格证明及由具备资质的第三方测评机构出具的《系统测试报告》。</w:t>
      </w:r>
    </w:p>
    <w:p w14:paraId="73BCF1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i w:val="0"/>
          <w:iCs w:val="0"/>
          <w:caps w:val="0"/>
          <w:color w:val="0F1115"/>
          <w:spacing w:val="0"/>
          <w:sz w:val="24"/>
          <w:szCs w:val="24"/>
          <w:shd w:val="clear" w:fill="FFFFFF"/>
        </w:rPr>
        <w:t>验收任何阶段中发现设备或系统性能达不到验收标准或合同规定的技术指标，</w:t>
      </w:r>
      <w:r>
        <w:rPr>
          <w:rFonts w:hint="eastAsia" w:asciiTheme="minorEastAsia" w:hAnsiTheme="minorEastAsia" w:eastAsiaTheme="minorEastAsia" w:cstheme="minorEastAsia"/>
          <w:sz w:val="24"/>
          <w:szCs w:val="24"/>
        </w:rPr>
        <w:t>中标供应商必须立即无条件整改、更换设备或修正系统，直到验收合格为止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并承担由此产生的一切费用及给采购单位造成的损失。</w:t>
      </w:r>
    </w:p>
    <w:p w14:paraId="1DC188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在项目交工（初步）验收前，须完成合同规定的建设内容，试运行结束，测试合格，完成项目自评估，且按照有关技术规范及数据接入要求将数据接入省综合交通大数据中心，并通过省交通运输厅组织的数据接入测试。</w:t>
      </w:r>
    </w:p>
    <w:p w14:paraId="39CD04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4）中标供应商须负责完成本项目所述信息系统的网络安全等级保护测评工作，并取得公安机关颁发的《信息系统安全等级保护备案证明》及测评机构出具的《网络安全等级保护测评报告》，</w:t>
      </w:r>
      <w:r>
        <w:rPr>
          <w:rFonts w:hint="eastAsia" w:asciiTheme="minorEastAsia" w:hAnsiTheme="minorEastAsia" w:eastAsiaTheme="minorEastAsia" w:cstheme="minorEastAsia"/>
          <w:sz w:val="24"/>
          <w:szCs w:val="24"/>
          <w:lang w:eastAsia="zh-CN"/>
        </w:rPr>
        <w:t>且测评结果结论为“基本符合”或以上。此项工作是</w:t>
      </w:r>
      <w:r>
        <w:rPr>
          <w:rFonts w:hint="eastAsia" w:asciiTheme="minorEastAsia" w:hAnsiTheme="minorEastAsia" w:eastAsiaTheme="minorEastAsia" w:cstheme="minorEastAsia"/>
          <w:sz w:val="24"/>
          <w:szCs w:val="24"/>
          <w:lang w:val="en-US" w:eastAsia="zh-CN"/>
        </w:rPr>
        <w:t>项目通过最终验收的必要前提。</w:t>
      </w:r>
    </w:p>
    <w:p w14:paraId="298F27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5）所有验收费用（包括但不限于第三方检测费、测评费）均由中标供应商承担。</w:t>
      </w:r>
    </w:p>
    <w:p w14:paraId="0CC3C8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6.付款方式：合同签订后支付合同金额的不少于50%；剩余尾款在项目验收合格后一年内进行支付。</w:t>
      </w:r>
    </w:p>
    <w:p w14:paraId="70DD315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售后服务、运维</w:t>
      </w:r>
    </w:p>
    <w:p w14:paraId="6B493C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aps w:val="0"/>
          <w:color w:val="0F1115"/>
          <w:spacing w:val="0"/>
          <w:sz w:val="24"/>
          <w:szCs w:val="24"/>
          <w:shd w:val="clear" w:fill="FFFFFF"/>
        </w:rPr>
        <w:t>中标供应商应保证对整个项目系统（含所有硬件、软件及集成部分）提供自最终验收合格之日起</w:t>
      </w:r>
      <w:r>
        <w:rPr>
          <w:rFonts w:hint="eastAsia" w:asciiTheme="minorEastAsia" w:hAnsiTheme="minorEastAsia" w:eastAsiaTheme="minorEastAsia" w:cstheme="minorEastAsia"/>
          <w:sz w:val="24"/>
          <w:szCs w:val="24"/>
        </w:rPr>
        <w:t>至少</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年的免费运维期。</w:t>
      </w:r>
    </w:p>
    <w:p w14:paraId="573B4C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2）服务响应：</w:t>
      </w:r>
      <w:r>
        <w:rPr>
          <w:rFonts w:hint="eastAsia" w:asciiTheme="minorEastAsia" w:hAnsiTheme="minorEastAsia" w:eastAsiaTheme="minorEastAsia" w:cstheme="minorEastAsia"/>
          <w:sz w:val="24"/>
          <w:szCs w:val="24"/>
        </w:rPr>
        <w:t>提供7×24小时技术支持服务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接到故障通知后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小时内响应，4小时内提供解决方案并解决一般性故障。对于导致系统主要功能瘫痪、数据中断、核心设备离线等严重故障，技术支持人员必须在2小时内抵达现场，并需在12小时内修复；问题解决后24小时内，提交问题处理报告，说明问题种类、问题原因、问题解决中使用的方法及造成的损失等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对于重大疑难故障，应提供应急备用方案以确保业务不中断。</w:t>
      </w:r>
    </w:p>
    <w:p w14:paraId="6227F8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i w:val="0"/>
          <w:iCs w:val="0"/>
          <w:caps w:val="0"/>
          <w:color w:val="0F1115"/>
          <w:spacing w:val="0"/>
          <w:sz w:val="24"/>
          <w:szCs w:val="24"/>
          <w:shd w:val="clear" w:fill="FFFFFF"/>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无推诿承诺：</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供应商须出具书面《无推诿承诺书》。</w:t>
      </w:r>
      <w:r>
        <w:rPr>
          <w:rFonts w:hint="eastAsia" w:asciiTheme="minorEastAsia" w:hAnsiTheme="minorEastAsia" w:eastAsiaTheme="minorEastAsia" w:cstheme="minorEastAsia"/>
          <w:i w:val="0"/>
          <w:iCs w:val="0"/>
          <w:caps w:val="0"/>
          <w:color w:val="0F1115"/>
          <w:spacing w:val="0"/>
          <w:sz w:val="24"/>
          <w:szCs w:val="24"/>
          <w:shd w:val="clear" w:fill="FFFFFF"/>
        </w:rPr>
        <w:t>承诺无论故障</w:t>
      </w:r>
      <w:r>
        <w:rPr>
          <w:rFonts w:hint="eastAsia" w:asciiTheme="minorEastAsia" w:hAnsiTheme="minorEastAsia" w:eastAsiaTheme="minorEastAsia" w:cstheme="minorEastAsia"/>
          <w:b w:val="0"/>
          <w:bCs w:val="0"/>
          <w:i w:val="0"/>
          <w:iCs w:val="0"/>
          <w:caps w:val="0"/>
          <w:color w:val="0F1115"/>
          <w:spacing w:val="0"/>
          <w:sz w:val="24"/>
          <w:szCs w:val="24"/>
          <w:shd w:val="clear" w:fill="FFFFFF"/>
        </w:rPr>
        <w:t>初步判断为何方责任，只要接到采购单位通知，必须先行响应并派员处理，全力协同其他单位恢复系统，不得以任何理由推诿、拖延。</w:t>
      </w:r>
    </w:p>
    <w:p w14:paraId="3D0D0B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i w:val="0"/>
          <w:iCs w:val="0"/>
          <w:caps w:val="0"/>
          <w:color w:val="0F1115"/>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0F1115"/>
          <w:spacing w:val="0"/>
          <w:sz w:val="24"/>
          <w:szCs w:val="24"/>
          <w:shd w:val="clear" w:fill="FFFFFF"/>
        </w:rPr>
        <w:t>）故障率与罚则</w:t>
      </w:r>
      <w:r>
        <w:rPr>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0F1115"/>
          <w:spacing w:val="0"/>
          <w:sz w:val="24"/>
          <w:szCs w:val="24"/>
          <w:shd w:val="clear" w:fill="FFFFFF"/>
          <w:lang w:val="en-US" w:eastAsia="zh-CN"/>
        </w:rPr>
        <w:t>运维</w:t>
      </w:r>
      <w:r>
        <w:rPr>
          <w:rFonts w:hint="eastAsia" w:asciiTheme="minorEastAsia" w:hAnsiTheme="minorEastAsia" w:eastAsiaTheme="minorEastAsia" w:cstheme="minorEastAsia"/>
          <w:b w:val="0"/>
          <w:bCs w:val="0"/>
          <w:sz w:val="24"/>
          <w:szCs w:val="24"/>
          <w:lang w:val="en-US" w:eastAsia="zh-CN"/>
        </w:rPr>
        <w:t>期</w:t>
      </w:r>
      <w:r>
        <w:rPr>
          <w:rFonts w:hint="eastAsia" w:asciiTheme="minorEastAsia" w:hAnsiTheme="minorEastAsia" w:eastAsiaTheme="minorEastAsia" w:cstheme="minorEastAsia"/>
          <w:b w:val="0"/>
          <w:bCs w:val="0"/>
          <w:sz w:val="24"/>
          <w:szCs w:val="24"/>
        </w:rPr>
        <w:t>内</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因系统</w:t>
      </w:r>
      <w:r>
        <w:rPr>
          <w:rFonts w:hint="eastAsia" w:asciiTheme="minorEastAsia" w:hAnsiTheme="minorEastAsia" w:eastAsiaTheme="minorEastAsia" w:cstheme="minorEastAsia"/>
          <w:b w:val="0"/>
          <w:bCs w:val="0"/>
          <w:sz w:val="24"/>
          <w:szCs w:val="24"/>
          <w:lang w:eastAsia="zh-CN"/>
        </w:rPr>
        <w:t>（设备）</w:t>
      </w:r>
      <w:r>
        <w:rPr>
          <w:rFonts w:hint="eastAsia" w:asciiTheme="minorEastAsia" w:hAnsiTheme="minorEastAsia" w:eastAsiaTheme="minorEastAsia" w:cstheme="minorEastAsia"/>
          <w:b w:val="0"/>
          <w:bCs w:val="0"/>
          <w:sz w:val="24"/>
          <w:szCs w:val="24"/>
        </w:rPr>
        <w:t>本身缺陷导致的累计故障时</w:t>
      </w:r>
      <w:r>
        <w:rPr>
          <w:rFonts w:hint="eastAsia" w:asciiTheme="minorEastAsia" w:hAnsiTheme="minorEastAsia" w:eastAsiaTheme="minorEastAsia" w:cstheme="minorEastAsia"/>
          <w:sz w:val="24"/>
          <w:szCs w:val="24"/>
          <w:lang w:val="en-US" w:eastAsia="zh-CN"/>
        </w:rPr>
        <w:t>间不得超过5天。每超过一天，本项目免费运维期在原有基础上自动延长10天。</w:t>
      </w:r>
    </w:p>
    <w:p w14:paraId="0BC8A3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5）免费升级与服务：运维期内，中标供应商须免费提供系统漏洞修复、安全补丁更新，以及为满足采购单位新增业务需求而进行的适应性升级服务。为此，中标供应商应提供承诺书。  </w:t>
      </w:r>
      <w:r>
        <w:rPr>
          <w:rFonts w:hint="eastAsia" w:asciiTheme="minorEastAsia" w:hAnsiTheme="minorEastAsia" w:eastAsiaTheme="minorEastAsia" w:cstheme="minorEastAsia"/>
          <w:sz w:val="24"/>
          <w:szCs w:val="24"/>
        </w:rPr>
        <w:t xml:space="preserve">                                           </w:t>
      </w:r>
    </w:p>
    <w:p w14:paraId="5158F6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培训</w:t>
      </w:r>
    </w:p>
    <w:p w14:paraId="74EDAD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1）中标供应商须提供分层次、多形式的培训，包括集中课堂培训、现场实操培训。中标供应商必须列明详细的培训课程清单。</w:t>
      </w:r>
    </w:p>
    <w:p w14:paraId="5CBD36C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培训内容须涵盖</w:t>
      </w:r>
      <w:r>
        <w:rPr>
          <w:rFonts w:hint="eastAsia" w:asciiTheme="minorEastAsia" w:hAnsiTheme="minorEastAsia" w:eastAsiaTheme="minorEastAsia" w:cstheme="minorEastAsia"/>
          <w:sz w:val="24"/>
          <w:szCs w:val="24"/>
          <w:lang w:eastAsia="zh-CN"/>
        </w:rPr>
        <w:t>系统（设备）</w:t>
      </w:r>
      <w:r>
        <w:rPr>
          <w:rFonts w:hint="eastAsia" w:asciiTheme="minorEastAsia" w:hAnsiTheme="minorEastAsia" w:eastAsiaTheme="minorEastAsia" w:cstheme="minorEastAsia"/>
          <w:sz w:val="24"/>
          <w:szCs w:val="24"/>
        </w:rPr>
        <w:t>原理</w:t>
      </w:r>
      <w:r>
        <w:rPr>
          <w:rFonts w:hint="eastAsia" w:asciiTheme="minorEastAsia" w:hAnsiTheme="minorEastAsia" w:eastAsiaTheme="minorEastAsia" w:cstheme="minorEastAsia"/>
          <w:sz w:val="24"/>
          <w:szCs w:val="24"/>
          <w:lang w:eastAsia="zh-CN"/>
        </w:rPr>
        <w:t>、日常</w:t>
      </w:r>
      <w:r>
        <w:rPr>
          <w:rFonts w:hint="eastAsia" w:asciiTheme="minorEastAsia" w:hAnsiTheme="minorEastAsia" w:eastAsiaTheme="minorEastAsia" w:cstheme="minorEastAsia"/>
          <w:sz w:val="24"/>
          <w:szCs w:val="24"/>
        </w:rPr>
        <w:t>操作、深度管理维护、常见故障诊断与</w:t>
      </w:r>
      <w:r>
        <w:rPr>
          <w:rFonts w:hint="eastAsia" w:asciiTheme="minorEastAsia" w:hAnsiTheme="minorEastAsia" w:eastAsiaTheme="minorEastAsia" w:cstheme="minorEastAsia"/>
          <w:b w:val="0"/>
          <w:bCs w:val="0"/>
          <w:sz w:val="24"/>
          <w:szCs w:val="24"/>
          <w:lang w:val="en-US" w:eastAsia="zh-CN"/>
        </w:rPr>
        <w:t>应急处理、以及数据备份与恢复流程等。中标供应商</w:t>
      </w:r>
      <w:r>
        <w:rPr>
          <w:rFonts w:hint="eastAsia" w:asciiTheme="minorEastAsia" w:hAnsiTheme="minorEastAsia" w:eastAsiaTheme="minorEastAsia" w:cstheme="minorEastAsia"/>
          <w:sz w:val="24"/>
          <w:szCs w:val="24"/>
        </w:rPr>
        <w:t>培训人员必须是公司的资深工程师。</w:t>
      </w:r>
    </w:p>
    <w:p w14:paraId="3BA65E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3）投标文件中需提供详尽的培训计划与课程大纲，包括每门课程的教学目标、内容、时长、教材等。所有培训费用（含定制化教材、讲义、实验环境搭建等）均已包含在投标总价中。</w:t>
      </w:r>
    </w:p>
    <w:p w14:paraId="300C4C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）培训工作必须在合同生效之后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系统正式试运行</w:t>
      </w:r>
      <w:r>
        <w:rPr>
          <w:rFonts w:hint="eastAsia" w:asciiTheme="minorEastAsia" w:hAnsiTheme="minorEastAsia" w:eastAsiaTheme="minorEastAsia" w:cstheme="minorEastAsia"/>
          <w:sz w:val="24"/>
          <w:szCs w:val="24"/>
          <w:lang w:eastAsia="zh-CN"/>
        </w:rPr>
        <w:t>开始</w:t>
      </w:r>
      <w:r>
        <w:rPr>
          <w:rFonts w:hint="eastAsia" w:asciiTheme="minorEastAsia" w:hAnsiTheme="minorEastAsia" w:eastAsiaTheme="minorEastAsia" w:cstheme="minorEastAsia"/>
          <w:sz w:val="24"/>
          <w:szCs w:val="24"/>
        </w:rPr>
        <w:t>前完成。</w:t>
      </w:r>
    </w:p>
    <w:p w14:paraId="38F656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）实际培训时间、人数和地点由中标供应商与采购单位协商确定。</w:t>
      </w:r>
    </w:p>
    <w:p w14:paraId="097434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9.关于强制节能产品的要求。</w:t>
      </w:r>
    </w:p>
    <w:p w14:paraId="426F33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（1）强制采购的节能产品: </w:t>
      </w:r>
      <w:r>
        <w:rPr>
          <w:rFonts w:hint="eastAsia" w:asciiTheme="minorEastAsia" w:hAnsiTheme="minorEastAsia" w:eastAsiaTheme="minorEastAsia" w:cstheme="minorEastAsia"/>
          <w:b/>
          <w:bCs/>
          <w:sz w:val="24"/>
          <w:szCs w:val="24"/>
          <w:lang w:val="en-US" w:eastAsia="zh-CN"/>
        </w:rPr>
        <w:t>交通监控管理计算机、图像管理计算机、情报板管理计算机、通信计算机、主监视器、激光打印机、彩色激光打印机</w:t>
      </w:r>
      <w:r>
        <w:rPr>
          <w:rFonts w:hint="eastAsia" w:asciiTheme="minorEastAsia" w:hAnsiTheme="minorEastAsia" w:eastAsiaTheme="minorEastAsia" w:cstheme="minorEastAsia"/>
          <w:sz w:val="24"/>
          <w:szCs w:val="24"/>
          <w:lang w:val="en-US"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02FCD1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（2）投标人所投产品如属于政府优先节能产品或环境标志产品，应提供处于有效期之内认证证书等相关证明，在评标时予以优先采购。</w:t>
      </w:r>
    </w:p>
    <w:p w14:paraId="52AB58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10.参与本项目的供应商需提供项目</w:t>
      </w:r>
      <w:r>
        <w:rPr>
          <w:rFonts w:hint="eastAsia" w:asciiTheme="minorEastAsia" w:hAnsiTheme="minorEastAsia" w:eastAsiaTheme="minorEastAsia" w:cstheme="minorEastAsia"/>
          <w:sz w:val="24"/>
          <w:szCs w:val="24"/>
          <w:highlight w:val="none"/>
          <w:lang w:val="en-US" w:eastAsia="zh-CN"/>
        </w:rPr>
        <w:t>整体项目技术方案、运输、安装及调试验收方案、培训方案、售后服务方案、合理化建议。</w:t>
      </w:r>
    </w:p>
    <w:p w14:paraId="5AC582D0">
      <w:pPr>
        <w:rPr>
          <w:rFonts w:hint="eastAsia" w:ascii="宋体" w:hAnsi="宋体" w:eastAsia="宋体" w:cs="Times New Roman"/>
          <w:spacing w:val="0"/>
          <w:kern w:val="0"/>
          <w:position w:val="0"/>
          <w:lang w:eastAsia="zh-CN"/>
        </w:rPr>
      </w:pPr>
      <w:r>
        <w:rPr>
          <w:rFonts w:hint="eastAsia" w:ascii="宋体" w:hAnsi="宋体" w:eastAsia="宋体" w:cs="Times New Roman"/>
          <w:spacing w:val="0"/>
          <w:kern w:val="0"/>
          <w:position w:val="0"/>
          <w:lang w:eastAsia="zh-CN"/>
        </w:rPr>
        <w:br w:type="page"/>
      </w:r>
    </w:p>
    <w:p w14:paraId="27882DF8">
      <w:pPr>
        <w:pStyle w:val="2"/>
        <w:bidi w:val="0"/>
        <w:spacing w:line="360" w:lineRule="auto"/>
        <w:jc w:val="center"/>
        <w:rPr>
          <w:rFonts w:hint="eastAsia" w:ascii="宋体" w:hAnsi="宋体" w:eastAsia="宋体" w:cs="Times New Roman"/>
          <w:spacing w:val="0"/>
          <w:kern w:val="0"/>
          <w:position w:val="0"/>
          <w:lang w:eastAsia="zh-CN"/>
        </w:rPr>
      </w:pPr>
      <w:r>
        <w:rPr>
          <w:rFonts w:hint="eastAsia" w:ascii="宋体" w:hAnsi="宋体" w:eastAsia="宋体" w:cs="Times New Roman"/>
          <w:spacing w:val="0"/>
          <w:kern w:val="0"/>
          <w:position w:val="0"/>
          <w:lang w:eastAsia="zh-CN"/>
        </w:rPr>
        <w:t>第三章 投标人须知</w:t>
      </w:r>
      <w:bookmarkEnd w:id="3"/>
    </w:p>
    <w:p w14:paraId="35F1837E">
      <w:pPr>
        <w:pStyle w:val="6"/>
        <w:kinsoku/>
        <w:wordWrap w:val="0"/>
        <w:spacing w:line="360" w:lineRule="auto"/>
        <w:jc w:val="center"/>
        <w:rPr>
          <w:rFonts w:asciiTheme="minorEastAsia" w:hAnsiTheme="minorEastAsia" w:eastAsiaTheme="minorEastAsia" w:cstheme="minorEastAsia"/>
          <w:spacing w:val="0"/>
          <w:kern w:val="0"/>
          <w:position w:val="0"/>
          <w:sz w:val="28"/>
          <w:szCs w:val="28"/>
          <w:lang w:eastAsia="zh-CN"/>
        </w:rPr>
      </w:pPr>
      <w:r>
        <w:rPr>
          <w:rFonts w:hint="eastAsia" w:asciiTheme="minorEastAsia" w:hAnsiTheme="minorEastAsia" w:eastAsiaTheme="minorEastAsia" w:cstheme="minorEastAsia"/>
          <w:spacing w:val="0"/>
          <w:kern w:val="0"/>
          <w:position w:val="0"/>
          <w:sz w:val="28"/>
          <w:szCs w:val="28"/>
          <w:lang w:eastAsia="zh-CN"/>
        </w:rPr>
        <w:t>投标人须知表</w:t>
      </w:r>
    </w:p>
    <w:tbl>
      <w:tblPr>
        <w:tblStyle w:val="16"/>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B7B1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vAlign w:val="center"/>
          </w:tcPr>
          <w:p w14:paraId="21C5E006">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条款</w:t>
            </w:r>
            <w:r>
              <w:rPr>
                <w:rFonts w:hint="eastAsia" w:asciiTheme="minorEastAsia" w:hAnsiTheme="minorEastAsia" w:eastAsiaTheme="minorEastAsia" w:cstheme="minorEastAsia"/>
                <w:spacing w:val="0"/>
                <w:kern w:val="0"/>
                <w:position w:val="0"/>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vAlign w:val="center"/>
          </w:tcPr>
          <w:p w14:paraId="1F84225D">
            <w:pPr>
              <w:kinsoku/>
              <w:wordWrap w:val="0"/>
              <w:spacing w:line="240" w:lineRule="atLeast"/>
              <w:ind w:left="1080" w:leftChars="257" w:hanging="540"/>
              <w:jc w:val="both"/>
              <w:rPr>
                <w:rFonts w:asciiTheme="minorEastAsia" w:hAnsiTheme="minorEastAsia" w:eastAsiaTheme="minorEastAsia" w:cstheme="minorEastAsia"/>
                <w:b/>
                <w:spacing w:val="0"/>
                <w:kern w:val="0"/>
                <w:position w:val="0"/>
                <w:sz w:val="24"/>
                <w:szCs w:val="24"/>
              </w:rPr>
            </w:pPr>
            <w:r>
              <w:rPr>
                <w:rFonts w:hint="eastAsia" w:asciiTheme="minorEastAsia" w:hAnsiTheme="minorEastAsia" w:eastAsiaTheme="minorEastAsia" w:cstheme="minorEastAsia"/>
                <w:bCs/>
                <w:spacing w:val="0"/>
                <w:kern w:val="0"/>
                <w:position w:val="0"/>
                <w:sz w:val="24"/>
                <w:szCs w:val="24"/>
              </w:rPr>
              <w:t>内容</w:t>
            </w:r>
          </w:p>
        </w:tc>
      </w:tr>
      <w:tr w14:paraId="0FCED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B0DA4DE">
            <w:pPr>
              <w:kinsoku/>
              <w:wordWrap w:val="0"/>
              <w:spacing w:before="78" w:line="221" w:lineRule="auto"/>
              <w:jc w:val="center"/>
              <w:rPr>
                <w:rFonts w:asciiTheme="minorEastAsia" w:hAnsiTheme="minorEastAsia" w:eastAsiaTheme="minorEastAsia" w:cstheme="minorEastAsia"/>
                <w:color w:val="auto"/>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项目属性</w:t>
            </w:r>
          </w:p>
        </w:tc>
        <w:tc>
          <w:tcPr>
            <w:tcW w:w="7188" w:type="dxa"/>
            <w:tcBorders>
              <w:top w:val="single" w:color="auto" w:sz="6" w:space="0"/>
              <w:left w:val="single" w:color="auto" w:sz="6" w:space="0"/>
              <w:bottom w:val="single" w:color="auto" w:sz="6" w:space="0"/>
              <w:right w:val="single" w:color="auto" w:sz="12" w:space="0"/>
            </w:tcBorders>
            <w:vAlign w:val="center"/>
          </w:tcPr>
          <w:p w14:paraId="4ADCA1A7">
            <w:pPr>
              <w:pStyle w:val="23"/>
              <w:jc w:val="left"/>
              <w:rPr>
                <w:spacing w:val="0"/>
                <w:kern w:val="0"/>
                <w:position w:val="0"/>
              </w:rPr>
            </w:pPr>
            <w:r>
              <w:rPr>
                <w:rFonts w:hint="eastAsia"/>
                <w:spacing w:val="0"/>
                <w:kern w:val="0"/>
                <w:position w:val="0"/>
              </w:rPr>
              <w:t>□服务</w:t>
            </w:r>
          </w:p>
          <w:p w14:paraId="54B385C4">
            <w:pPr>
              <w:pStyle w:val="23"/>
              <w:jc w:val="left"/>
              <w:rPr>
                <w:color w:val="auto"/>
                <w:spacing w:val="0"/>
                <w:kern w:val="0"/>
                <w:position w:val="0"/>
              </w:rPr>
            </w:pPr>
            <w:r>
              <w:rPr>
                <w:rFonts w:hint="eastAsia" w:ascii="MS Mincho" w:hAnsi="MS Mincho" w:eastAsia="MS Mincho" w:cs="MS Mincho"/>
                <w:spacing w:val="0"/>
                <w:kern w:val="0"/>
                <w:position w:val="0"/>
              </w:rPr>
              <w:t>☑</w:t>
            </w:r>
            <w:r>
              <w:rPr>
                <w:rFonts w:hint="eastAsia"/>
                <w:spacing w:val="0"/>
                <w:kern w:val="0"/>
                <w:position w:val="0"/>
              </w:rPr>
              <w:t>货物</w:t>
            </w:r>
          </w:p>
        </w:tc>
      </w:tr>
      <w:tr w14:paraId="23370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5C8A973">
            <w:pPr>
              <w:kinsoku/>
              <w:wordWrap w:val="0"/>
              <w:spacing w:before="78" w:line="219" w:lineRule="auto"/>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tcPr>
          <w:p w14:paraId="6743A0F4">
            <w:pPr>
              <w:kinsoku/>
              <w:wordWrap w:val="0"/>
              <w:spacing w:before="37" w:line="238" w:lineRule="auto"/>
              <w:ind w:left="118"/>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是否属于科研仪器设备采购项目：</w:t>
            </w:r>
          </w:p>
          <w:p w14:paraId="09549EE7">
            <w:pPr>
              <w:pStyle w:val="23"/>
              <w:jc w:val="left"/>
              <w:rPr>
                <w:spacing w:val="0"/>
                <w:kern w:val="0"/>
                <w:position w:val="0"/>
              </w:rPr>
            </w:pPr>
            <w:r>
              <w:rPr>
                <w:rFonts w:hint="eastAsia"/>
                <w:spacing w:val="0"/>
                <w:kern w:val="0"/>
                <w:position w:val="0"/>
              </w:rPr>
              <w:t>□是</w:t>
            </w:r>
          </w:p>
          <w:p w14:paraId="03525E22">
            <w:pPr>
              <w:pStyle w:val="23"/>
              <w:jc w:val="left"/>
              <w:rPr>
                <w:spacing w:val="0"/>
                <w:kern w:val="0"/>
                <w:position w:val="0"/>
              </w:rPr>
            </w:pPr>
            <w:r>
              <w:rPr>
                <w:rFonts w:hint="eastAsia" w:ascii="MS Mincho" w:hAnsi="MS Mincho" w:eastAsia="MS Mincho" w:cs="MS Mincho"/>
                <w:spacing w:val="0"/>
                <w:kern w:val="0"/>
                <w:position w:val="0"/>
              </w:rPr>
              <w:t>☑</w:t>
            </w:r>
            <w:r>
              <w:rPr>
                <w:rFonts w:hint="eastAsia"/>
                <w:spacing w:val="0"/>
                <w:kern w:val="0"/>
                <w:position w:val="0"/>
              </w:rPr>
              <w:t>否</w:t>
            </w:r>
          </w:p>
        </w:tc>
      </w:tr>
      <w:tr w14:paraId="65B4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BCE7058">
            <w:pPr>
              <w:kinsoku/>
              <w:wordWrap w:val="0"/>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现场考察</w:t>
            </w:r>
          </w:p>
        </w:tc>
        <w:tc>
          <w:tcPr>
            <w:tcW w:w="7188" w:type="dxa"/>
            <w:tcBorders>
              <w:top w:val="single" w:color="auto" w:sz="6" w:space="0"/>
              <w:left w:val="single" w:color="auto" w:sz="6" w:space="0"/>
              <w:bottom w:val="single" w:color="auto" w:sz="6" w:space="0"/>
              <w:right w:val="single" w:color="auto" w:sz="12" w:space="0"/>
            </w:tcBorders>
            <w:vAlign w:val="center"/>
          </w:tcPr>
          <w:p w14:paraId="038B5738">
            <w:pPr>
              <w:pStyle w:val="23"/>
              <w:jc w:val="both"/>
              <w:rPr>
                <w:rFonts w:hint="eastAsia" w:eastAsia="宋体" w:asciiTheme="minorEastAsia" w:hAnsiTheme="minorEastAsia" w:cstheme="minorEastAsia"/>
                <w:spacing w:val="0"/>
                <w:kern w:val="0"/>
                <w:position w:val="0"/>
                <w:sz w:val="24"/>
                <w:szCs w:val="24"/>
                <w:lang w:val="en-US" w:eastAsia="zh-CN"/>
              </w:rPr>
            </w:pPr>
            <w:r>
              <w:rPr>
                <w:rFonts w:hint="eastAsia" w:ascii="MS Mincho" w:hAnsi="MS Mincho" w:eastAsia="MS Mincho" w:cs="MS Mincho"/>
                <w:spacing w:val="0"/>
                <w:kern w:val="0"/>
                <w:position w:val="0"/>
              </w:rPr>
              <w:t>☑</w:t>
            </w:r>
            <w:r>
              <w:rPr>
                <w:rFonts w:hint="eastAsia"/>
                <w:spacing w:val="0"/>
                <w:kern w:val="0"/>
                <w:position w:val="0"/>
              </w:rPr>
              <w:t>不</w:t>
            </w:r>
            <w:r>
              <w:rPr>
                <w:rFonts w:hint="eastAsia"/>
                <w:spacing w:val="0"/>
                <w:kern w:val="0"/>
                <w:position w:val="0"/>
                <w:lang w:val="en-US" w:eastAsia="zh-CN"/>
              </w:rPr>
              <w:t>组织</w:t>
            </w:r>
          </w:p>
        </w:tc>
      </w:tr>
      <w:tr w14:paraId="67569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9A0FA03">
            <w:pPr>
              <w:kinsoku/>
              <w:wordWrap w:val="0"/>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vAlign w:val="center"/>
          </w:tcPr>
          <w:p w14:paraId="6FC02E06">
            <w:pPr>
              <w:kinsoku/>
              <w:wordWrap w:val="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☑不召开</w:t>
            </w:r>
          </w:p>
        </w:tc>
      </w:tr>
      <w:tr w14:paraId="1EDED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A32C7BE">
            <w:pPr>
              <w:kinsoku/>
              <w:wordWrap w:val="0"/>
              <w:spacing w:line="240" w:lineRule="atLeast"/>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vAlign w:val="center"/>
          </w:tcPr>
          <w:p w14:paraId="72F2F922">
            <w:pPr>
              <w:pStyle w:val="23"/>
              <w:jc w:val="both"/>
              <w:rPr>
                <w:spacing w:val="0"/>
                <w:kern w:val="0"/>
                <w:position w:val="0"/>
                <w:highlight w:val="none"/>
              </w:rPr>
            </w:pPr>
            <w:r>
              <w:rPr>
                <w:rFonts w:hint="eastAsia"/>
                <w:spacing w:val="0"/>
                <w:kern w:val="0"/>
                <w:position w:val="0"/>
                <w:highlight w:val="none"/>
                <w:lang w:val="en-US" w:eastAsia="zh-CN"/>
              </w:rPr>
              <w:t>1、</w:t>
            </w:r>
            <w:r>
              <w:rPr>
                <w:rFonts w:hint="eastAsia"/>
                <w:spacing w:val="0"/>
                <w:kern w:val="0"/>
                <w:position w:val="0"/>
                <w:highlight w:val="none"/>
              </w:rPr>
              <w:t>本项目采购标的按照中小企业划分标准属于：</w:t>
            </w:r>
            <w:r>
              <w:rPr>
                <w:rFonts w:hint="eastAsia"/>
                <w:spacing w:val="0"/>
                <w:kern w:val="0"/>
                <w:position w:val="0"/>
                <w:highlight w:val="none"/>
                <w:u w:val="single"/>
              </w:rPr>
              <w:t xml:space="preserve"> </w:t>
            </w:r>
            <w:r>
              <w:rPr>
                <w:rFonts w:hint="eastAsia"/>
                <w:spacing w:val="0"/>
                <w:kern w:val="0"/>
                <w:position w:val="0"/>
                <w:highlight w:val="none"/>
                <w:u w:val="single"/>
                <w:lang w:val="en-US" w:eastAsia="zh-CN"/>
              </w:rPr>
              <w:t>工业</w:t>
            </w:r>
            <w:r>
              <w:rPr>
                <w:rFonts w:hint="eastAsia"/>
                <w:spacing w:val="0"/>
                <w:kern w:val="0"/>
                <w:position w:val="0"/>
                <w:highlight w:val="none"/>
                <w:u w:val="single"/>
              </w:rPr>
              <w:t xml:space="preserve"> </w:t>
            </w:r>
          </w:p>
          <w:p w14:paraId="5F1DDE49">
            <w:pPr>
              <w:kinsoku/>
              <w:wordWrap w:val="0"/>
              <w:autoSpaceDE/>
              <w:autoSpaceDN/>
              <w:adjustRightInd/>
              <w:snapToGrid/>
              <w:jc w:val="both"/>
              <w:textAlignment w:val="auto"/>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☑本项目小微企业价格折扣比例</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w:t>
            </w:r>
          </w:p>
          <w:p w14:paraId="3E6BF1D1">
            <w:pPr>
              <w:kinsoku/>
              <w:wordWrap w:val="0"/>
              <w:autoSpaceDE/>
              <w:autoSpaceDN/>
              <w:adjustRightInd/>
              <w:snapToGrid/>
              <w:jc w:val="both"/>
              <w:textAlignment w:val="auto"/>
              <w:rPr>
                <w:rFonts w:asciiTheme="minorEastAsia" w:hAnsiTheme="minorEastAsia" w:eastAsiaTheme="minorEastAsia" w:cstheme="minorEastAsia"/>
                <w:b/>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59C9F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58416A">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highlight w:val="none"/>
              </w:rPr>
              <w:t>投标报价</w:t>
            </w:r>
          </w:p>
        </w:tc>
        <w:tc>
          <w:tcPr>
            <w:tcW w:w="7188" w:type="dxa"/>
            <w:tcBorders>
              <w:top w:val="single" w:color="auto" w:sz="6" w:space="0"/>
              <w:left w:val="single" w:color="auto" w:sz="6" w:space="0"/>
              <w:bottom w:val="single" w:color="auto" w:sz="6" w:space="0"/>
              <w:right w:val="single" w:color="auto" w:sz="12" w:space="0"/>
            </w:tcBorders>
          </w:tcPr>
          <w:p w14:paraId="628D6632">
            <w:pPr>
              <w:kinsoku/>
              <w:wordWrap w:val="0"/>
              <w:spacing w:before="40"/>
              <w:ind w:left="117"/>
              <w:jc w:val="left"/>
              <w:rPr>
                <w:spacing w:val="0"/>
                <w:kern w:val="0"/>
                <w:position w:val="0"/>
              </w:rPr>
            </w:pPr>
            <w:r>
              <w:rPr>
                <w:rFonts w:hint="eastAsia" w:asciiTheme="minorEastAsia" w:hAnsiTheme="minorEastAsia" w:eastAsiaTheme="minorEastAsia" w:cstheme="minorEastAsia"/>
                <w:spacing w:val="0"/>
                <w:kern w:val="0"/>
                <w:position w:val="0"/>
                <w:sz w:val="24"/>
                <w:szCs w:val="24"/>
                <w:lang w:eastAsia="zh-CN"/>
              </w:rPr>
              <w:t>投标报价的特殊规定：</w:t>
            </w:r>
            <w:r>
              <w:rPr>
                <w:rFonts w:hint="eastAsia" w:ascii="MS Mincho" w:hAnsi="MS Mincho" w:eastAsia="宋体" w:cs="MS Mincho"/>
                <w:spacing w:val="0"/>
                <w:kern w:val="0"/>
                <w:position w:val="0"/>
                <w:lang w:eastAsia="zh-CN"/>
              </w:rPr>
              <w:t>☑</w:t>
            </w:r>
            <w:r>
              <w:rPr>
                <w:rFonts w:hint="eastAsia"/>
                <w:spacing w:val="0"/>
                <w:kern w:val="0"/>
                <w:position w:val="0"/>
              </w:rPr>
              <w:t>无</w:t>
            </w:r>
          </w:p>
        </w:tc>
      </w:tr>
      <w:tr w14:paraId="345CE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36CF513">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项目预算</w:t>
            </w:r>
          </w:p>
        </w:tc>
        <w:tc>
          <w:tcPr>
            <w:tcW w:w="7188" w:type="dxa"/>
            <w:tcBorders>
              <w:top w:val="single" w:color="auto" w:sz="6" w:space="0"/>
              <w:left w:val="single" w:color="auto" w:sz="6" w:space="0"/>
              <w:bottom w:val="single" w:color="auto" w:sz="6" w:space="0"/>
              <w:right w:val="single" w:color="auto" w:sz="12" w:space="0"/>
            </w:tcBorders>
            <w:vAlign w:val="center"/>
          </w:tcPr>
          <w:p w14:paraId="063AE9E6">
            <w:pPr>
              <w:kinsoku/>
              <w:wordWrap w:val="0"/>
              <w:spacing w:line="240" w:lineRule="atLeast"/>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1373.6116</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万元</w:t>
            </w:r>
          </w:p>
        </w:tc>
      </w:tr>
      <w:tr w14:paraId="2B8F0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D8AC09">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vAlign w:val="center"/>
          </w:tcPr>
          <w:p w14:paraId="760EB0A6">
            <w:pPr>
              <w:kinsoku/>
              <w:wordWrap w:val="0"/>
              <w:spacing w:line="240" w:lineRule="atLeast"/>
              <w:jc w:val="left"/>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开标之日起60</w:t>
            </w:r>
            <w:r>
              <w:rPr>
                <w:rFonts w:hint="eastAsia" w:asciiTheme="minorEastAsia" w:hAnsiTheme="minorEastAsia" w:eastAsiaTheme="minorEastAsia" w:cstheme="minorEastAsia"/>
                <w:spacing w:val="0"/>
                <w:kern w:val="0"/>
                <w:position w:val="0"/>
                <w:sz w:val="24"/>
                <w:szCs w:val="24"/>
              </w:rPr>
              <w:t>日历日</w:t>
            </w:r>
          </w:p>
        </w:tc>
      </w:tr>
      <w:tr w14:paraId="1F9B9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47890E1">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投标文件</w:t>
            </w:r>
            <w:r>
              <w:rPr>
                <w:rFonts w:hint="eastAsia" w:asciiTheme="minorEastAsia" w:hAnsiTheme="minorEastAsia" w:eastAsiaTheme="minorEastAsia" w:cstheme="minorEastAsia"/>
                <w:spacing w:val="0"/>
                <w:kern w:val="0"/>
                <w:position w:val="0"/>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vAlign w:val="center"/>
          </w:tcPr>
          <w:p w14:paraId="148A797F">
            <w:pPr>
              <w:kinsoku/>
              <w:wordWrap w:val="0"/>
              <w:spacing w:line="240" w:lineRule="atLeast"/>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电子投标文件：1份</w:t>
            </w:r>
          </w:p>
        </w:tc>
      </w:tr>
      <w:tr w14:paraId="7864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F21B96D">
            <w:pPr>
              <w:kinsoku/>
              <w:wordWrap w:val="0"/>
              <w:spacing w:line="240" w:lineRule="atLeast"/>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vAlign w:val="center"/>
          </w:tcPr>
          <w:p w14:paraId="78CB4B6D">
            <w:pPr>
              <w:kinsoku/>
              <w:wordWrap w:val="0"/>
              <w:spacing w:line="240" w:lineRule="atLeast"/>
              <w:jc w:val="left"/>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2026</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点</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分（北京时间）</w:t>
            </w:r>
          </w:p>
        </w:tc>
      </w:tr>
      <w:tr w14:paraId="4E126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29EB29A">
            <w:pPr>
              <w:kinsoku/>
              <w:wordWrap w:val="0"/>
              <w:spacing w:line="240" w:lineRule="atLeast"/>
              <w:jc w:val="center"/>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vAlign w:val="center"/>
          </w:tcPr>
          <w:p w14:paraId="77B005DA">
            <w:pPr>
              <w:kinsoku/>
              <w:wordWrap w:val="0"/>
              <w:spacing w:line="240" w:lineRule="atLeast"/>
              <w:jc w:val="left"/>
              <w:rPr>
                <w:rFonts w:asciiTheme="minorEastAsia" w:hAnsiTheme="minorEastAsia" w:eastAsiaTheme="minorEastAsia" w:cstheme="minorEastAsia"/>
                <w:spacing w:val="0"/>
                <w:kern w:val="0"/>
                <w:position w:val="0"/>
                <w:sz w:val="24"/>
                <w:szCs w:val="24"/>
                <w:highlight w:val="none"/>
                <w:u w:val="single"/>
                <w:lang w:eastAsia="zh-CN"/>
              </w:rPr>
            </w:pP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2026</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点</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分</w:t>
            </w:r>
            <w:r>
              <w:rPr>
                <w:rFonts w:hint="eastAsia" w:asciiTheme="minorEastAsia" w:hAnsiTheme="minorEastAsia" w:eastAsiaTheme="minorEastAsia" w:cstheme="minorEastAsia"/>
                <w:color w:val="auto"/>
                <w:spacing w:val="0"/>
                <w:kern w:val="0"/>
                <w:position w:val="0"/>
                <w:sz w:val="24"/>
                <w:szCs w:val="24"/>
                <w:highlight w:val="none"/>
                <w:lang w:eastAsia="zh-CN"/>
              </w:rPr>
              <w:t>（北京时间）</w:t>
            </w:r>
          </w:p>
        </w:tc>
      </w:tr>
      <w:tr w14:paraId="71779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154BC407">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核心产品</w:t>
            </w:r>
          </w:p>
        </w:tc>
        <w:tc>
          <w:tcPr>
            <w:tcW w:w="7188" w:type="dxa"/>
            <w:tcBorders>
              <w:top w:val="single" w:color="auto" w:sz="6" w:space="0"/>
              <w:left w:val="single" w:color="auto" w:sz="6" w:space="0"/>
              <w:bottom w:val="single" w:color="auto" w:sz="6" w:space="0"/>
              <w:right w:val="single" w:color="auto" w:sz="12" w:space="0"/>
            </w:tcBorders>
            <w:vAlign w:val="center"/>
          </w:tcPr>
          <w:p w14:paraId="122038DF">
            <w:pPr>
              <w:kinsoku/>
              <w:wordWrap w:val="0"/>
              <w:spacing w:line="240" w:lineRule="atLeast"/>
              <w:jc w:val="left"/>
              <w:rPr>
                <w:rFonts w:asciiTheme="minorEastAsia" w:hAnsiTheme="minorEastAsia" w:eastAsiaTheme="minorEastAsia" w:cstheme="minorEastAsia"/>
                <w:color w:val="FF0000"/>
                <w:spacing w:val="0"/>
                <w:kern w:val="0"/>
                <w:position w:val="0"/>
                <w:sz w:val="24"/>
                <w:szCs w:val="24"/>
                <w:lang w:eastAsia="zh-CN"/>
              </w:rPr>
            </w:pPr>
            <w:r>
              <w:rPr>
                <w:rFonts w:hint="eastAsia" w:ascii="宋体" w:hAnsi="宋体" w:eastAsia="宋体" w:cs="宋体"/>
                <w:b/>
                <w:bCs/>
                <w:spacing w:val="0"/>
                <w:w w:val="100"/>
                <w:sz w:val="24"/>
                <w:szCs w:val="24"/>
                <w:lang w:val="en-US" w:eastAsia="zh-CN"/>
              </w:rPr>
              <w:t>500万抓拍单元</w:t>
            </w:r>
          </w:p>
        </w:tc>
      </w:tr>
      <w:tr w14:paraId="281FF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415D760">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评标方法</w:t>
            </w:r>
          </w:p>
        </w:tc>
        <w:tc>
          <w:tcPr>
            <w:tcW w:w="7188" w:type="dxa"/>
            <w:tcBorders>
              <w:top w:val="single" w:color="auto" w:sz="6" w:space="0"/>
              <w:left w:val="single" w:color="auto" w:sz="6" w:space="0"/>
              <w:bottom w:val="single" w:color="auto" w:sz="6" w:space="0"/>
              <w:right w:val="single" w:color="auto" w:sz="12" w:space="0"/>
            </w:tcBorders>
            <w:vAlign w:val="center"/>
          </w:tcPr>
          <w:p w14:paraId="2559E080">
            <w:pPr>
              <w:kinsoku/>
              <w:wordWrap w:val="0"/>
              <w:spacing w:line="240" w:lineRule="atLeast"/>
              <w:jc w:val="left"/>
              <w:rPr>
                <w:rFonts w:asciiTheme="minorEastAsia" w:hAnsiTheme="minorEastAsia" w:eastAsiaTheme="minorEastAsia" w:cstheme="minorEastAsia"/>
                <w:i/>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☑综合评分法</w:t>
            </w:r>
          </w:p>
        </w:tc>
      </w:tr>
      <w:tr w14:paraId="6393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2287029">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vAlign w:val="center"/>
          </w:tcPr>
          <w:p w14:paraId="555CA5F1">
            <w:pPr>
              <w:pStyle w:val="23"/>
              <w:jc w:val="left"/>
              <w:rPr>
                <w:spacing w:val="0"/>
                <w:kern w:val="0"/>
                <w:position w:val="0"/>
              </w:rPr>
            </w:pPr>
            <w:r>
              <w:rPr>
                <w:rFonts w:hint="eastAsia"/>
                <w:spacing w:val="0"/>
                <w:kern w:val="0"/>
                <w:position w:val="0"/>
              </w:rPr>
              <w:t xml:space="preserve"> </w:t>
            </w:r>
            <w:r>
              <w:rPr>
                <w:rFonts w:hint="eastAsia" w:ascii="MS Mincho" w:hAnsi="MS Mincho" w:eastAsia="MS Mincho" w:cs="MS Mincho"/>
                <w:spacing w:val="0"/>
                <w:kern w:val="0"/>
                <w:position w:val="0"/>
              </w:rPr>
              <w:t>☑</w:t>
            </w:r>
            <w:r>
              <w:rPr>
                <w:rFonts w:hint="eastAsia"/>
                <w:spacing w:val="0"/>
                <w:kern w:val="0"/>
                <w:position w:val="0"/>
              </w:rPr>
              <w:t>是，具体要求详见投标人须知</w:t>
            </w:r>
          </w:p>
        </w:tc>
      </w:tr>
      <w:tr w14:paraId="2503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AE97E38">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vAlign w:val="center"/>
          </w:tcPr>
          <w:p w14:paraId="3D31801B">
            <w:pPr>
              <w:kinsoku/>
              <w:wordWrap w:val="0"/>
              <w:spacing w:line="240" w:lineRule="atLeast"/>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采购人是否委托评标委员会直接确定中标人：☑否</w:t>
            </w:r>
          </w:p>
        </w:tc>
      </w:tr>
      <w:tr w14:paraId="6DD3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533B068">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代理费</w:t>
            </w:r>
          </w:p>
        </w:tc>
        <w:tc>
          <w:tcPr>
            <w:tcW w:w="7188" w:type="dxa"/>
            <w:tcBorders>
              <w:top w:val="single" w:color="auto" w:sz="6" w:space="0"/>
              <w:left w:val="single" w:color="auto" w:sz="6" w:space="0"/>
              <w:bottom w:val="single" w:color="auto" w:sz="6" w:space="0"/>
              <w:right w:val="single" w:color="auto" w:sz="12" w:space="0"/>
            </w:tcBorders>
            <w:vAlign w:val="center"/>
          </w:tcPr>
          <w:p w14:paraId="41985441">
            <w:pPr>
              <w:pStyle w:val="23"/>
              <w:jc w:val="left"/>
              <w:rPr>
                <w:spacing w:val="0"/>
                <w:kern w:val="0"/>
                <w:position w:val="0"/>
              </w:rPr>
            </w:pPr>
            <w:r>
              <w:rPr>
                <w:rFonts w:hint="eastAsia"/>
                <w:spacing w:val="0"/>
                <w:kern w:val="0"/>
                <w:position w:val="0"/>
                <w:lang w:eastAsia="zh-CN"/>
              </w:rPr>
              <w:t>☑</w:t>
            </w:r>
            <w:r>
              <w:rPr>
                <w:rFonts w:hint="eastAsia"/>
                <w:spacing w:val="0"/>
                <w:kern w:val="0"/>
                <w:position w:val="0"/>
              </w:rPr>
              <w:t>集中采购机构不收费</w:t>
            </w:r>
          </w:p>
        </w:tc>
      </w:tr>
    </w:tbl>
    <w:p w14:paraId="5F2A46ED">
      <w:pPr>
        <w:pStyle w:val="6"/>
        <w:kinsoku/>
        <w:wordWrap w:val="0"/>
        <w:spacing w:before="91" w:line="221" w:lineRule="auto"/>
        <w:jc w:val="both"/>
        <w:rPr>
          <w:rFonts w:asciiTheme="minorEastAsia" w:hAnsiTheme="minorEastAsia" w:eastAsiaTheme="minorEastAsia" w:cstheme="minorEastAsia"/>
          <w:spacing w:val="0"/>
          <w:kern w:val="0"/>
          <w:position w:val="0"/>
          <w:sz w:val="28"/>
          <w:szCs w:val="28"/>
          <w:lang w:eastAsia="zh-CN"/>
        </w:rPr>
      </w:pPr>
    </w:p>
    <w:p w14:paraId="4BE4C52E">
      <w:pPr>
        <w:pStyle w:val="6"/>
        <w:kinsoku/>
        <w:wordWrap w:val="0"/>
        <w:spacing w:before="91" w:line="221" w:lineRule="auto"/>
        <w:jc w:val="both"/>
        <w:rPr>
          <w:rFonts w:asciiTheme="minorEastAsia" w:hAnsiTheme="minorEastAsia" w:eastAsiaTheme="minorEastAsia" w:cstheme="minorEastAsia"/>
          <w:spacing w:val="0"/>
          <w:kern w:val="0"/>
          <w:position w:val="0"/>
          <w:sz w:val="28"/>
          <w:szCs w:val="28"/>
          <w:lang w:eastAsia="zh-CN"/>
        </w:rPr>
      </w:pPr>
    </w:p>
    <w:p w14:paraId="42AA71F8">
      <w:pPr>
        <w:pStyle w:val="6"/>
        <w:kinsoku/>
        <w:wordWrap w:val="0"/>
        <w:spacing w:before="91" w:line="221" w:lineRule="auto"/>
        <w:jc w:val="center"/>
        <w:rPr>
          <w:rFonts w:asciiTheme="minorEastAsia" w:hAnsiTheme="minorEastAsia" w:eastAsiaTheme="minorEastAsia" w:cstheme="minorEastAsia"/>
          <w:b/>
          <w:bCs/>
          <w:spacing w:val="0"/>
          <w:kern w:val="0"/>
          <w:position w:val="0"/>
          <w:sz w:val="28"/>
          <w:szCs w:val="28"/>
          <w:lang w:eastAsia="zh-CN"/>
        </w:rPr>
      </w:pPr>
      <w:r>
        <w:rPr>
          <w:rFonts w:hint="eastAsia" w:asciiTheme="minorEastAsia" w:hAnsiTheme="minorEastAsia" w:eastAsiaTheme="minorEastAsia" w:cstheme="minorEastAsia"/>
          <w:b/>
          <w:bCs/>
          <w:spacing w:val="0"/>
          <w:kern w:val="0"/>
          <w:position w:val="0"/>
          <w:sz w:val="28"/>
          <w:szCs w:val="28"/>
          <w:lang w:eastAsia="zh-CN"/>
        </w:rPr>
        <w:t>投标人须知</w:t>
      </w:r>
    </w:p>
    <w:p w14:paraId="213B3FB4">
      <w:pPr>
        <w:pStyle w:val="6"/>
        <w:kinsoku/>
        <w:wordWrap w:val="0"/>
        <w:spacing w:before="268"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一、说明</w:t>
      </w:r>
    </w:p>
    <w:p w14:paraId="4FACF6FE">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1.采购人、采购代理机构、投标人、联合体</w:t>
      </w:r>
    </w:p>
    <w:p w14:paraId="4F193F88">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1.1 采购人、采购代理机构：指依法进行政府采购的国家机关、事业单位、团体组织及其委托的采购代理机构。本项目采购人、采购代理机构见第一章《公开招标公告》。</w:t>
      </w:r>
    </w:p>
    <w:p w14:paraId="7BAEE52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1.2 投标人（也称供应商、申请人）：指向采购人提供货物、工程或者服务的法人、其他组织或者自然人。</w:t>
      </w:r>
    </w:p>
    <w:p w14:paraId="311C055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1.3 联合体：指两个以上的自然人、法人或者其他组织组成一个联合体，以一个供应商的身份共同参加政府采购。</w:t>
      </w:r>
    </w:p>
    <w:p w14:paraId="70378CD8">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2.资金来源、项目属性、科研仪器设备采购、核心产品</w:t>
      </w:r>
    </w:p>
    <w:p w14:paraId="6CBAE0E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2.1 资金来源为财政性资金</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1373.6116</w:t>
      </w:r>
      <w:r>
        <w:rPr>
          <w:rFonts w:hint="eastAsia" w:asciiTheme="minorEastAsia" w:hAnsiTheme="minorEastAsia" w:eastAsiaTheme="minorEastAsia" w:cstheme="minorEastAsia"/>
          <w:spacing w:val="0"/>
          <w:kern w:val="0"/>
          <w:position w:val="0"/>
          <w:sz w:val="24"/>
          <w:szCs w:val="24"/>
          <w:highlight w:val="none"/>
          <w:u w:val="single"/>
          <w:lang w:val="en-US"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万元（</w:t>
      </w:r>
      <w:r>
        <w:rPr>
          <w:rFonts w:hint="eastAsia" w:asciiTheme="minorEastAsia" w:hAnsiTheme="minorEastAsia" w:eastAsiaTheme="minorEastAsia" w:cstheme="minorEastAsia"/>
          <w:spacing w:val="0"/>
          <w:kern w:val="0"/>
          <w:position w:val="0"/>
          <w:sz w:val="24"/>
          <w:szCs w:val="24"/>
          <w:highlight w:val="none"/>
          <w:lang w:val="en-US" w:eastAsia="zh-CN"/>
        </w:rPr>
        <w:t>国省补助资金</w:t>
      </w:r>
      <w:r>
        <w:rPr>
          <w:rFonts w:hint="eastAsia" w:asciiTheme="minorEastAsia" w:hAnsiTheme="minorEastAsia" w:eastAsiaTheme="minorEastAsia" w:cstheme="minorEastAsia"/>
          <w:spacing w:val="0"/>
          <w:kern w:val="0"/>
          <w:position w:val="0"/>
          <w:sz w:val="24"/>
          <w:szCs w:val="24"/>
          <w:highlight w:val="none"/>
          <w:lang w:eastAsia="zh-CN"/>
        </w:rPr>
        <w:t>）</w:t>
      </w:r>
      <w:r>
        <w:rPr>
          <w:rFonts w:hint="eastAsia" w:asciiTheme="minorEastAsia" w:hAnsiTheme="minorEastAsia" w:eastAsiaTheme="minorEastAsia" w:cstheme="minorEastAsia"/>
          <w:spacing w:val="0"/>
          <w:kern w:val="0"/>
          <w:position w:val="0"/>
          <w:sz w:val="24"/>
          <w:szCs w:val="24"/>
          <w:lang w:eastAsia="zh-CN"/>
        </w:rPr>
        <w:t>。</w:t>
      </w:r>
    </w:p>
    <w:p w14:paraId="00D679F8">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2.2 项目属性见《投标人须知表》。</w:t>
      </w:r>
    </w:p>
    <w:p w14:paraId="7E2EA94D">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 xml:space="preserve">2.3 是否属于科研仪器设备采购见《投标人须知表》。 </w:t>
      </w:r>
    </w:p>
    <w:p w14:paraId="0AFFD0D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2.4 核心产品见《投标人须知表》。</w:t>
      </w:r>
    </w:p>
    <w:p w14:paraId="21A91100">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3</w:t>
      </w:r>
      <w:r>
        <w:rPr>
          <w:rFonts w:hint="eastAsia" w:asciiTheme="minorEastAsia" w:hAnsiTheme="minorEastAsia" w:eastAsiaTheme="minorEastAsia" w:cstheme="minorEastAsia"/>
          <w:b/>
          <w:bCs/>
          <w:spacing w:val="0"/>
          <w:kern w:val="0"/>
          <w:position w:val="0"/>
          <w:sz w:val="24"/>
          <w:szCs w:val="24"/>
          <w:lang w:eastAsia="zh-CN"/>
        </w:rPr>
        <w:t>.政府采购政策（包括但不限于下列具体政策要求）</w:t>
      </w:r>
    </w:p>
    <w:p w14:paraId="67F0546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.1 采购本国货物、工程和服务</w:t>
      </w:r>
    </w:p>
    <w:p w14:paraId="605207A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.1.1 政府采购应当采购本国货物、工程和服务。但有《中华人民共和国政府采购法》第十条规定情形的除外。</w:t>
      </w:r>
    </w:p>
    <w:p w14:paraId="5B9B2C3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 中小企业、监狱企业及残疾人福利性单位</w:t>
      </w:r>
    </w:p>
    <w:p w14:paraId="0D3FB37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.2.1 中小企业定义：</w:t>
      </w:r>
    </w:p>
    <w:p w14:paraId="7B5D836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48CA57A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供应商提供的货物、工程或者服务符合下列情形的，享受中小企业扶持政策：</w:t>
      </w:r>
    </w:p>
    <w:p w14:paraId="5F7794A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（1）在货物采购项目中，货物由中小企业制造，即货物由中小企业生产且使用该中小企业商号或者注册商标；</w:t>
      </w:r>
    </w:p>
    <w:p w14:paraId="2ADC581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（2）在工程采购项目中，工程由中小企业承建，即工程施工单位为中小企业；</w:t>
      </w:r>
    </w:p>
    <w:p w14:paraId="47CC461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（3）在服务采购项目中，服务由中小企业承接，即提供服务的人员为中小企业依照《中华人民共和国劳动合同法》订立劳动合同的从业人员。</w:t>
      </w:r>
    </w:p>
    <w:p w14:paraId="5CEBF3D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在货物采购项目中，供应商提供的货物既有中小企业制造货物，也有大型企业制造货物的，不享受中小企业扶持政策。</w:t>
      </w:r>
    </w:p>
    <w:p w14:paraId="2FDD0A0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以联合体形式参加政府采购活动，联合体各方均为中小企业的，联合体视同中小企业。其中，联合体各方均为小微企业的，联合体视同小微企业。</w:t>
      </w:r>
    </w:p>
    <w:p w14:paraId="23806ED9">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D963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02E433">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"5.2.3.1"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.2.3.1</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安置的残疾人占本单位在职职工人数的比例不低于25%（含25%），并且安置的残疾人人数不少于10人（含10人）；</w:t>
      </w:r>
    </w:p>
    <w:p w14:paraId="434D9873">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"5.2.3.2"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.2.3.2</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依法与安置的每位残疾人签订了一年以上（含一年）的劳动合同或服务协议；</w:t>
      </w:r>
    </w:p>
    <w:p w14:paraId="32BC7C69">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"5.2.3.3"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.2.3.3</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为安置的每位残疾人按月足额缴纳了基本养老、医疗、失业、工伤和生育等社会保险费；</w:t>
      </w:r>
    </w:p>
    <w:p w14:paraId="162586FA">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"5.2.3.4"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.2.3.4</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通过银行等金融机构向安置的每位残疾人，按月支付了不低于单位所在区县的月最低工资标准的工资；</w:t>
      </w:r>
    </w:p>
    <w:p w14:paraId="5D25A095">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"5.2.3.5"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.2.3.5</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7C7C0A96">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"5.2.3.6"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.2.3.6</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BBBF16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.2.4 本项目是否专门面向中小企业预留采购份额见第一章《公开招标公告》。</w:t>
      </w:r>
    </w:p>
    <w:p w14:paraId="2370D9C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.2.5 采购标的对应的中小企业划分标准所属行业见《投标人须知表》。</w:t>
      </w:r>
    </w:p>
    <w:p w14:paraId="153B1EE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.2.6 小微企业价格评审优惠的政策调整：见第四章《开、评标程序、评标方法和评标标准》。</w:t>
      </w:r>
    </w:p>
    <w:p w14:paraId="5D04724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 政府采购节能产品、环境标志产品</w:t>
      </w:r>
    </w:p>
    <w:p w14:paraId="0E663E17">
      <w:pPr>
        <w:pStyle w:val="6"/>
        <w:kinsoku/>
        <w:wordWrap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3.3.1 政府采购节能产品、</w:t>
      </w:r>
      <w:r>
        <w:rPr>
          <w:rFonts w:hint="eastAsia" w:asciiTheme="minorEastAsia" w:hAnsiTheme="minorEastAsia" w:eastAsiaTheme="minorEastAsia" w:cstheme="minorEastAsia"/>
          <w:spacing w:val="0"/>
          <w:kern w:val="0"/>
          <w:position w:val="0"/>
          <w:sz w:val="24"/>
          <w:szCs w:val="24"/>
          <w:lang w:eastAsia="zh-CN"/>
        </w:rPr>
        <w:t>环境标志产品实施品目清单管理。财政部、</w:t>
      </w:r>
      <w:r>
        <w:rPr>
          <w:rFonts w:hint="eastAsia" w:asciiTheme="minorEastAsia" w:hAnsiTheme="minorEastAsia" w:eastAsiaTheme="minorEastAsia" w:cstheme="minorEastAsia"/>
          <w:spacing w:val="0"/>
          <w:kern w:val="0"/>
          <w:position w:val="0"/>
          <w:sz w:val="24"/>
          <w:szCs w:val="24"/>
          <w:lang w:eastAsia="zh-CN"/>
        </w:rPr>
        <w:fldChar w:fldCharType="begin"/>
      </w:r>
      <w:r>
        <w:rPr>
          <w:rFonts w:hint="eastAsia" w:asciiTheme="minorEastAsia" w:hAnsiTheme="minorEastAsia" w:eastAsiaTheme="minorEastAsia" w:cstheme="minorEastAsia"/>
          <w:spacing w:val="0"/>
          <w:kern w:val="0"/>
          <w:position w:val="0"/>
          <w:sz w:val="24"/>
          <w:szCs w:val="24"/>
          <w:lang w:eastAsia="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0"/>
          <w:kern w:val="0"/>
          <w:position w:val="0"/>
          <w:sz w:val="24"/>
          <w:szCs w:val="24"/>
          <w:lang w:eastAsia="zh-CN"/>
        </w:rPr>
        <w:fldChar w:fldCharType="separate"/>
      </w:r>
      <w:r>
        <w:rPr>
          <w:rFonts w:hint="default" w:asciiTheme="minorEastAsia" w:hAnsiTheme="minorEastAsia" w:eastAsiaTheme="minorEastAsia" w:cstheme="minorEastAsia"/>
          <w:spacing w:val="0"/>
          <w:kern w:val="0"/>
          <w:position w:val="0"/>
          <w:sz w:val="24"/>
          <w:szCs w:val="24"/>
          <w:lang w:eastAsia="zh-CN"/>
        </w:rPr>
        <w:t>中华人民共和国国家发展和改革委员会</w:t>
      </w:r>
      <w:r>
        <w:rPr>
          <w:rFonts w:hint="default"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315D7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6A444ED">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0"/>
          <w:kern w:val="0"/>
          <w:position w:val="0"/>
          <w:sz w:val="24"/>
          <w:szCs w:val="24"/>
          <w:lang w:eastAsia="zh-CN"/>
        </w:rPr>
        <w:t>否则投标无效；</w:t>
      </w:r>
    </w:p>
    <w:p w14:paraId="2FD2C26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.3.4 非政府强制采购的节能产品或环境标志产品，依据品目清单和认证证书实施政府优先采购。优先采购的具体规定见第四章《开、评标程序、评标方法和评标标准》（如涉及）。</w:t>
      </w:r>
    </w:p>
    <w:p w14:paraId="6D0A28F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.4 正版软件</w:t>
      </w:r>
    </w:p>
    <w:p w14:paraId="032F905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.4.1 依据《财政部、</w:t>
      </w:r>
      <w:r>
        <w:rPr>
          <w:spacing w:val="0"/>
          <w:kern w:val="0"/>
          <w:position w:val="0"/>
        </w:rPr>
        <w:fldChar w:fldCharType="begin"/>
      </w:r>
      <w:r>
        <w:rPr>
          <w:spacing w:val="0"/>
          <w:kern w:val="0"/>
          <w:position w:val="0"/>
        </w:rPr>
        <w:instrText xml:space="preserve"> HYPERLINK "https://www.baidu.com/link?url=pV2gqlWQVIfLHb2GO1RMJVp24ETQ1a_TiqQ-2CHpcULsECvXubLhLHJTcTJbIedy&amp;wd=&amp;eqid=88c7d5f9006c2d6b0000000265780e74" \t "https://www.baidu.com/_blank" </w:instrText>
      </w:r>
      <w:r>
        <w:rPr>
          <w:spacing w:val="0"/>
          <w:kern w:val="0"/>
          <w:position w:val="0"/>
        </w:rPr>
        <w:fldChar w:fldCharType="separate"/>
      </w:r>
      <w:r>
        <w:rPr>
          <w:rFonts w:asciiTheme="minorEastAsia" w:hAnsiTheme="minorEastAsia" w:eastAsiaTheme="minorEastAsia" w:cstheme="minorEastAsia"/>
          <w:spacing w:val="0"/>
          <w:kern w:val="0"/>
          <w:position w:val="0"/>
          <w:sz w:val="24"/>
          <w:szCs w:val="24"/>
          <w:lang w:eastAsia="zh-CN"/>
        </w:rPr>
        <w:t>中华人民共和国国家发展和改革委员会</w:t>
      </w:r>
      <w:r>
        <w:rPr>
          <w:rFonts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spacing w:val="0"/>
          <w:kern w:val="0"/>
          <w:position w:val="0"/>
        </w:rPr>
        <w:fldChar w:fldCharType="begin"/>
      </w:r>
      <w:r>
        <w:rPr>
          <w:spacing w:val="0"/>
          <w:kern w:val="0"/>
          <w:position w:val="0"/>
        </w:rPr>
        <w:instrText xml:space="preserve"> HYPERLINK "https://www.baidu.com/link?url=pV2gqlWQVIfLHb2GO1RMJVp24ETQ1a_TiqQ-2CHpcULsECvXubLhLHJTcTJbIedy&amp;wd=&amp;eqid=88c7d5f9006c2d6b0000000265780e74" \t "https://www.baidu.com/_blank" </w:instrText>
      </w:r>
      <w:r>
        <w:rPr>
          <w:spacing w:val="0"/>
          <w:kern w:val="0"/>
          <w:position w:val="0"/>
        </w:rPr>
        <w:fldChar w:fldCharType="separate"/>
      </w:r>
      <w:r>
        <w:rPr>
          <w:rFonts w:asciiTheme="minorEastAsia" w:hAnsiTheme="minorEastAsia" w:eastAsiaTheme="minorEastAsia" w:cstheme="minorEastAsia"/>
          <w:spacing w:val="0"/>
          <w:kern w:val="0"/>
          <w:position w:val="0"/>
          <w:sz w:val="24"/>
          <w:szCs w:val="24"/>
          <w:lang w:eastAsia="zh-CN"/>
        </w:rPr>
        <w:t>中华人民共和国国家发展和改革委员会</w:t>
      </w:r>
      <w:r>
        <w:rPr>
          <w:rFonts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spacing w:val="0"/>
          <w:kern w:val="0"/>
          <w:position w:val="0"/>
        </w:rPr>
        <w:fldChar w:fldCharType="begin"/>
      </w:r>
      <w:r>
        <w:rPr>
          <w:spacing w:val="0"/>
          <w:kern w:val="0"/>
          <w:position w:val="0"/>
        </w:rPr>
        <w:instrText xml:space="preserve"> HYPERLINK "https://www.baidu.com/link?url=pV2gqlWQVIfLHb2GO1RMJVp24ETQ1a_TiqQ-2CHpcULsECvXubLhLHJTcTJbIedy&amp;wd=&amp;eqid=88c7d5f9006c2d6b0000000265780e74" \t "https://www.baidu.com/_blank" </w:instrText>
      </w:r>
      <w:r>
        <w:rPr>
          <w:spacing w:val="0"/>
          <w:kern w:val="0"/>
          <w:position w:val="0"/>
        </w:rPr>
        <w:fldChar w:fldCharType="separate"/>
      </w:r>
      <w:r>
        <w:rPr>
          <w:rFonts w:asciiTheme="minorEastAsia" w:hAnsiTheme="minorEastAsia" w:eastAsiaTheme="minorEastAsia" w:cstheme="minorEastAsia"/>
          <w:spacing w:val="0"/>
          <w:kern w:val="0"/>
          <w:position w:val="0"/>
          <w:sz w:val="24"/>
          <w:szCs w:val="24"/>
          <w:lang w:eastAsia="zh-CN"/>
        </w:rPr>
        <w:t>中华人民共和国国家发展和改革委员会</w:t>
      </w:r>
      <w:r>
        <w:rPr>
          <w:rFonts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、信息产业部以文件形式确定、公布并适时调整。</w:t>
      </w:r>
    </w:p>
    <w:p w14:paraId="49B7A60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.4.2 各级政府部门在购置计算机办公设备时，必须采购预装正版操作系统</w:t>
      </w:r>
    </w:p>
    <w:p w14:paraId="12012DEC">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53C5D7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.5 网络安全专用产品</w:t>
      </w:r>
    </w:p>
    <w:p w14:paraId="55E7B40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01FF7D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.6 采购需求标准</w:t>
      </w:r>
    </w:p>
    <w:p w14:paraId="10F8599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.6.1 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7079264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.6.2 绿色数据中心政府采购需求标准（试行）</w:t>
      </w:r>
    </w:p>
    <w:p w14:paraId="73A01F6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5FACAB26">
      <w:pPr>
        <w:pStyle w:val="6"/>
        <w:kinsoku/>
        <w:wordWrap w:val="0"/>
        <w:spacing w:line="360" w:lineRule="auto"/>
        <w:ind w:firstLine="482"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4</w:t>
      </w:r>
      <w:r>
        <w:rPr>
          <w:rFonts w:hint="eastAsia" w:asciiTheme="minorEastAsia" w:hAnsiTheme="minorEastAsia" w:eastAsiaTheme="minorEastAsia" w:cstheme="minorEastAsia"/>
          <w:b/>
          <w:bCs/>
          <w:spacing w:val="0"/>
          <w:kern w:val="0"/>
          <w:position w:val="0"/>
          <w:sz w:val="24"/>
          <w:szCs w:val="24"/>
          <w:lang w:eastAsia="zh-CN"/>
        </w:rPr>
        <w:t>.投标费用</w:t>
      </w:r>
    </w:p>
    <w:p w14:paraId="151ACAD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投标人应自行承担所有与准备和招标有关的费用，无论招标的结果如何，采购人或采购代理机构在任何情况下均无承担这些费用的义务和责任。</w:t>
      </w:r>
    </w:p>
    <w:p w14:paraId="48F0A2C8">
      <w:pPr>
        <w:kinsoku/>
        <w:wordWrap w:val="0"/>
        <w:spacing w:line="360" w:lineRule="auto"/>
        <w:ind w:firstLine="482" w:firstLineChars="200"/>
        <w:jc w:val="both"/>
        <w:rPr>
          <w:rFonts w:asciiTheme="minorEastAsia" w:hAnsiTheme="minorEastAsia" w:eastAsiaTheme="minorEastAsia" w:cstheme="minorEastAsia"/>
          <w:b/>
          <w:bCs/>
          <w:color w:val="auto"/>
          <w:spacing w:val="0"/>
          <w:kern w:val="0"/>
          <w:position w:val="0"/>
          <w:sz w:val="24"/>
          <w:szCs w:val="24"/>
          <w:lang w:eastAsia="zh-CN"/>
        </w:rPr>
      </w:pPr>
      <w:r>
        <w:rPr>
          <w:rFonts w:hint="eastAsia" w:asciiTheme="minorEastAsia" w:hAnsiTheme="minorEastAsia" w:eastAsiaTheme="minorEastAsia" w:cstheme="minorEastAsia"/>
          <w:b/>
          <w:bCs/>
          <w:color w:val="auto"/>
          <w:spacing w:val="0"/>
          <w:kern w:val="0"/>
          <w:position w:val="0"/>
          <w:sz w:val="24"/>
          <w:szCs w:val="24"/>
          <w:lang w:val="en-US" w:eastAsia="zh-CN"/>
        </w:rPr>
        <w:t>5</w:t>
      </w:r>
      <w:r>
        <w:rPr>
          <w:rFonts w:hint="eastAsia" w:asciiTheme="minorEastAsia" w:hAnsiTheme="minorEastAsia" w:eastAsiaTheme="minorEastAsia" w:cstheme="minorEastAsia"/>
          <w:b/>
          <w:bCs/>
          <w:color w:val="auto"/>
          <w:spacing w:val="0"/>
          <w:kern w:val="0"/>
          <w:position w:val="0"/>
          <w:sz w:val="24"/>
          <w:szCs w:val="24"/>
          <w:lang w:eastAsia="zh-CN"/>
        </w:rPr>
        <w:t>.采购范围及适用法律</w:t>
      </w:r>
    </w:p>
    <w:p w14:paraId="061AFCFA">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.1 本次招标适用的法律、法规为《中华人民共和国政府采购法》《中华人民共和国政府采购法实施条例》《政府采购货物和服务招标投标管理办法》《中华人民共和国民法典》以及其他相关政府采购法律法规。</w:t>
      </w:r>
    </w:p>
    <w:p w14:paraId="510DFBE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.2 “监督管理部门”是指</w:t>
      </w:r>
      <w:r>
        <w:rPr>
          <w:rFonts w:hint="eastAsia" w:asciiTheme="minorEastAsia" w:hAnsiTheme="minorEastAsia" w:eastAsiaTheme="minorEastAsia" w:cstheme="minorEastAsia"/>
          <w:spacing w:val="0"/>
          <w:kern w:val="0"/>
          <w:position w:val="0"/>
          <w:sz w:val="24"/>
          <w:szCs w:val="24"/>
          <w:u w:val="single"/>
          <w:lang w:eastAsia="zh-CN"/>
        </w:rPr>
        <w:t xml:space="preserve">  南阳市财政局  </w:t>
      </w:r>
      <w:r>
        <w:rPr>
          <w:rFonts w:hint="eastAsia" w:asciiTheme="minorEastAsia" w:hAnsiTheme="minorEastAsia" w:eastAsiaTheme="minorEastAsia" w:cstheme="minorEastAsia"/>
          <w:spacing w:val="0"/>
          <w:kern w:val="0"/>
          <w:position w:val="0"/>
          <w:sz w:val="24"/>
          <w:szCs w:val="24"/>
          <w:lang w:eastAsia="zh-CN"/>
        </w:rPr>
        <w:t>。</w:t>
      </w:r>
    </w:p>
    <w:p w14:paraId="4D22C4B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.3 “货物”指投标人按招标文件规定，须向采购人提供的与本次招标相关的</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智能化建设项目</w:t>
      </w:r>
      <w:r>
        <w:rPr>
          <w:rFonts w:hint="eastAsia" w:asciiTheme="minorEastAsia" w:hAnsiTheme="minorEastAsia" w:eastAsiaTheme="minorEastAsia" w:cstheme="minorEastAsia"/>
          <w:spacing w:val="0"/>
          <w:kern w:val="0"/>
          <w:position w:val="0"/>
          <w:sz w:val="24"/>
          <w:szCs w:val="24"/>
          <w:u w:val="single"/>
          <w:lang w:eastAsia="zh-CN"/>
        </w:rPr>
        <w:t xml:space="preserve">  。</w:t>
      </w:r>
    </w:p>
    <w:p w14:paraId="77F6F27A">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.4 “服务”指招标文件规定投标人应承担的</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安装及售后</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服务。</w:t>
      </w:r>
    </w:p>
    <w:p w14:paraId="0E04CD91">
      <w:pPr>
        <w:kinsoku/>
        <w:wordWrap w:val="0"/>
        <w:spacing w:line="360" w:lineRule="auto"/>
        <w:ind w:firstLine="567"/>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二、招标文件</w:t>
      </w:r>
    </w:p>
    <w:p w14:paraId="2BA28A75">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6</w:t>
      </w:r>
      <w:r>
        <w:rPr>
          <w:rFonts w:hint="eastAsia" w:asciiTheme="minorEastAsia" w:hAnsiTheme="minorEastAsia" w:eastAsiaTheme="minorEastAsia" w:cstheme="minorEastAsia"/>
          <w:b/>
          <w:bCs/>
          <w:spacing w:val="0"/>
          <w:kern w:val="0"/>
          <w:position w:val="0"/>
          <w:sz w:val="24"/>
          <w:szCs w:val="24"/>
          <w:lang w:eastAsia="zh-CN"/>
        </w:rPr>
        <w:t>.招标文件构成</w:t>
      </w:r>
    </w:p>
    <w:p w14:paraId="2C3E1DE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6</w:t>
      </w:r>
      <w:r>
        <w:rPr>
          <w:rFonts w:hint="eastAsia" w:asciiTheme="minorEastAsia" w:hAnsiTheme="minorEastAsia" w:eastAsiaTheme="minorEastAsia" w:cstheme="minorEastAsia"/>
          <w:spacing w:val="0"/>
          <w:kern w:val="0"/>
          <w:position w:val="0"/>
          <w:sz w:val="24"/>
          <w:szCs w:val="24"/>
          <w:lang w:eastAsia="zh-CN"/>
        </w:rPr>
        <w:t>.1 招标文件包括以下部分：</w:t>
      </w:r>
    </w:p>
    <w:p w14:paraId="707A849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第一章 公开招标公告</w:t>
      </w:r>
    </w:p>
    <w:p w14:paraId="7F0181F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第二章 采购需求</w:t>
      </w:r>
    </w:p>
    <w:p w14:paraId="57EC572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第三章 投标人须知</w:t>
      </w:r>
    </w:p>
    <w:p w14:paraId="337CE4B6">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第四章 开、评标程序、评标方法和评标标准</w:t>
      </w:r>
    </w:p>
    <w:p w14:paraId="2277019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第五章 政府采购合同（草案）</w:t>
      </w:r>
    </w:p>
    <w:p w14:paraId="262A721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第六章 投标文件格式</w:t>
      </w:r>
    </w:p>
    <w:p w14:paraId="67535E2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6</w:t>
      </w:r>
      <w:r>
        <w:rPr>
          <w:rFonts w:hint="eastAsia" w:asciiTheme="minorEastAsia" w:hAnsiTheme="minorEastAsia" w:eastAsiaTheme="minorEastAsia" w:cstheme="minorEastAsia"/>
          <w:spacing w:val="0"/>
          <w:kern w:val="0"/>
          <w:position w:val="0"/>
          <w:sz w:val="24"/>
          <w:szCs w:val="24"/>
          <w:lang w:eastAsia="zh-CN"/>
        </w:rPr>
        <w:t>.2 投标人应认真阅读招标文件的全部内容。投标人应按照招标文件要求提交投标文件并保证所提供的全部资料的真实性，并对招标文件做出实质性响应，否则投标无效。</w:t>
      </w:r>
    </w:p>
    <w:p w14:paraId="7EBA5072">
      <w:pPr>
        <w:pStyle w:val="6"/>
        <w:kinsoku/>
        <w:wordWrap w:val="0"/>
        <w:spacing w:line="360" w:lineRule="auto"/>
        <w:ind w:firstLine="482"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7</w:t>
      </w:r>
      <w:r>
        <w:rPr>
          <w:rFonts w:hint="eastAsia" w:asciiTheme="minorEastAsia" w:hAnsiTheme="minorEastAsia" w:eastAsiaTheme="minorEastAsia" w:cstheme="minorEastAsia"/>
          <w:b/>
          <w:bCs/>
          <w:spacing w:val="0"/>
          <w:kern w:val="0"/>
          <w:position w:val="0"/>
          <w:sz w:val="24"/>
          <w:szCs w:val="24"/>
          <w:lang w:eastAsia="zh-CN"/>
        </w:rPr>
        <w:t>.对招标文件的澄清或修改</w:t>
      </w:r>
    </w:p>
    <w:p w14:paraId="15A30AA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.1 采购人或采购代理机构对已发出的招标文件进行必要澄清或者修改的，将在原公告发布媒体上发布更正公告，不得改变采购标的和资格条件。</w:t>
      </w:r>
    </w:p>
    <w:p w14:paraId="2654AAE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7ED21E28">
      <w:pPr>
        <w:keepNext w:val="0"/>
        <w:keepLines w:val="0"/>
        <w:pageBreakBefore w:val="0"/>
        <w:widowControl w:val="0"/>
        <w:overflowPunct/>
        <w:topLinePunct w:val="0"/>
        <w:autoSpaceDE w:val="0"/>
        <w:autoSpaceDN w:val="0"/>
        <w:bidi w:val="0"/>
        <w:adjustRightInd w:val="0"/>
        <w:snapToGrid w:val="0"/>
        <w:spacing w:line="400" w:lineRule="exact"/>
        <w:ind w:firstLine="482" w:firstLineChars="200"/>
        <w:textAlignment w:val="baseline"/>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7</w:t>
      </w:r>
      <w:r>
        <w:rPr>
          <w:rFonts w:hint="eastAsia" w:asciiTheme="minorEastAsia" w:hAnsiTheme="minorEastAsia" w:eastAsiaTheme="minorEastAsia" w:cstheme="minorEastAsia"/>
          <w:b/>
          <w:bCs/>
          <w:spacing w:val="0"/>
          <w:kern w:val="0"/>
          <w:position w:val="0"/>
          <w:sz w:val="24"/>
          <w:szCs w:val="24"/>
          <w:lang w:eastAsia="zh-CN"/>
        </w:rPr>
        <w:t>.3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63B5F1C9">
      <w:pPr>
        <w:pStyle w:val="6"/>
        <w:keepNext w:val="0"/>
        <w:keepLines w:val="0"/>
        <w:pageBreakBefore w:val="0"/>
        <w:widowControl w:val="0"/>
        <w:kinsoku/>
        <w:wordWrap w:val="0"/>
        <w:overflowPunct/>
        <w:topLinePunct w:val="0"/>
        <w:autoSpaceDE w:val="0"/>
        <w:autoSpaceDN w:val="0"/>
        <w:bidi w:val="0"/>
        <w:adjustRightInd w:val="0"/>
        <w:snapToGrid w:val="0"/>
        <w:spacing w:line="400" w:lineRule="exact"/>
        <w:ind w:firstLine="482" w:firstLineChars="200"/>
        <w:jc w:val="both"/>
        <w:textAlignment w:val="baseline"/>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7</w:t>
      </w:r>
      <w:r>
        <w:rPr>
          <w:rFonts w:hint="eastAsia" w:asciiTheme="minorEastAsia" w:hAnsiTheme="minorEastAsia" w:eastAsiaTheme="minorEastAsia" w:cstheme="minorEastAsia"/>
          <w:b/>
          <w:bCs/>
          <w:spacing w:val="0"/>
          <w:kern w:val="0"/>
          <w:position w:val="0"/>
          <w:sz w:val="24"/>
          <w:szCs w:val="24"/>
          <w:lang w:eastAsia="zh-CN"/>
        </w:rPr>
        <w:t>.4 投标人应关注是否有发布最新的澄清更正公告和更正的最新招标文件（电子答疑文件），如有则需下载最新的招标文件，并在此基础上制作最新的投标文件并上传。</w:t>
      </w:r>
    </w:p>
    <w:p w14:paraId="2FC7E493">
      <w:pPr>
        <w:pStyle w:val="6"/>
        <w:kinsoku/>
        <w:wordWrap w:val="0"/>
        <w:spacing w:before="268"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三、投标文件的编制</w:t>
      </w:r>
    </w:p>
    <w:p w14:paraId="6ACA7DE8">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8</w:t>
      </w:r>
      <w:r>
        <w:rPr>
          <w:rFonts w:hint="eastAsia" w:asciiTheme="minorEastAsia" w:hAnsiTheme="minorEastAsia" w:eastAsiaTheme="minorEastAsia" w:cstheme="minorEastAsia"/>
          <w:b/>
          <w:bCs/>
          <w:spacing w:val="0"/>
          <w:kern w:val="0"/>
          <w:position w:val="0"/>
          <w:sz w:val="24"/>
          <w:szCs w:val="24"/>
          <w:lang w:eastAsia="zh-CN"/>
        </w:rPr>
        <w:t>.投标范围、投标文件中计量单位的使用及投标语言</w:t>
      </w:r>
    </w:p>
    <w:p w14:paraId="748CBDE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8</w:t>
      </w:r>
      <w:r>
        <w:rPr>
          <w:rFonts w:hint="eastAsia" w:asciiTheme="minorEastAsia" w:hAnsiTheme="minorEastAsia" w:eastAsiaTheme="minorEastAsia" w:cstheme="minorEastAsia"/>
          <w:spacing w:val="0"/>
          <w:kern w:val="0"/>
          <w:position w:val="0"/>
          <w:sz w:val="24"/>
          <w:szCs w:val="24"/>
          <w:lang w:eastAsia="zh-CN"/>
        </w:rPr>
        <w:t>.1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3208289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8</w:t>
      </w:r>
      <w:r>
        <w:rPr>
          <w:rFonts w:hint="eastAsia" w:asciiTheme="minorEastAsia" w:hAnsiTheme="minorEastAsia" w:eastAsiaTheme="minorEastAsia" w:cstheme="minorEastAsia"/>
          <w:spacing w:val="0"/>
          <w:kern w:val="0"/>
          <w:position w:val="0"/>
          <w:sz w:val="24"/>
          <w:szCs w:val="24"/>
          <w:lang w:eastAsia="zh-CN"/>
        </w:rPr>
        <w:t>.2 除招标文件有特殊要求外，本项目投标所使用的计量单位，应采用中华人民共和国法定计量单位。</w:t>
      </w:r>
    </w:p>
    <w:p w14:paraId="78D84E5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8</w:t>
      </w:r>
      <w:r>
        <w:rPr>
          <w:rFonts w:hint="eastAsia" w:asciiTheme="minorEastAsia" w:hAnsiTheme="minorEastAsia" w:eastAsiaTheme="minorEastAsia" w:cstheme="minorEastAsia"/>
          <w:spacing w:val="0"/>
          <w:kern w:val="0"/>
          <w:position w:val="0"/>
          <w:sz w:val="24"/>
          <w:szCs w:val="24"/>
          <w:lang w:eastAsia="zh-CN"/>
        </w:rPr>
        <w:t>.3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6F6E882">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9</w:t>
      </w:r>
      <w:r>
        <w:rPr>
          <w:rFonts w:hint="eastAsia" w:asciiTheme="minorEastAsia" w:hAnsiTheme="minorEastAsia" w:eastAsiaTheme="minorEastAsia" w:cstheme="minorEastAsia"/>
          <w:b/>
          <w:bCs/>
          <w:spacing w:val="0"/>
          <w:kern w:val="0"/>
          <w:position w:val="0"/>
          <w:sz w:val="24"/>
          <w:szCs w:val="24"/>
          <w:lang w:eastAsia="zh-CN"/>
        </w:rPr>
        <w:t>.投标文件构成</w:t>
      </w:r>
    </w:p>
    <w:p w14:paraId="6B779C2D">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.1 投标人应当按照招标文件的要求编制投标文件。投标文件应由《开标一览表及资格证明文件》、《技术文件》、《商务文件》三部分构成。投标文件的部分格式要求，见第六章《投标文件格式》。如有漏项或评标委员会认为其投标文件有明显缺陷的，造成的后果由投标人自己承担。</w:t>
      </w:r>
    </w:p>
    <w:p w14:paraId="2AEAD52A">
      <w:pPr>
        <w:pStyle w:val="25"/>
        <w:spacing w:line="360" w:lineRule="auto"/>
        <w:ind w:firstLine="480" w:firstLineChars="200"/>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47F65247">
      <w:pPr>
        <w:pStyle w:val="25"/>
        <w:spacing w:line="360" w:lineRule="auto"/>
        <w:ind w:firstLine="480" w:firstLineChars="200"/>
        <w:textAlignment w:val="auto"/>
        <w:rPr>
          <w:rFonts w:hAnsi="宋体" w:cs="宋体"/>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.3</w:t>
      </w:r>
      <w:r>
        <w:rPr>
          <w:rFonts w:hint="eastAsia" w:hAnsi="宋体" w:cs="宋体"/>
          <w:spacing w:val="0"/>
          <w:kern w:val="0"/>
          <w:position w:val="0"/>
          <w:sz w:val="24"/>
          <w:szCs w:val="24"/>
          <w:lang w:eastAsia="zh-CN"/>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1C66D484">
      <w:pPr>
        <w:pStyle w:val="25"/>
        <w:spacing w:line="360" w:lineRule="auto"/>
        <w:ind w:firstLine="480" w:firstLineChars="200"/>
        <w:textAlignment w:val="auto"/>
        <w:rPr>
          <w:rFonts w:hAnsi="宋体" w:cs="宋体"/>
          <w:b/>
          <w:bCs/>
          <w:spacing w:val="0"/>
          <w:kern w:val="0"/>
          <w:position w:val="0"/>
          <w:sz w:val="24"/>
          <w:szCs w:val="24"/>
          <w:lang w:eastAsia="zh-CN"/>
        </w:rPr>
      </w:pPr>
      <w:r>
        <w:rPr>
          <w:rFonts w:hint="eastAsia" w:hAnsi="宋体" w:cs="宋体"/>
          <w:b/>
          <w:bCs/>
          <w:spacing w:val="0"/>
          <w:kern w:val="0"/>
          <w:position w:val="0"/>
          <w:sz w:val="24"/>
          <w:szCs w:val="24"/>
          <w:lang w:val="en-US" w:eastAsia="zh-CN"/>
        </w:rPr>
        <w:t>9</w:t>
      </w:r>
      <w:r>
        <w:rPr>
          <w:rFonts w:hint="eastAsia" w:hAnsi="宋体" w:cs="宋体"/>
          <w:b/>
          <w:bCs/>
          <w:spacing w:val="0"/>
          <w:kern w:val="0"/>
          <w:position w:val="0"/>
          <w:sz w:val="24"/>
          <w:szCs w:val="24"/>
          <w:lang w:eastAsia="zh-CN"/>
        </w:rPr>
        <w:t>.4技术标文件制作要求：</w:t>
      </w:r>
    </w:p>
    <w:p w14:paraId="2A8D7BD9">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暗标编制格式要求：</w:t>
      </w:r>
    </w:p>
    <w:p w14:paraId="1C021846">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（1）版面要求：A4纸张大小，纵向排版（不设置封面）。</w:t>
      </w:r>
    </w:p>
    <w:p w14:paraId="39502F8C">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（2）颜色要求：所有文字、图表均为黑色。</w:t>
      </w:r>
    </w:p>
    <w:p w14:paraId="581D7E7E">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（3）字体要求：标题及正文部分所用文字均采用“宋体”四号“常规”字；图、表内的字体及字号不作要求；所有字体均不得出现加粗、加色、倾斜、下划线等标记。</w:t>
      </w:r>
    </w:p>
    <w:p w14:paraId="501C43AF">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排版要求：页边距要求上、下边距3厘米，左、右页边距2厘米；不得设置目录；正文行间距为固定值25磅；文字内容（含正文标题、正文及表格标题）统一设为左对齐，仅正文首行缩进2字符，不得有空格；段落前后不得设置空行；不得设置页眉、页脚和页码；图、表部分对齐形式统一设为居中对齐。</w:t>
      </w:r>
    </w:p>
    <w:p w14:paraId="6E401074">
      <w:pPr>
        <w:kinsoku/>
        <w:wordWrap w:val="0"/>
        <w:spacing w:line="360" w:lineRule="auto"/>
        <w:ind w:firstLine="482"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（5）除满足上述各项要求外，技术“暗标”中不得出现任何行间插字或删除痕迹，构成投标文件的“技术暗标”的正文中不得出现投标人的名称和其它可识别投标人身份的字符、徽标 、人员名称以及其他特殊标记等。</w:t>
      </w:r>
    </w:p>
    <w:p w14:paraId="42281B2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.5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pacing w:val="0"/>
          <w:kern w:val="0"/>
          <w:position w:val="0"/>
          <w:sz w:val="24"/>
          <w:szCs w:val="24"/>
          <w:lang w:eastAsia="zh-CN"/>
        </w:rPr>
        <w:t>否则，被视为无效投标文件，将被平台系统拒绝。</w:t>
      </w:r>
    </w:p>
    <w:p w14:paraId="0B938AF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.6 第四章《开评标程序、评标方法和评标标准》中涉及的证明文件。</w:t>
      </w:r>
    </w:p>
    <w:p w14:paraId="0423776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.7 对照第二章《采购需求》，说明所提供货物和服务已对第二章《采购需求》做出了响应，或申明与第二章《采购需求》的偏差和例外。如第二章《采购需求》中要求提供证明文件的，投标人应当按具体要求提供证明文件。</w:t>
      </w:r>
    </w:p>
    <w:p w14:paraId="44174613">
      <w:pPr>
        <w:kinsoku/>
        <w:wordWrap w:val="0"/>
        <w:spacing w:line="360" w:lineRule="auto"/>
        <w:ind w:firstLine="480" w:firstLineChars="200"/>
        <w:jc w:val="both"/>
        <w:rPr>
          <w:rFonts w:ascii="仿宋_GB2312" w:hAnsi="宋体" w:eastAsia="仿宋_GB2312"/>
          <w:b/>
          <w:color w:val="auto"/>
          <w:spacing w:val="0"/>
          <w:kern w:val="0"/>
          <w:position w:val="0"/>
          <w:sz w:val="28"/>
          <w:szCs w:val="28"/>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.8 投标人编制投标文件时，涉及营业执照、资质、业绩、财务、社保、纳税及各类证书、报告等内容，必须是原件的扫描件。</w:t>
      </w:r>
    </w:p>
    <w:p w14:paraId="3AC6CEAF">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.9 投标人认为应附的其他材料。</w:t>
      </w:r>
    </w:p>
    <w:p w14:paraId="1867A982">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0</w:t>
      </w:r>
      <w:r>
        <w:rPr>
          <w:rFonts w:hint="eastAsia" w:asciiTheme="minorEastAsia" w:hAnsiTheme="minorEastAsia" w:eastAsiaTheme="minorEastAsia" w:cstheme="minorEastAsia"/>
          <w:b/>
          <w:bCs/>
          <w:spacing w:val="0"/>
          <w:kern w:val="0"/>
          <w:position w:val="0"/>
          <w:sz w:val="24"/>
          <w:szCs w:val="24"/>
          <w:lang w:eastAsia="zh-CN"/>
        </w:rPr>
        <w:t>.投标报价</w:t>
      </w:r>
    </w:p>
    <w:p w14:paraId="32CD707A">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.1 所有投标均以人民币报价。</w:t>
      </w:r>
    </w:p>
    <w:p w14:paraId="75959ACA">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.2 投标人的报价应包括为完成本项目所发生的一切费用和税费，采购人将不再支付报价以外的任何费用。投标人的报价应包括但不限于下列内容，招标文件中有特殊规定的，从其规定。</w:t>
      </w:r>
    </w:p>
    <w:p w14:paraId="5C7477D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C0EA1F4">
      <w:pPr>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（2）服务项目按照招标文件要求完成本项目的全部相关费用。</w:t>
      </w:r>
    </w:p>
    <w:p w14:paraId="7918FED3">
      <w:pPr>
        <w:kinsoku/>
        <w:wordWrap w:val="0"/>
        <w:spacing w:line="360" w:lineRule="auto"/>
        <w:ind w:firstLine="480" w:firstLineChars="200"/>
        <w:jc w:val="both"/>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pP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val="en-US" w:eastAsia="zh-CN"/>
        </w:rPr>
        <w:t>3）</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在项目实施过程中可能发生的其它费用（如：增加耗材、增加设备、材料涨价、人工、运输成本增加等因素）。</w:t>
      </w:r>
    </w:p>
    <w:p w14:paraId="55689AA7">
      <w:pPr>
        <w:kinsoku/>
        <w:wordWrap w:val="0"/>
        <w:spacing w:line="360" w:lineRule="auto"/>
        <w:ind w:firstLine="480" w:firstLineChars="200"/>
        <w:jc w:val="both"/>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pP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val="en-US" w:eastAsia="zh-CN"/>
        </w:rPr>
        <w:t>4）</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第三方软件费用，包括但不限于软件产品费用、专利费用、授权费用等。</w:t>
      </w:r>
    </w:p>
    <w:p w14:paraId="1522A5C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.3 采购人不得向供应商索要或者接受其给予的赠品、回扣或者与采购无关的其他商品、服务。</w:t>
      </w:r>
    </w:p>
    <w:p w14:paraId="66149E8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.4 投标人不能提供任何有选择性或可调整的报价（招标文件另有规定的除外），否则其投标无效。</w:t>
      </w:r>
    </w:p>
    <w:p w14:paraId="45E0A588">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.5 本次招标设有预算，投标人报价超过预算的，评标委员会将不予评议。</w:t>
      </w:r>
    </w:p>
    <w:p w14:paraId="50111978">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0</w:t>
      </w:r>
      <w:r>
        <w:rPr>
          <w:rFonts w:hint="eastAsia" w:asciiTheme="minorEastAsia" w:hAnsiTheme="minorEastAsia" w:eastAsiaTheme="minorEastAsia" w:cstheme="minorEastAsia"/>
          <w:b/>
          <w:bCs/>
          <w:spacing w:val="0"/>
          <w:kern w:val="0"/>
          <w:position w:val="0"/>
          <w:sz w:val="24"/>
          <w:szCs w:val="24"/>
          <w:lang w:eastAsia="zh-CN"/>
        </w:rPr>
        <w:t>.6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报价是否合理由由评标委员会在评标现场作出判断。</w:t>
      </w:r>
    </w:p>
    <w:p w14:paraId="4E2F6709">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1</w:t>
      </w:r>
      <w:r>
        <w:rPr>
          <w:rFonts w:hint="eastAsia" w:asciiTheme="minorEastAsia" w:hAnsiTheme="minorEastAsia" w:eastAsiaTheme="minorEastAsia" w:cstheme="minorEastAsia"/>
          <w:b/>
          <w:bCs/>
          <w:spacing w:val="0"/>
          <w:kern w:val="0"/>
          <w:position w:val="0"/>
          <w:sz w:val="24"/>
          <w:szCs w:val="24"/>
          <w:lang w:eastAsia="zh-CN"/>
        </w:rPr>
        <w:t>.投标有效期</w:t>
      </w:r>
    </w:p>
    <w:p w14:paraId="6A797F2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1</w:t>
      </w:r>
      <w:r>
        <w:rPr>
          <w:rFonts w:hint="eastAsia" w:asciiTheme="minorEastAsia" w:hAnsiTheme="minorEastAsia" w:eastAsiaTheme="minorEastAsia" w:cstheme="minorEastAsia"/>
          <w:spacing w:val="0"/>
          <w:kern w:val="0"/>
          <w:position w:val="0"/>
          <w:sz w:val="24"/>
          <w:szCs w:val="24"/>
          <w:lang w:eastAsia="zh-CN"/>
        </w:rPr>
        <w:t>.1 投标文件应在本招标文件《投标人须知表》中规定的投标有效期内保持有效，投标有效期少于招标文件规定期限的，其投标无效。中标人的投标有效期延长至项目验收合格之日。</w:t>
      </w:r>
    </w:p>
    <w:p w14:paraId="5CE2D10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1</w:t>
      </w:r>
      <w:r>
        <w:rPr>
          <w:rFonts w:hint="eastAsia" w:asciiTheme="minorEastAsia" w:hAnsiTheme="minorEastAsia" w:eastAsiaTheme="minorEastAsia" w:cstheme="minorEastAsia"/>
          <w:spacing w:val="0"/>
          <w:kern w:val="0"/>
          <w:position w:val="0"/>
          <w:sz w:val="24"/>
          <w:szCs w:val="24"/>
          <w:lang w:eastAsia="zh-CN"/>
        </w:rPr>
        <w:t>.2 特别情况下，采购代理机构、采购人可于投标有效期满之前要求投标人同意延长有效期，要求与答复均为书面形式。投标人可以拒绝上述要求。对于同意该要求的投标人，既不要求也不允许其修改投标文件。</w:t>
      </w:r>
    </w:p>
    <w:p w14:paraId="23E9A555">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2</w:t>
      </w:r>
      <w:r>
        <w:rPr>
          <w:rFonts w:hint="eastAsia" w:asciiTheme="minorEastAsia" w:hAnsiTheme="minorEastAsia" w:eastAsiaTheme="minorEastAsia" w:cstheme="minorEastAsia"/>
          <w:b/>
          <w:bCs/>
          <w:spacing w:val="0"/>
          <w:kern w:val="0"/>
          <w:position w:val="0"/>
          <w:sz w:val="24"/>
          <w:szCs w:val="24"/>
          <w:lang w:eastAsia="zh-CN"/>
        </w:rPr>
        <w:t>.投标文件的签署、盖章</w:t>
      </w:r>
    </w:p>
    <w:p w14:paraId="05EB07C0">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2</w:t>
      </w:r>
      <w:r>
        <w:rPr>
          <w:rFonts w:hint="eastAsia" w:asciiTheme="minorEastAsia" w:hAnsiTheme="minorEastAsia" w:eastAsiaTheme="minorEastAsia" w:cstheme="minorEastAsia"/>
          <w:spacing w:val="0"/>
          <w:kern w:val="0"/>
          <w:position w:val="0"/>
          <w:sz w:val="24"/>
          <w:szCs w:val="24"/>
          <w:lang w:eastAsia="zh-CN"/>
        </w:rPr>
        <w:t>.1 电子投标文件必须在规定签章处电子签章或手写签字后扫描上传进投标文件。</w:t>
      </w:r>
    </w:p>
    <w:p w14:paraId="27744E0E">
      <w:pPr>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2</w:t>
      </w:r>
      <w:r>
        <w:rPr>
          <w:rFonts w:hint="eastAsia" w:asciiTheme="minorEastAsia" w:hAnsiTheme="minorEastAsia" w:eastAsiaTheme="minorEastAsia" w:cstheme="minorEastAsia"/>
          <w:spacing w:val="0"/>
          <w:kern w:val="0"/>
          <w:position w:val="0"/>
          <w:sz w:val="24"/>
          <w:szCs w:val="24"/>
          <w:lang w:eastAsia="zh-CN"/>
        </w:rPr>
        <w:t>.2 招标文件要求盖章的内容，一般通过CA加盖电子签章。</w:t>
      </w:r>
    </w:p>
    <w:p w14:paraId="35B58DCC">
      <w:pPr>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四、投标文件的提交</w:t>
      </w:r>
    </w:p>
    <w:p w14:paraId="184FFCD0">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3</w:t>
      </w:r>
      <w:r>
        <w:rPr>
          <w:rFonts w:hint="eastAsia" w:asciiTheme="minorEastAsia" w:hAnsiTheme="minorEastAsia" w:eastAsiaTheme="minorEastAsia" w:cstheme="minorEastAsia"/>
          <w:b/>
          <w:bCs/>
          <w:spacing w:val="0"/>
          <w:kern w:val="0"/>
          <w:position w:val="0"/>
          <w:sz w:val="24"/>
          <w:szCs w:val="24"/>
          <w:lang w:eastAsia="zh-CN"/>
        </w:rPr>
        <w:t>.投标文件的提交</w:t>
      </w:r>
    </w:p>
    <w:p w14:paraId="7EDDA94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.1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06261A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 采购人及采购代理机构拒绝接受通过电子交易平台以外任何形式提交的投标文件。</w:t>
      </w:r>
    </w:p>
    <w:p w14:paraId="41248DCD">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4</w:t>
      </w:r>
      <w:r>
        <w:rPr>
          <w:rFonts w:hint="eastAsia" w:asciiTheme="minorEastAsia" w:hAnsiTheme="minorEastAsia" w:eastAsiaTheme="minorEastAsia" w:cstheme="minorEastAsia"/>
          <w:b/>
          <w:bCs/>
          <w:spacing w:val="0"/>
          <w:kern w:val="0"/>
          <w:position w:val="0"/>
          <w:sz w:val="24"/>
          <w:szCs w:val="24"/>
          <w:lang w:eastAsia="zh-CN"/>
        </w:rPr>
        <w:t>.投标截止时间</w:t>
      </w:r>
    </w:p>
    <w:p w14:paraId="1690785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投标人应在招标文件要求的投标文件截止时间前，将电子投标文件提交至电子交易平台。</w:t>
      </w:r>
    </w:p>
    <w:p w14:paraId="46498D54">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5</w:t>
      </w:r>
      <w:r>
        <w:rPr>
          <w:rFonts w:hint="eastAsia" w:asciiTheme="minorEastAsia" w:hAnsiTheme="minorEastAsia" w:eastAsiaTheme="minorEastAsia" w:cstheme="minorEastAsia"/>
          <w:b/>
          <w:bCs/>
          <w:spacing w:val="0"/>
          <w:kern w:val="0"/>
          <w:position w:val="0"/>
          <w:sz w:val="24"/>
          <w:szCs w:val="24"/>
          <w:lang w:eastAsia="zh-CN"/>
        </w:rPr>
        <w:t>.投标文件的修改与撤回</w:t>
      </w:r>
    </w:p>
    <w:p w14:paraId="5AA57FB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F6C8822">
      <w:pPr>
        <w:pStyle w:val="6"/>
        <w:kinsoku/>
        <w:wordWrap w:val="0"/>
        <w:spacing w:before="353" w:line="219" w:lineRule="auto"/>
        <w:jc w:val="both"/>
        <w:rPr>
          <w:rFonts w:asciiTheme="minorEastAsia" w:hAnsiTheme="minorEastAsia" w:eastAsiaTheme="minorEastAsia" w:cstheme="minorEastAsia"/>
          <w:spacing w:val="0"/>
          <w:kern w:val="0"/>
          <w:position w:val="0"/>
          <w:sz w:val="36"/>
          <w:szCs w:val="36"/>
          <w:lang w:eastAsia="zh-CN"/>
        </w:rPr>
      </w:pPr>
    </w:p>
    <w:p w14:paraId="32DB5659">
      <w:pPr>
        <w:pStyle w:val="12"/>
        <w:rPr>
          <w:rFonts w:asciiTheme="minorEastAsia" w:hAnsiTheme="minorEastAsia" w:eastAsiaTheme="minorEastAsia" w:cstheme="minorEastAsia"/>
          <w:spacing w:val="0"/>
          <w:kern w:val="0"/>
          <w:position w:val="0"/>
          <w:sz w:val="36"/>
          <w:szCs w:val="36"/>
          <w:lang w:eastAsia="zh-CN"/>
        </w:rPr>
      </w:pPr>
    </w:p>
    <w:p w14:paraId="4C22C89F">
      <w:pPr>
        <w:pStyle w:val="6"/>
        <w:kinsoku/>
        <w:wordWrap w:val="0"/>
        <w:spacing w:line="219" w:lineRule="auto"/>
        <w:jc w:val="center"/>
        <w:rPr>
          <w:rFonts w:asciiTheme="minorEastAsia" w:hAnsiTheme="minorEastAsia" w:eastAsiaTheme="minorEastAsia" w:cstheme="minorEastAsia"/>
          <w:spacing w:val="0"/>
          <w:kern w:val="0"/>
          <w:position w:val="0"/>
          <w:sz w:val="36"/>
          <w:szCs w:val="36"/>
          <w:lang w:eastAsia="zh-CN"/>
        </w:rPr>
      </w:pPr>
    </w:p>
    <w:p w14:paraId="69EC3AFB">
      <w:pPr>
        <w:rPr>
          <w:rFonts w:asciiTheme="minorEastAsia" w:hAnsiTheme="minorEastAsia" w:eastAsiaTheme="minorEastAsia" w:cstheme="minorEastAsia"/>
          <w:spacing w:val="0"/>
          <w:kern w:val="0"/>
          <w:position w:val="0"/>
          <w:sz w:val="36"/>
          <w:szCs w:val="36"/>
          <w:lang w:eastAsia="zh-CN"/>
        </w:rPr>
      </w:pPr>
      <w:r>
        <w:rPr>
          <w:rFonts w:hint="eastAsia" w:asciiTheme="minorEastAsia" w:hAnsiTheme="minorEastAsia" w:eastAsiaTheme="minorEastAsia" w:cstheme="minorEastAsia"/>
          <w:spacing w:val="0"/>
          <w:kern w:val="0"/>
          <w:position w:val="0"/>
          <w:sz w:val="36"/>
          <w:szCs w:val="36"/>
          <w:lang w:eastAsia="zh-CN"/>
        </w:rPr>
        <w:br w:type="page"/>
      </w:r>
    </w:p>
    <w:p w14:paraId="7F5416AA">
      <w:pPr>
        <w:pStyle w:val="2"/>
        <w:bidi w:val="0"/>
        <w:spacing w:line="360" w:lineRule="auto"/>
        <w:jc w:val="center"/>
        <w:rPr>
          <w:rFonts w:asciiTheme="minorEastAsia" w:hAnsiTheme="minorEastAsia" w:eastAsiaTheme="minorEastAsia" w:cstheme="minorEastAsia"/>
          <w:spacing w:val="0"/>
          <w:kern w:val="0"/>
          <w:position w:val="0"/>
          <w:sz w:val="24"/>
          <w:szCs w:val="24"/>
          <w:lang w:eastAsia="zh-CN"/>
        </w:rPr>
      </w:pPr>
      <w:bookmarkStart w:id="4" w:name="_Toc14210"/>
      <w:r>
        <w:rPr>
          <w:rFonts w:hint="eastAsia" w:ascii="宋体" w:hAnsi="宋体" w:eastAsia="宋体" w:cs="Times New Roman"/>
          <w:spacing w:val="0"/>
          <w:kern w:val="0"/>
          <w:position w:val="0"/>
          <w:lang w:eastAsia="zh-CN"/>
        </w:rPr>
        <w:t>第四章 开、评标程序、评标方法和评标标准</w:t>
      </w:r>
      <w:bookmarkEnd w:id="4"/>
    </w:p>
    <w:p w14:paraId="6413853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一、开标</w:t>
      </w:r>
    </w:p>
    <w:p w14:paraId="6110FF4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1.采购人或采购代理机构按招标公告中规定的时间开标，本项目使用不见面开标，投标人无需到开标现场。</w:t>
      </w:r>
    </w:p>
    <w:p w14:paraId="7CC98D8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2.开标：</w:t>
      </w:r>
    </w:p>
    <w:p w14:paraId="7CDB051F">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892D0A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49AA0D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2.3 宣布开标结束。</w:t>
      </w:r>
    </w:p>
    <w:p w14:paraId="0B45EDBC">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二、资格审查</w:t>
      </w:r>
    </w:p>
    <w:p w14:paraId="6D96452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1.开标结束后，采购人或采购代理机构将根据资格审查要求中的规定，对投标人进行资格审查，并形成资格审查结果。</w:t>
      </w:r>
    </w:p>
    <w:p w14:paraId="3826B6B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2.投标人《资格证明文件》有任何一项不符合《资格审查要求》的，资格审查不合格，其投标无效。</w:t>
      </w:r>
    </w:p>
    <w:p w14:paraId="568B7E87">
      <w:pPr>
        <w:pStyle w:val="6"/>
        <w:kinsoku/>
        <w:wordWrap w:val="0"/>
        <w:spacing w:line="360" w:lineRule="auto"/>
        <w:ind w:firstLine="480" w:firstLineChars="200"/>
        <w:jc w:val="both"/>
        <w:rPr>
          <w:spacing w:val="0"/>
          <w:kern w:val="0"/>
          <w:position w:val="0"/>
        </w:rPr>
      </w:pPr>
      <w:r>
        <w:rPr>
          <w:rFonts w:hint="eastAsia" w:asciiTheme="minorEastAsia" w:hAnsiTheme="minorEastAsia" w:eastAsiaTheme="minorEastAsia" w:cstheme="minorEastAsia"/>
          <w:spacing w:val="0"/>
          <w:kern w:val="0"/>
          <w:position w:val="0"/>
          <w:sz w:val="24"/>
          <w:szCs w:val="24"/>
          <w:lang w:eastAsia="zh-CN"/>
        </w:rPr>
        <w:t>3.资格审查合格的投标人不足3家的，不进行评标。</w:t>
      </w:r>
    </w:p>
    <w:p w14:paraId="212DA756">
      <w:pPr>
        <w:bidi w:val="0"/>
        <w:jc w:val="center"/>
        <w:rPr>
          <w:rFonts w:hint="eastAsia" w:ascii="宋体" w:hAnsi="宋体" w:eastAsia="宋体" w:cs="宋体"/>
          <w:b/>
          <w:bCs/>
          <w:spacing w:val="0"/>
          <w:kern w:val="0"/>
          <w:position w:val="0"/>
          <w:sz w:val="24"/>
          <w:szCs w:val="24"/>
        </w:rPr>
      </w:pPr>
      <w:r>
        <w:rPr>
          <w:rFonts w:hint="eastAsia" w:ascii="宋体" w:hAnsi="宋体" w:eastAsia="宋体" w:cs="宋体"/>
          <w:b/>
          <w:bCs/>
          <w:spacing w:val="0"/>
          <w:kern w:val="0"/>
          <w:position w:val="0"/>
          <w:sz w:val="24"/>
          <w:szCs w:val="24"/>
        </w:rPr>
        <w:t>资格审查要求</w:t>
      </w:r>
    </w:p>
    <w:p w14:paraId="5C3B5A05">
      <w:pPr>
        <w:kinsoku/>
        <w:wordWrap w:val="0"/>
        <w:spacing w:line="146" w:lineRule="exact"/>
        <w:jc w:val="both"/>
        <w:rPr>
          <w:rFonts w:asciiTheme="minorEastAsia" w:hAnsiTheme="minorEastAsia" w:eastAsiaTheme="minorEastAsia" w:cstheme="minorEastAsia"/>
          <w:b/>
          <w:bCs/>
          <w:spacing w:val="0"/>
          <w:kern w:val="0"/>
          <w:position w:val="0"/>
        </w:rPr>
      </w:pPr>
    </w:p>
    <w:tbl>
      <w:tblPr>
        <w:tblStyle w:val="22"/>
        <w:tblW w:w="89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133"/>
        <w:gridCol w:w="3844"/>
        <w:gridCol w:w="3168"/>
      </w:tblGrid>
      <w:tr w14:paraId="5513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tcPr>
          <w:p w14:paraId="0FB90815">
            <w:pPr>
              <w:kinsoku/>
              <w:wordWrap w:val="0"/>
              <w:spacing w:before="119" w:line="222" w:lineRule="auto"/>
              <w:jc w:val="center"/>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rPr>
              <w:t>序号</w:t>
            </w:r>
          </w:p>
        </w:tc>
        <w:tc>
          <w:tcPr>
            <w:tcW w:w="1133" w:type="dxa"/>
          </w:tcPr>
          <w:p w14:paraId="69B59BE6">
            <w:pPr>
              <w:kinsoku/>
              <w:wordWrap w:val="0"/>
              <w:spacing w:before="119" w:line="220" w:lineRule="auto"/>
              <w:jc w:val="center"/>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rPr>
              <w:t>审查因素</w:t>
            </w:r>
          </w:p>
        </w:tc>
        <w:tc>
          <w:tcPr>
            <w:tcW w:w="3844" w:type="dxa"/>
          </w:tcPr>
          <w:p w14:paraId="41127D00">
            <w:pPr>
              <w:kinsoku/>
              <w:wordWrap w:val="0"/>
              <w:spacing w:before="119" w:line="220" w:lineRule="auto"/>
              <w:jc w:val="center"/>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rPr>
              <w:t>审查内容</w:t>
            </w:r>
          </w:p>
        </w:tc>
        <w:tc>
          <w:tcPr>
            <w:tcW w:w="3168" w:type="dxa"/>
          </w:tcPr>
          <w:p w14:paraId="68B0672D">
            <w:pPr>
              <w:kinsoku/>
              <w:wordWrap w:val="0"/>
              <w:spacing w:before="119" w:line="22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备注</w:t>
            </w:r>
          </w:p>
        </w:tc>
      </w:tr>
      <w:tr w14:paraId="64B3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vAlign w:val="center"/>
          </w:tcPr>
          <w:p w14:paraId="315837FD">
            <w:pPr>
              <w:pStyle w:val="23"/>
              <w:rPr>
                <w:spacing w:val="0"/>
                <w:kern w:val="0"/>
                <w:position w:val="0"/>
              </w:rPr>
            </w:pPr>
          </w:p>
          <w:p w14:paraId="3233F24A">
            <w:pPr>
              <w:pStyle w:val="23"/>
              <w:rPr>
                <w:spacing w:val="0"/>
                <w:kern w:val="0"/>
                <w:position w:val="0"/>
              </w:rPr>
            </w:pPr>
            <w:r>
              <w:rPr>
                <w:rFonts w:hint="eastAsia"/>
                <w:spacing w:val="0"/>
                <w:kern w:val="0"/>
                <w:position w:val="0"/>
              </w:rPr>
              <w:t>1</w:t>
            </w:r>
          </w:p>
        </w:tc>
        <w:tc>
          <w:tcPr>
            <w:tcW w:w="1133" w:type="dxa"/>
            <w:vAlign w:val="center"/>
          </w:tcPr>
          <w:p w14:paraId="5A880AF9">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满足第一章《公开招标公告》投标人具备的资格要求</w:t>
            </w:r>
          </w:p>
        </w:tc>
        <w:tc>
          <w:tcPr>
            <w:tcW w:w="3844" w:type="dxa"/>
          </w:tcPr>
          <w:p w14:paraId="4B481FAF">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1.注册于中华人民共和国境内，具有独立承担民事责任能力；</w:t>
            </w:r>
          </w:p>
          <w:p w14:paraId="40A9B663">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2.具有良好的商业信誉和健全的财务会计制度；</w:t>
            </w:r>
          </w:p>
          <w:p w14:paraId="2A935A6F">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3.具有履行合同所必需的设备和专业技术能力；</w:t>
            </w:r>
          </w:p>
          <w:p w14:paraId="608198F4">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4.有依法缴纳税收和社会保障资金的良好记录；</w:t>
            </w:r>
          </w:p>
          <w:p w14:paraId="7F9BB4A6">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5.参加政府采购活动前三年内，在经营活动中没有重大违法记录；</w:t>
            </w:r>
          </w:p>
          <w:p w14:paraId="2C147AE2">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7418645">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遵守国家有关法律、法规、规章。</w:t>
            </w:r>
          </w:p>
        </w:tc>
        <w:tc>
          <w:tcPr>
            <w:tcW w:w="3168" w:type="dxa"/>
          </w:tcPr>
          <w:p w14:paraId="426AF9C5">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投标人为企业（包括合伙企业、个体工商户）的，应提供有效的营业执照；</w:t>
            </w:r>
          </w:p>
          <w:p w14:paraId="0356259E">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投标人为事业单位的，应提供有效的事业单位法人证书；</w:t>
            </w:r>
          </w:p>
          <w:p w14:paraId="03909BD2">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投标人是非企业机构的，应提供有效的执业许可证、登记证书等证明文件；</w:t>
            </w:r>
          </w:p>
          <w:p w14:paraId="3E637E13">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投标人是自然人的，应提供有效的自然人身份证明。</w:t>
            </w:r>
          </w:p>
          <w:p w14:paraId="6BC22EB4">
            <w:pPr>
              <w:kinsoku/>
              <w:wordWrap w:val="0"/>
              <w:spacing w:before="32" w:line="232" w:lineRule="auto"/>
              <w:ind w:right="105"/>
              <w:jc w:val="both"/>
              <w:rPr>
                <w:rFonts w:asciiTheme="minorEastAsia" w:hAnsiTheme="minorEastAsia" w:eastAsiaTheme="minorEastAsia" w:cstheme="minorEastAsia"/>
                <w:spacing w:val="0"/>
                <w:kern w:val="0"/>
                <w:position w:val="0"/>
                <w:lang w:eastAsia="zh-CN"/>
              </w:rPr>
            </w:pPr>
            <w:r>
              <w:rPr>
                <w:rFonts w:hint="eastAsia" w:asciiTheme="minorEastAsia" w:hAnsiTheme="minorEastAsia" w:eastAsiaTheme="minorEastAsia" w:cstheme="minorEastAsia"/>
                <w:spacing w:val="0"/>
                <w:kern w:val="0"/>
                <w:position w:val="0"/>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A42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tcPr>
          <w:p w14:paraId="5F055ADE">
            <w:pPr>
              <w:pStyle w:val="23"/>
              <w:rPr>
                <w:spacing w:val="0"/>
                <w:kern w:val="0"/>
                <w:position w:val="0"/>
              </w:rPr>
            </w:pPr>
            <w:r>
              <w:rPr>
                <w:rFonts w:hint="eastAsia"/>
                <w:spacing w:val="0"/>
                <w:kern w:val="0"/>
                <w:position w:val="0"/>
              </w:rPr>
              <w:t>2</w:t>
            </w:r>
          </w:p>
        </w:tc>
        <w:tc>
          <w:tcPr>
            <w:tcW w:w="1133" w:type="dxa"/>
          </w:tcPr>
          <w:p w14:paraId="4D893BE3">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中小企业政策</w:t>
            </w:r>
          </w:p>
        </w:tc>
        <w:tc>
          <w:tcPr>
            <w:tcW w:w="3844" w:type="dxa"/>
          </w:tcPr>
          <w:p w14:paraId="637AA981">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具体要求见第一章《公开招标公告》</w:t>
            </w:r>
          </w:p>
        </w:tc>
        <w:tc>
          <w:tcPr>
            <w:tcW w:w="3168" w:type="dxa"/>
            <w:vAlign w:val="center"/>
          </w:tcPr>
          <w:p w14:paraId="0C11D397">
            <w:pPr>
              <w:pStyle w:val="23"/>
              <w:jc w:val="center"/>
              <w:rPr>
                <w:spacing w:val="0"/>
                <w:kern w:val="0"/>
                <w:position w:val="0"/>
              </w:rPr>
            </w:pPr>
          </w:p>
        </w:tc>
      </w:tr>
      <w:tr w14:paraId="7844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vAlign w:val="center"/>
          </w:tcPr>
          <w:p w14:paraId="61C5B317">
            <w:pPr>
              <w:pStyle w:val="23"/>
              <w:jc w:val="center"/>
              <w:rPr>
                <w:spacing w:val="0"/>
                <w:kern w:val="0"/>
                <w:position w:val="0"/>
              </w:rPr>
            </w:pPr>
            <w:r>
              <w:rPr>
                <w:rFonts w:hint="eastAsia"/>
                <w:spacing w:val="0"/>
                <w:kern w:val="0"/>
                <w:position w:val="0"/>
              </w:rPr>
              <w:t>2-1</w:t>
            </w:r>
          </w:p>
        </w:tc>
        <w:tc>
          <w:tcPr>
            <w:tcW w:w="1133" w:type="dxa"/>
            <w:vAlign w:val="center"/>
          </w:tcPr>
          <w:p w14:paraId="06C6F241">
            <w:pPr>
              <w:keepNext w:val="0"/>
              <w:keepLines w:val="0"/>
              <w:pageBreakBefore w:val="0"/>
              <w:widowControl/>
              <w:kinsoku/>
              <w:wordWrap w:val="0"/>
              <w:overflowPunct/>
              <w:topLinePunct/>
              <w:autoSpaceDE w:val="0"/>
              <w:autoSpaceDN w:val="0"/>
              <w:bidi w:val="0"/>
              <w:adjustRightInd w:val="0"/>
              <w:snapToGrid w:val="0"/>
              <w:spacing w:line="440" w:lineRule="exact"/>
              <w:ind w:left="0" w:right="0" w:firstLine="23"/>
              <w:jc w:val="center"/>
              <w:textAlignment w:val="baseline"/>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中小企业证明文件</w:t>
            </w:r>
          </w:p>
        </w:tc>
        <w:tc>
          <w:tcPr>
            <w:tcW w:w="3844" w:type="dxa"/>
          </w:tcPr>
          <w:p w14:paraId="1ADE78C0">
            <w:pPr>
              <w:keepNext w:val="0"/>
              <w:keepLines w:val="0"/>
              <w:pageBreakBefore w:val="0"/>
              <w:widowControl/>
              <w:kinsoku/>
              <w:wordWrap w:val="0"/>
              <w:overflowPunct/>
              <w:topLinePunct/>
              <w:autoSpaceDE w:val="0"/>
              <w:autoSpaceDN w:val="0"/>
              <w:bidi w:val="0"/>
              <w:adjustRightInd w:val="0"/>
              <w:snapToGrid w:val="0"/>
              <w:spacing w:line="440" w:lineRule="exact"/>
              <w:ind w:left="0" w:right="0" w:firstLine="14"/>
              <w:jc w:val="left"/>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当本项目（包）涉及预留份额专门面向中小企业采购，此时须在《资格证明文件》中提供。</w:t>
            </w:r>
          </w:p>
          <w:p w14:paraId="68745EC2">
            <w:pPr>
              <w:pStyle w:val="23"/>
              <w:keepNext w:val="0"/>
              <w:keepLines w:val="0"/>
              <w:pageBreakBefore w:val="0"/>
              <w:widowControl/>
              <w:kinsoku/>
              <w:wordWrap w:val="0"/>
              <w:overflowPunct/>
              <w:topLinePunct/>
              <w:autoSpaceDE w:val="0"/>
              <w:autoSpaceDN w:val="0"/>
              <w:bidi w:val="0"/>
              <w:adjustRightInd w:val="0"/>
              <w:snapToGrid w:val="0"/>
              <w:spacing w:line="440" w:lineRule="exact"/>
              <w:ind w:left="0" w:right="0"/>
              <w:jc w:val="left"/>
              <w:textAlignment w:val="baseline"/>
              <w:rPr>
                <w:spacing w:val="0"/>
                <w:kern w:val="0"/>
                <w:position w:val="0"/>
              </w:rPr>
            </w:pPr>
            <w:r>
              <w:rPr>
                <w:rFonts w:hint="eastAsia"/>
                <w:spacing w:val="0"/>
                <w:kern w:val="0"/>
                <w:position w:val="0"/>
              </w:rPr>
              <w:t>1、投标人单独投标的，应提供《中小企业声明函》或《残疾人福利性单位声明函》或由省级以上监狱管理局、戒毒管理局（含新疆生产建设兵团）出具的属于监狱企业的证明文件。</w:t>
            </w:r>
          </w:p>
          <w:p w14:paraId="4F74B253">
            <w:pPr>
              <w:pStyle w:val="23"/>
              <w:keepNext w:val="0"/>
              <w:keepLines w:val="0"/>
              <w:pageBreakBefore w:val="0"/>
              <w:widowControl/>
              <w:kinsoku/>
              <w:wordWrap w:val="0"/>
              <w:overflowPunct/>
              <w:topLinePunct/>
              <w:autoSpaceDE w:val="0"/>
              <w:autoSpaceDN w:val="0"/>
              <w:bidi w:val="0"/>
              <w:adjustRightInd w:val="0"/>
              <w:snapToGrid w:val="0"/>
              <w:spacing w:line="440" w:lineRule="exact"/>
              <w:ind w:left="0" w:right="0"/>
              <w:jc w:val="left"/>
              <w:textAlignment w:val="baseline"/>
              <w:rPr>
                <w:spacing w:val="0"/>
                <w:kern w:val="0"/>
                <w:position w:val="0"/>
              </w:rPr>
            </w:pPr>
            <w:r>
              <w:rPr>
                <w:rFonts w:hint="eastAsia"/>
                <w:spacing w:val="0"/>
                <w:kern w:val="0"/>
                <w:position w:val="0"/>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3168" w:type="dxa"/>
            <w:vAlign w:val="center"/>
          </w:tcPr>
          <w:p w14:paraId="2C571DCF">
            <w:pPr>
              <w:kinsoku/>
              <w:wordWrap w:val="0"/>
              <w:spacing w:before="78" w:line="229" w:lineRule="auto"/>
              <w:ind w:left="118" w:right="116" w:hanging="1"/>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格式见《投标文件格式》</w:t>
            </w:r>
          </w:p>
        </w:tc>
      </w:tr>
      <w:tr w14:paraId="03BD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tcPr>
          <w:p w14:paraId="6902000D">
            <w:pPr>
              <w:pStyle w:val="23"/>
              <w:rPr>
                <w:spacing w:val="0"/>
                <w:kern w:val="0"/>
                <w:position w:val="0"/>
              </w:rPr>
            </w:pPr>
            <w:r>
              <w:rPr>
                <w:rFonts w:hint="eastAsia"/>
                <w:spacing w:val="0"/>
                <w:kern w:val="0"/>
                <w:position w:val="0"/>
              </w:rPr>
              <w:t>3</w:t>
            </w:r>
          </w:p>
        </w:tc>
        <w:tc>
          <w:tcPr>
            <w:tcW w:w="1133" w:type="dxa"/>
          </w:tcPr>
          <w:p w14:paraId="0A2D8470">
            <w:pPr>
              <w:kinsoku/>
              <w:wordWrap w:val="0"/>
              <w:spacing w:before="35" w:line="224" w:lineRule="auto"/>
              <w:ind w:left="113"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本项目的其他资格要 求</w:t>
            </w:r>
          </w:p>
        </w:tc>
        <w:tc>
          <w:tcPr>
            <w:tcW w:w="3844" w:type="dxa"/>
          </w:tcPr>
          <w:p w14:paraId="434A3AFD">
            <w:pPr>
              <w:kinsoku/>
              <w:wordWrap w:val="0"/>
              <w:spacing w:before="192" w:line="219" w:lineRule="auto"/>
              <w:ind w:left="118"/>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如有，见第一章《公开招标公告》</w:t>
            </w:r>
          </w:p>
        </w:tc>
        <w:tc>
          <w:tcPr>
            <w:tcW w:w="3168" w:type="dxa"/>
          </w:tcPr>
          <w:p w14:paraId="0344BB6A">
            <w:pPr>
              <w:pStyle w:val="23"/>
              <w:rPr>
                <w:spacing w:val="0"/>
                <w:kern w:val="0"/>
                <w:position w:val="0"/>
              </w:rPr>
            </w:pPr>
          </w:p>
        </w:tc>
      </w:tr>
    </w:tbl>
    <w:p w14:paraId="417ADAB9">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pacing w:val="0"/>
          <w:kern w:val="0"/>
          <w:position w:val="0"/>
          <w:sz w:val="24"/>
          <w:szCs w:val="24"/>
          <w:lang w:val="zh-CN" w:eastAsia="zh-CN"/>
        </w:rPr>
        <w:t>在中标后，应将上述由信用承诺书替代的证明材料提交采购人或采购代理机构，证明材料将随公告一并公示。</w:t>
      </w:r>
    </w:p>
    <w:p w14:paraId="6425DD5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9BDB41F">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三、评标委员会</w:t>
      </w:r>
    </w:p>
    <w:p w14:paraId="0A7C0D8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5D05C8C2">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37FDA4D6">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1AA4103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4.评标委员会应当在评审报告上签字，对自己评审意见承担法律责任。</w:t>
      </w:r>
    </w:p>
    <w:p w14:paraId="381F1D5A">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7EA45F1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B60C4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FA9D887">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（1）评标委员会组成不符合本办法规定的;</w:t>
      </w:r>
    </w:p>
    <w:p w14:paraId="2EC3E94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（2）政府采购货物和服务招标投标管理办法（87号令）第六十二条第一至五项情形的;</w:t>
      </w:r>
    </w:p>
    <w:p w14:paraId="73E0008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（3）评标委员会及其成员独立评标受到非法干预的;</w:t>
      </w:r>
    </w:p>
    <w:p w14:paraId="44D7B25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（4）有政府采购法实施条例第七十五条规定的违法行为的。</w:t>
      </w:r>
    </w:p>
    <w:p w14:paraId="0B0EB4E2">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有违法违规行为的原评标委员会成员不得参加重新组建的评标委员会。</w:t>
      </w:r>
    </w:p>
    <w:p w14:paraId="6B6E7406">
      <w:pPr>
        <w:kinsoku/>
        <w:wordWrap w:val="0"/>
        <w:spacing w:line="360" w:lineRule="auto"/>
        <w:ind w:firstLine="480"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8.评审活动结束，按照《河南省政府采购评审专家劳务报酬支付标准》的通知(豫财购〔2017〕9号)的规定，发放劳务报酬。</w:t>
      </w:r>
    </w:p>
    <w:p w14:paraId="1D1B32E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四、投标文件的审查</w:t>
      </w:r>
    </w:p>
    <w:p w14:paraId="327946F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1.投标文件的符合性审查</w:t>
      </w:r>
    </w:p>
    <w:p w14:paraId="1912DB7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1.1 评标委员会对资格审查合格的投标人的投标文件进行符合性审查，以</w:t>
      </w:r>
    </w:p>
    <w:p w14:paraId="45D507C0">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确定其是否满足招标文件的实质性要求。</w:t>
      </w:r>
    </w:p>
    <w:p w14:paraId="4E5305A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9C44A1B">
      <w:pPr>
        <w:bidi w:val="0"/>
        <w:jc w:val="center"/>
        <w:rPr>
          <w:rFonts w:hint="eastAsia" w:ascii="宋体" w:hAnsi="宋体" w:eastAsia="宋体" w:cs="宋体"/>
          <w:b/>
          <w:bCs/>
          <w:spacing w:val="0"/>
          <w:kern w:val="0"/>
          <w:position w:val="0"/>
          <w:sz w:val="24"/>
          <w:szCs w:val="24"/>
        </w:rPr>
      </w:pPr>
      <w:r>
        <w:rPr>
          <w:rFonts w:hint="eastAsia" w:ascii="宋体" w:hAnsi="宋体" w:eastAsia="宋体" w:cs="宋体"/>
          <w:b/>
          <w:bCs/>
          <w:spacing w:val="0"/>
          <w:kern w:val="0"/>
          <w:position w:val="0"/>
          <w:sz w:val="24"/>
          <w:szCs w:val="24"/>
        </w:rPr>
        <w:t>符合性审查要求</w:t>
      </w:r>
    </w:p>
    <w:p w14:paraId="55A6CB16">
      <w:pPr>
        <w:kinsoku/>
        <w:wordWrap w:val="0"/>
        <w:spacing w:line="145" w:lineRule="exact"/>
        <w:jc w:val="both"/>
        <w:rPr>
          <w:rFonts w:asciiTheme="minorEastAsia" w:hAnsiTheme="minorEastAsia" w:eastAsiaTheme="minorEastAsia" w:cstheme="minorEastAsia"/>
          <w:spacing w:val="0"/>
          <w:kern w:val="0"/>
          <w:position w:val="0"/>
        </w:rPr>
      </w:pPr>
    </w:p>
    <w:tbl>
      <w:tblPr>
        <w:tblStyle w:val="2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3C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1C1EC346">
            <w:pPr>
              <w:kinsoku/>
              <w:wordWrap w:val="0"/>
              <w:spacing w:before="41" w:line="207" w:lineRule="auto"/>
              <w:ind w:left="143"/>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序号</w:t>
            </w:r>
          </w:p>
        </w:tc>
        <w:tc>
          <w:tcPr>
            <w:tcW w:w="1812" w:type="dxa"/>
          </w:tcPr>
          <w:p w14:paraId="1213D57B">
            <w:pPr>
              <w:kinsoku/>
              <w:wordWrap w:val="0"/>
              <w:spacing w:before="41" w:line="207" w:lineRule="auto"/>
              <w:ind w:left="439"/>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审查因素</w:t>
            </w:r>
          </w:p>
        </w:tc>
        <w:tc>
          <w:tcPr>
            <w:tcW w:w="5791" w:type="dxa"/>
          </w:tcPr>
          <w:p w14:paraId="6D32C520">
            <w:pPr>
              <w:kinsoku/>
              <w:wordWrap w:val="0"/>
              <w:spacing w:before="41" w:line="207" w:lineRule="auto"/>
              <w:ind w:left="2894"/>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审查内容</w:t>
            </w:r>
          </w:p>
        </w:tc>
      </w:tr>
      <w:tr w14:paraId="62AD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8916939">
            <w:pPr>
              <w:pStyle w:val="23"/>
              <w:rPr>
                <w:spacing w:val="0"/>
                <w:kern w:val="0"/>
                <w:position w:val="0"/>
              </w:rPr>
            </w:pPr>
            <w:r>
              <w:rPr>
                <w:rFonts w:hint="eastAsia"/>
                <w:spacing w:val="0"/>
                <w:kern w:val="0"/>
                <w:position w:val="0"/>
              </w:rPr>
              <w:t>1</w:t>
            </w:r>
          </w:p>
        </w:tc>
        <w:tc>
          <w:tcPr>
            <w:tcW w:w="1812" w:type="dxa"/>
          </w:tcPr>
          <w:p w14:paraId="2B184922">
            <w:pPr>
              <w:kinsoku/>
              <w:wordWrap w:val="0"/>
              <w:spacing w:before="222" w:line="219" w:lineRule="auto"/>
              <w:ind w:left="111"/>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授权委托书</w:t>
            </w:r>
          </w:p>
        </w:tc>
        <w:tc>
          <w:tcPr>
            <w:tcW w:w="5791" w:type="dxa"/>
          </w:tcPr>
          <w:p w14:paraId="43D68C8C">
            <w:pPr>
              <w:kinsoku/>
              <w:wordWrap w:val="0"/>
              <w:spacing w:before="222" w:line="184" w:lineRule="auto"/>
              <w:ind w:left="1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按招标文件要求提供授权委托书。</w:t>
            </w:r>
          </w:p>
        </w:tc>
      </w:tr>
      <w:tr w14:paraId="4BD5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9E49817">
            <w:pPr>
              <w:pStyle w:val="23"/>
              <w:rPr>
                <w:spacing w:val="0"/>
                <w:kern w:val="0"/>
                <w:position w:val="0"/>
              </w:rPr>
            </w:pPr>
            <w:r>
              <w:rPr>
                <w:rFonts w:hint="eastAsia"/>
                <w:spacing w:val="0"/>
                <w:kern w:val="0"/>
                <w:position w:val="0"/>
              </w:rPr>
              <w:t>2</w:t>
            </w:r>
          </w:p>
        </w:tc>
        <w:tc>
          <w:tcPr>
            <w:tcW w:w="1812" w:type="dxa"/>
            <w:vAlign w:val="center"/>
          </w:tcPr>
          <w:p w14:paraId="18F30ED0">
            <w:pPr>
              <w:kinsoku/>
              <w:wordWrap w:val="0"/>
              <w:spacing w:before="223" w:line="220" w:lineRule="auto"/>
              <w:ind w:left="115"/>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投标完整性</w:t>
            </w:r>
          </w:p>
        </w:tc>
        <w:tc>
          <w:tcPr>
            <w:tcW w:w="5791" w:type="dxa"/>
            <w:vAlign w:val="center"/>
          </w:tcPr>
          <w:p w14:paraId="6F89A48C">
            <w:pPr>
              <w:kinsoku/>
              <w:wordWrap w:val="0"/>
              <w:spacing w:before="222" w:line="184" w:lineRule="auto"/>
              <w:ind w:left="1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未将一个采购包中的内容拆分投标；</w:t>
            </w:r>
          </w:p>
          <w:p w14:paraId="30E32304">
            <w:pPr>
              <w:kinsoku/>
              <w:wordWrap w:val="0"/>
              <w:spacing w:before="222" w:line="184" w:lineRule="auto"/>
              <w:ind w:left="1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投标人对所投招标文件中所列的所有内容进行投标。</w:t>
            </w:r>
          </w:p>
        </w:tc>
      </w:tr>
      <w:tr w14:paraId="07D6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0E90C01D">
            <w:pPr>
              <w:pStyle w:val="23"/>
              <w:rPr>
                <w:spacing w:val="0"/>
                <w:kern w:val="0"/>
                <w:position w:val="0"/>
              </w:rPr>
            </w:pPr>
            <w:r>
              <w:rPr>
                <w:rFonts w:hint="eastAsia"/>
                <w:spacing w:val="0"/>
                <w:kern w:val="0"/>
                <w:position w:val="0"/>
              </w:rPr>
              <w:t>3</w:t>
            </w:r>
          </w:p>
        </w:tc>
        <w:tc>
          <w:tcPr>
            <w:tcW w:w="1812" w:type="dxa"/>
          </w:tcPr>
          <w:p w14:paraId="4479583D">
            <w:pPr>
              <w:kinsoku/>
              <w:wordWrap w:val="0"/>
              <w:spacing w:before="221" w:line="219" w:lineRule="auto"/>
              <w:ind w:left="115"/>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投标报价</w:t>
            </w:r>
          </w:p>
        </w:tc>
        <w:tc>
          <w:tcPr>
            <w:tcW w:w="5791" w:type="dxa"/>
          </w:tcPr>
          <w:p w14:paraId="4549BB0E">
            <w:pPr>
              <w:pStyle w:val="23"/>
              <w:rPr>
                <w:spacing w:val="0"/>
                <w:kern w:val="0"/>
                <w:position w:val="0"/>
              </w:rPr>
            </w:pPr>
            <w:r>
              <w:rPr>
                <w:rFonts w:hint="eastAsia"/>
                <w:spacing w:val="0"/>
                <w:kern w:val="0"/>
                <w:position w:val="0"/>
              </w:rPr>
              <w:t>投标报价未超过招标文件中规定的项目/采购包预算金额或者项目/采购包最高限价。</w:t>
            </w:r>
          </w:p>
        </w:tc>
      </w:tr>
      <w:tr w14:paraId="4829C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F7B0FE">
            <w:pPr>
              <w:pStyle w:val="23"/>
              <w:rPr>
                <w:spacing w:val="0"/>
                <w:kern w:val="0"/>
                <w:position w:val="0"/>
              </w:rPr>
            </w:pPr>
            <w:r>
              <w:rPr>
                <w:rFonts w:hint="eastAsia"/>
                <w:spacing w:val="0"/>
                <w:kern w:val="0"/>
                <w:position w:val="0"/>
              </w:rPr>
              <w:t>4</w:t>
            </w:r>
          </w:p>
        </w:tc>
        <w:tc>
          <w:tcPr>
            <w:tcW w:w="1812" w:type="dxa"/>
          </w:tcPr>
          <w:p w14:paraId="27186B0C">
            <w:pPr>
              <w:kinsoku/>
              <w:wordWrap w:val="0"/>
              <w:spacing w:before="223" w:line="219" w:lineRule="auto"/>
              <w:ind w:left="110"/>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报价唯一性</w:t>
            </w:r>
          </w:p>
        </w:tc>
        <w:tc>
          <w:tcPr>
            <w:tcW w:w="5791" w:type="dxa"/>
          </w:tcPr>
          <w:p w14:paraId="40816C1D">
            <w:pPr>
              <w:kinsoku/>
              <w:wordWrap w:val="0"/>
              <w:spacing w:before="68" w:line="230" w:lineRule="auto"/>
              <w:ind w:left="133" w:right="136" w:hanging="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投标文件未出现可选择性或可调整的报价（招标文件另有规定的除外）。</w:t>
            </w:r>
          </w:p>
        </w:tc>
      </w:tr>
      <w:tr w14:paraId="7E66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2533490">
            <w:pPr>
              <w:pStyle w:val="23"/>
              <w:rPr>
                <w:spacing w:val="0"/>
                <w:kern w:val="0"/>
                <w:position w:val="0"/>
              </w:rPr>
            </w:pPr>
            <w:r>
              <w:rPr>
                <w:rFonts w:hint="eastAsia"/>
                <w:spacing w:val="0"/>
                <w:kern w:val="0"/>
                <w:position w:val="0"/>
              </w:rPr>
              <w:t>5</w:t>
            </w:r>
          </w:p>
        </w:tc>
        <w:tc>
          <w:tcPr>
            <w:tcW w:w="1812" w:type="dxa"/>
          </w:tcPr>
          <w:p w14:paraId="160ECB9E">
            <w:pPr>
              <w:kinsoku/>
              <w:wordWrap w:val="0"/>
              <w:spacing w:before="222" w:line="221" w:lineRule="auto"/>
              <w:ind w:left="115"/>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投标有效期</w:t>
            </w:r>
          </w:p>
        </w:tc>
        <w:tc>
          <w:tcPr>
            <w:tcW w:w="5791" w:type="dxa"/>
          </w:tcPr>
          <w:p w14:paraId="5E8E62BF">
            <w:pPr>
              <w:kinsoku/>
              <w:wordWrap w:val="0"/>
              <w:spacing w:before="70" w:line="229" w:lineRule="auto"/>
              <w:ind w:left="117" w:right="13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投标文件中承诺的投标有效期满足招标文件中载明的投标有效期的。</w:t>
            </w:r>
          </w:p>
        </w:tc>
      </w:tr>
      <w:tr w14:paraId="545E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F60F072">
            <w:pPr>
              <w:pStyle w:val="23"/>
              <w:rPr>
                <w:spacing w:val="0"/>
                <w:kern w:val="0"/>
                <w:position w:val="0"/>
              </w:rPr>
            </w:pPr>
            <w:r>
              <w:rPr>
                <w:rFonts w:hint="eastAsia"/>
                <w:spacing w:val="0"/>
                <w:kern w:val="0"/>
                <w:position w:val="0"/>
              </w:rPr>
              <w:t>6</w:t>
            </w:r>
          </w:p>
        </w:tc>
        <w:tc>
          <w:tcPr>
            <w:tcW w:w="1812" w:type="dxa"/>
          </w:tcPr>
          <w:p w14:paraId="4F0E99BF">
            <w:pPr>
              <w:kinsoku/>
              <w:wordWrap w:val="0"/>
              <w:spacing w:before="224" w:line="220" w:lineRule="auto"/>
              <w:ind w:left="118"/>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实质性格式</w:t>
            </w:r>
          </w:p>
        </w:tc>
        <w:tc>
          <w:tcPr>
            <w:tcW w:w="5791" w:type="dxa"/>
          </w:tcPr>
          <w:p w14:paraId="5FBC31C3">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标记为实质性格式的文件均按招标文件要求提供且签署、盖章的。</w:t>
            </w:r>
          </w:p>
        </w:tc>
      </w:tr>
      <w:tr w14:paraId="7EF5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9F5A86B">
            <w:pPr>
              <w:pStyle w:val="23"/>
              <w:rPr>
                <w:spacing w:val="0"/>
                <w:kern w:val="0"/>
                <w:position w:val="0"/>
              </w:rPr>
            </w:pPr>
            <w:r>
              <w:rPr>
                <w:rFonts w:hint="eastAsia"/>
                <w:spacing w:val="0"/>
                <w:kern w:val="0"/>
                <w:position w:val="0"/>
              </w:rPr>
              <w:t>7</w:t>
            </w:r>
          </w:p>
        </w:tc>
        <w:tc>
          <w:tcPr>
            <w:tcW w:w="1812" w:type="dxa"/>
          </w:tcPr>
          <w:p w14:paraId="6C1593B7">
            <w:pPr>
              <w:kinsoku/>
              <w:wordWrap w:val="0"/>
              <w:spacing w:before="72" w:line="230" w:lineRule="auto"/>
              <w:ind w:left="112" w:right="123" w:hanging="2"/>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报价的修正（如有）</w:t>
            </w:r>
          </w:p>
        </w:tc>
        <w:tc>
          <w:tcPr>
            <w:tcW w:w="5791" w:type="dxa"/>
          </w:tcPr>
          <w:p w14:paraId="4C6815EB">
            <w:pPr>
              <w:kinsoku/>
              <w:wordWrap w:val="0"/>
              <w:spacing w:before="72" w:line="229" w:lineRule="auto"/>
              <w:ind w:left="114" w:right="136" w:firstLine="4"/>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不涉及报价修正，或投标文件报价出现前后不一致时，投标人对修正后的报价予以确认。</w:t>
            </w:r>
            <w:r>
              <w:rPr>
                <w:rFonts w:hint="eastAsia" w:asciiTheme="minorEastAsia" w:hAnsiTheme="minorEastAsia" w:eastAsiaTheme="minorEastAsia" w:cstheme="minorEastAsia"/>
                <w:spacing w:val="0"/>
                <w:kern w:val="0"/>
                <w:position w:val="0"/>
                <w:sz w:val="24"/>
                <w:szCs w:val="24"/>
              </w:rPr>
              <w:t>（如有）</w:t>
            </w:r>
          </w:p>
        </w:tc>
      </w:tr>
      <w:tr w14:paraId="477E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7D0A9F91">
            <w:pPr>
              <w:pStyle w:val="23"/>
              <w:rPr>
                <w:spacing w:val="0"/>
                <w:kern w:val="0"/>
                <w:position w:val="0"/>
              </w:rPr>
            </w:pPr>
          </w:p>
          <w:p w14:paraId="40E9E5D9">
            <w:pPr>
              <w:pStyle w:val="23"/>
              <w:rPr>
                <w:spacing w:val="0"/>
                <w:kern w:val="0"/>
                <w:position w:val="0"/>
              </w:rPr>
            </w:pPr>
            <w:r>
              <w:rPr>
                <w:rFonts w:hint="eastAsia"/>
                <w:spacing w:val="0"/>
                <w:kern w:val="0"/>
                <w:position w:val="0"/>
              </w:rPr>
              <w:t>8</w:t>
            </w:r>
          </w:p>
        </w:tc>
        <w:tc>
          <w:tcPr>
            <w:tcW w:w="1812" w:type="dxa"/>
          </w:tcPr>
          <w:p w14:paraId="6E6A3A8C">
            <w:pPr>
              <w:pStyle w:val="23"/>
              <w:rPr>
                <w:spacing w:val="0"/>
                <w:kern w:val="0"/>
                <w:position w:val="0"/>
              </w:rPr>
            </w:pPr>
          </w:p>
          <w:p w14:paraId="46054DCB">
            <w:pPr>
              <w:kinsoku/>
              <w:wordWrap w:val="0"/>
              <w:spacing w:before="78" w:line="219" w:lineRule="auto"/>
              <w:ind w:left="110"/>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报价合理性</w:t>
            </w:r>
          </w:p>
        </w:tc>
        <w:tc>
          <w:tcPr>
            <w:tcW w:w="5791" w:type="dxa"/>
          </w:tcPr>
          <w:p w14:paraId="73FC43C4">
            <w:pPr>
              <w:kinsoku/>
              <w:wordWrap w:val="0"/>
              <w:spacing w:before="41" w:line="228" w:lineRule="auto"/>
              <w:ind w:left="113" w:right="13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574A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0995F52">
            <w:pPr>
              <w:pStyle w:val="23"/>
              <w:rPr>
                <w:spacing w:val="0"/>
                <w:kern w:val="0"/>
                <w:position w:val="0"/>
              </w:rPr>
            </w:pPr>
            <w:r>
              <w:rPr>
                <w:rFonts w:hint="eastAsia"/>
                <w:spacing w:val="0"/>
                <w:kern w:val="0"/>
                <w:position w:val="0"/>
              </w:rPr>
              <w:t>9</w:t>
            </w:r>
          </w:p>
        </w:tc>
        <w:tc>
          <w:tcPr>
            <w:tcW w:w="1812" w:type="dxa"/>
          </w:tcPr>
          <w:p w14:paraId="61072105">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☑交货时间</w:t>
            </w:r>
          </w:p>
          <w:p w14:paraId="53A0ADDD">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□服务期限</w:t>
            </w:r>
          </w:p>
        </w:tc>
        <w:tc>
          <w:tcPr>
            <w:tcW w:w="5791" w:type="dxa"/>
            <w:vAlign w:val="center"/>
          </w:tcPr>
          <w:p w14:paraId="47472B88">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是否符合招标要求</w:t>
            </w:r>
            <w:r>
              <w:rPr>
                <w:rFonts w:hint="eastAsia" w:asciiTheme="minorEastAsia" w:hAnsiTheme="minorEastAsia" w:eastAsiaTheme="minorEastAsia" w:cstheme="minorEastAsia"/>
                <w:spacing w:val="0"/>
                <w:kern w:val="0"/>
                <w:position w:val="0"/>
                <w:sz w:val="24"/>
                <w:szCs w:val="24"/>
                <w:lang w:eastAsia="zh-CN"/>
              </w:rPr>
              <w:t>。</w:t>
            </w:r>
          </w:p>
        </w:tc>
      </w:tr>
      <w:tr w14:paraId="1473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5F427693">
            <w:pPr>
              <w:pStyle w:val="23"/>
              <w:rPr>
                <w:spacing w:val="0"/>
                <w:kern w:val="0"/>
                <w:position w:val="0"/>
              </w:rPr>
            </w:pPr>
            <w:r>
              <w:rPr>
                <w:rFonts w:hint="eastAsia"/>
                <w:spacing w:val="0"/>
                <w:kern w:val="0"/>
                <w:position w:val="0"/>
              </w:rPr>
              <w:t>10</w:t>
            </w:r>
          </w:p>
        </w:tc>
        <w:tc>
          <w:tcPr>
            <w:tcW w:w="1812" w:type="dxa"/>
            <w:vAlign w:val="center"/>
          </w:tcPr>
          <w:p w14:paraId="61311008">
            <w:pPr>
              <w:kinsoku/>
              <w:wordWrap w:val="0"/>
              <w:spacing w:before="78" w:line="219" w:lineRule="auto"/>
              <w:ind w:left="11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☑质保期</w:t>
            </w:r>
          </w:p>
          <w:p w14:paraId="7F4F0766">
            <w:pPr>
              <w:kinsoku/>
              <w:wordWrap w:val="0"/>
              <w:spacing w:before="78" w:line="219" w:lineRule="auto"/>
              <w:ind w:left="11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☑服务质量</w:t>
            </w:r>
          </w:p>
        </w:tc>
        <w:tc>
          <w:tcPr>
            <w:tcW w:w="5791" w:type="dxa"/>
            <w:vAlign w:val="center"/>
          </w:tcPr>
          <w:p w14:paraId="0A307DB5">
            <w:pPr>
              <w:kinsoku/>
              <w:wordWrap w:val="0"/>
              <w:spacing w:before="41" w:line="228" w:lineRule="auto"/>
              <w:ind w:left="113" w:right="13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是否符合招标要求</w:t>
            </w:r>
            <w:r>
              <w:rPr>
                <w:rFonts w:hint="eastAsia" w:asciiTheme="minorEastAsia" w:hAnsiTheme="minorEastAsia" w:eastAsiaTheme="minorEastAsia" w:cstheme="minorEastAsia"/>
                <w:spacing w:val="0"/>
                <w:kern w:val="0"/>
                <w:position w:val="0"/>
                <w:sz w:val="24"/>
                <w:szCs w:val="24"/>
                <w:lang w:eastAsia="zh-CN"/>
              </w:rPr>
              <w:t>。</w:t>
            </w:r>
          </w:p>
        </w:tc>
      </w:tr>
      <w:tr w14:paraId="5FD21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2D0D42B4">
            <w:pPr>
              <w:pStyle w:val="23"/>
              <w:jc w:val="center"/>
              <w:rPr>
                <w:spacing w:val="0"/>
                <w:kern w:val="0"/>
                <w:position w:val="0"/>
              </w:rPr>
            </w:pPr>
            <w:r>
              <w:rPr>
                <w:rFonts w:hint="eastAsia"/>
                <w:spacing w:val="0"/>
                <w:kern w:val="0"/>
                <w:position w:val="0"/>
              </w:rPr>
              <w:t>11</w:t>
            </w:r>
          </w:p>
        </w:tc>
        <w:tc>
          <w:tcPr>
            <w:tcW w:w="1812" w:type="dxa"/>
            <w:vAlign w:val="center"/>
          </w:tcPr>
          <w:p w14:paraId="27643CA6">
            <w:pPr>
              <w:kinsoku/>
              <w:wordWrap w:val="0"/>
              <w:spacing w:before="78" w:line="220" w:lineRule="auto"/>
              <w:ind w:left="120"/>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公平竞争</w:t>
            </w:r>
          </w:p>
        </w:tc>
        <w:tc>
          <w:tcPr>
            <w:tcW w:w="5791" w:type="dxa"/>
          </w:tcPr>
          <w:p w14:paraId="4BB661BF">
            <w:pPr>
              <w:kinsoku/>
              <w:wordWrap w:val="0"/>
              <w:spacing w:before="38" w:line="228" w:lineRule="auto"/>
              <w:ind w:left="113" w:right="136" w:firstLine="4"/>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投标人遵循公平竞争的原则，不存在恶意串通，妨碍其他投标人的竞争行为，不存在损害采购人或者其他投标人的合法权益情形的。</w:t>
            </w:r>
          </w:p>
        </w:tc>
      </w:tr>
      <w:tr w14:paraId="4E40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796C4FB5">
            <w:pPr>
              <w:pStyle w:val="23"/>
              <w:jc w:val="center"/>
              <w:rPr>
                <w:spacing w:val="0"/>
                <w:kern w:val="0"/>
                <w:position w:val="0"/>
              </w:rPr>
            </w:pPr>
            <w:r>
              <w:rPr>
                <w:rFonts w:hint="eastAsia"/>
                <w:spacing w:val="0"/>
                <w:kern w:val="0"/>
                <w:position w:val="0"/>
              </w:rPr>
              <w:t>12</w:t>
            </w:r>
          </w:p>
        </w:tc>
        <w:tc>
          <w:tcPr>
            <w:tcW w:w="1812" w:type="dxa"/>
            <w:vAlign w:val="center"/>
          </w:tcPr>
          <w:p w14:paraId="09484E06">
            <w:pPr>
              <w:kinsoku/>
              <w:wordWrap w:val="0"/>
              <w:spacing w:before="78" w:line="221" w:lineRule="auto"/>
              <w:ind w:left="134"/>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串通投标</w:t>
            </w:r>
          </w:p>
        </w:tc>
        <w:tc>
          <w:tcPr>
            <w:tcW w:w="5791" w:type="dxa"/>
            <w:vMerge w:val="restart"/>
          </w:tcPr>
          <w:p w14:paraId="07EA9666">
            <w:pPr>
              <w:kinsoku/>
              <w:wordWrap w:val="0"/>
              <w:spacing w:before="42" w:line="234" w:lineRule="auto"/>
              <w:ind w:left="113" w:right="2" w:firstLine="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不存在南阳市财政局关于防范供应商串通投标促进政府采购公平竞争的通知（宛财购〔2022〕3号）投标人串通投标的情形：</w:t>
            </w:r>
          </w:p>
          <w:p w14:paraId="72BA82C2">
            <w:pPr>
              <w:kinsoku/>
              <w:wordWrap w:val="0"/>
              <w:spacing w:line="234" w:lineRule="auto"/>
              <w:ind w:firstLine="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6DD3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18A9C3C1">
            <w:pPr>
              <w:pStyle w:val="23"/>
              <w:rPr>
                <w:spacing w:val="0"/>
                <w:kern w:val="0"/>
                <w:position w:val="0"/>
              </w:rPr>
            </w:pPr>
          </w:p>
        </w:tc>
        <w:tc>
          <w:tcPr>
            <w:tcW w:w="1812" w:type="dxa"/>
          </w:tcPr>
          <w:p w14:paraId="3ADBF915">
            <w:pPr>
              <w:kinsoku/>
              <w:wordWrap w:val="0"/>
              <w:spacing w:before="78" w:line="221" w:lineRule="auto"/>
              <w:ind w:left="134"/>
              <w:jc w:val="both"/>
              <w:rPr>
                <w:rFonts w:asciiTheme="minorEastAsia" w:hAnsiTheme="minorEastAsia" w:eastAsiaTheme="minorEastAsia" w:cstheme="minorEastAsia"/>
                <w:spacing w:val="0"/>
                <w:kern w:val="0"/>
                <w:position w:val="0"/>
                <w:sz w:val="24"/>
                <w:szCs w:val="24"/>
                <w:lang w:eastAsia="zh-CN"/>
              </w:rPr>
            </w:pPr>
          </w:p>
        </w:tc>
        <w:tc>
          <w:tcPr>
            <w:tcW w:w="5791" w:type="dxa"/>
            <w:vMerge w:val="continue"/>
          </w:tcPr>
          <w:p w14:paraId="558D7D27">
            <w:pPr>
              <w:pStyle w:val="13"/>
              <w:shd w:val="clear" w:color="auto" w:fill="FFFFFF"/>
              <w:kinsoku/>
              <w:wordWrap w:val="0"/>
              <w:spacing w:beforeAutospacing="0" w:afterAutospacing="0"/>
              <w:jc w:val="both"/>
              <w:rPr>
                <w:rFonts w:asciiTheme="minorEastAsia" w:hAnsiTheme="minorEastAsia" w:eastAsiaTheme="minorEastAsia" w:cstheme="minorEastAsia"/>
                <w:spacing w:val="0"/>
                <w:kern w:val="0"/>
                <w:position w:val="0"/>
                <w:szCs w:val="24"/>
              </w:rPr>
            </w:pPr>
          </w:p>
        </w:tc>
      </w:tr>
      <w:tr w14:paraId="4E8B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24F4401">
            <w:pPr>
              <w:pStyle w:val="23"/>
              <w:rPr>
                <w:spacing w:val="0"/>
                <w:kern w:val="0"/>
                <w:position w:val="0"/>
              </w:rPr>
            </w:pPr>
            <w:r>
              <w:rPr>
                <w:rFonts w:hint="eastAsia"/>
                <w:spacing w:val="0"/>
                <w:kern w:val="0"/>
                <w:position w:val="0"/>
              </w:rPr>
              <w:t>13</w:t>
            </w:r>
          </w:p>
        </w:tc>
        <w:tc>
          <w:tcPr>
            <w:tcW w:w="1812" w:type="dxa"/>
          </w:tcPr>
          <w:p w14:paraId="53EA5818">
            <w:pPr>
              <w:kinsoku/>
              <w:wordWrap w:val="0"/>
              <w:spacing w:before="228" w:line="219" w:lineRule="auto"/>
              <w:ind w:left="131"/>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附加条件</w:t>
            </w:r>
          </w:p>
        </w:tc>
        <w:tc>
          <w:tcPr>
            <w:tcW w:w="5791" w:type="dxa"/>
          </w:tcPr>
          <w:p w14:paraId="52A25F07">
            <w:pPr>
              <w:kinsoku/>
              <w:wordWrap w:val="0"/>
              <w:spacing w:before="228" w:line="219" w:lineRule="auto"/>
              <w:ind w:left="11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投标文件未含有采购人不能接受的附加条件的。</w:t>
            </w:r>
          </w:p>
        </w:tc>
      </w:tr>
      <w:tr w14:paraId="3E52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10A2C024">
            <w:pPr>
              <w:pStyle w:val="23"/>
              <w:rPr>
                <w:spacing w:val="0"/>
                <w:kern w:val="0"/>
                <w:position w:val="0"/>
              </w:rPr>
            </w:pPr>
            <w:r>
              <w:rPr>
                <w:rFonts w:hint="eastAsia"/>
                <w:spacing w:val="0"/>
                <w:kern w:val="0"/>
                <w:position w:val="0"/>
              </w:rPr>
              <w:t>14</w:t>
            </w:r>
          </w:p>
        </w:tc>
        <w:tc>
          <w:tcPr>
            <w:tcW w:w="1812" w:type="dxa"/>
          </w:tcPr>
          <w:p w14:paraId="263F4053">
            <w:pPr>
              <w:kinsoku/>
              <w:wordWrap w:val="0"/>
              <w:spacing w:before="226" w:line="221" w:lineRule="auto"/>
              <w:ind w:left="113"/>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其他无效情形</w:t>
            </w:r>
          </w:p>
        </w:tc>
        <w:tc>
          <w:tcPr>
            <w:tcW w:w="5791" w:type="dxa"/>
          </w:tcPr>
          <w:p w14:paraId="5012F79E">
            <w:pPr>
              <w:kinsoku/>
              <w:wordWrap w:val="0"/>
              <w:spacing w:before="74" w:line="229" w:lineRule="auto"/>
              <w:ind w:left="115" w:right="136" w:firstLine="1"/>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投标人、投标文件不存在不符合法律、法规和招标文件规定的其他无效情形。</w:t>
            </w:r>
          </w:p>
        </w:tc>
      </w:tr>
    </w:tbl>
    <w:p w14:paraId="580A0C3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2.技术审查</w:t>
      </w:r>
    </w:p>
    <w:p w14:paraId="2179C7B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☑货物类，审查投标设备的技术指标、技术性能或产品技术说明、项目供货、运输、</w:t>
      </w:r>
      <w:r>
        <w:rPr>
          <w:rFonts w:hint="eastAsia" w:asciiTheme="minorEastAsia" w:hAnsiTheme="minorEastAsia" w:eastAsiaTheme="minorEastAsia" w:cstheme="minorEastAsia"/>
          <w:spacing w:val="0"/>
          <w:kern w:val="0"/>
          <w:position w:val="0"/>
          <w:sz w:val="24"/>
          <w:szCs w:val="24"/>
          <w:lang w:val="en-US" w:eastAsia="zh-CN"/>
        </w:rPr>
        <w:t>安装及调试验收</w:t>
      </w:r>
      <w:r>
        <w:rPr>
          <w:rFonts w:hint="eastAsia" w:asciiTheme="minorEastAsia" w:hAnsiTheme="minorEastAsia" w:eastAsiaTheme="minorEastAsia" w:cstheme="minorEastAsia"/>
          <w:spacing w:val="0"/>
          <w:kern w:val="0"/>
          <w:position w:val="0"/>
          <w:sz w:val="24"/>
          <w:szCs w:val="24"/>
          <w:lang w:eastAsia="zh-CN"/>
        </w:rPr>
        <w:t>方案、培训</w:t>
      </w:r>
      <w:r>
        <w:rPr>
          <w:rFonts w:hint="eastAsia" w:asciiTheme="minorEastAsia" w:hAnsiTheme="minorEastAsia" w:eastAsiaTheme="minorEastAsia" w:cstheme="minorEastAsia"/>
          <w:spacing w:val="0"/>
          <w:kern w:val="0"/>
          <w:position w:val="0"/>
          <w:sz w:val="24"/>
          <w:szCs w:val="24"/>
          <w:lang w:val="en-US" w:eastAsia="zh-CN"/>
        </w:rPr>
        <w:t>方案、售后服务方案</w:t>
      </w:r>
      <w:r>
        <w:rPr>
          <w:rFonts w:hint="eastAsia" w:asciiTheme="minorEastAsia" w:hAnsiTheme="minorEastAsia" w:eastAsiaTheme="minorEastAsia" w:cstheme="minorEastAsia"/>
          <w:spacing w:val="0"/>
          <w:kern w:val="0"/>
          <w:position w:val="0"/>
          <w:sz w:val="24"/>
          <w:szCs w:val="24"/>
          <w:lang w:eastAsia="zh-CN"/>
        </w:rPr>
        <w:t>和强制节能产品证明文件等是否符合招标要求。</w:t>
      </w:r>
    </w:p>
    <w:p w14:paraId="20D059F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3.评标委员会将通过审查确定每一投标人是否对招标文件做出了实质性响应</w:t>
      </w:r>
    </w:p>
    <w:p w14:paraId="3F4AFE38">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1DEE6E50">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4.投标文件的澄清</w:t>
      </w:r>
    </w:p>
    <w:p w14:paraId="64B8FAE8">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DBF658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2BD108C5">
      <w:pPr>
        <w:kinsoku/>
        <w:wordWrap w:val="0"/>
        <w:spacing w:line="360" w:lineRule="auto"/>
        <w:ind w:firstLine="480"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4.3 投标人的澄清、说明或补正文件是投标文件的组成部分，并取代投标文件中被澄清、说明或补正的部分。</w:t>
      </w:r>
    </w:p>
    <w:p w14:paraId="5B3AAE6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五.评标方法和评标标准</w:t>
      </w:r>
    </w:p>
    <w:p w14:paraId="46ECD42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1.本项目采用的评标方法为：</w:t>
      </w:r>
    </w:p>
    <w:p w14:paraId="00C5082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6864FD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多家投标人提供的核心产品品牌相同且通过资格审查、符合性审查的，按一家投标人计算，评审后得分最高的同品牌投标人获得中标人推荐。</w:t>
      </w:r>
    </w:p>
    <w:p w14:paraId="5DEC267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2.非政府强制采购的节能产品或环境标志产品，依据品目清单和认证证书实施政府优先采购。优先采购的具体规定（如涉及）。</w:t>
      </w:r>
    </w:p>
    <w:p w14:paraId="2F4B42D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3.关于无线局域网认证产品政府采购清单中的产品，优先采购的具体规定（如涉及）。</w:t>
      </w:r>
    </w:p>
    <w:p w14:paraId="38D050F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4.确定中标候选人名单</w:t>
      </w:r>
    </w:p>
    <w:p w14:paraId="5F44AEE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81C081">
      <w:pPr>
        <w:pStyle w:val="6"/>
        <w:kinsoku/>
        <w:wordWrap w:val="0"/>
        <w:spacing w:line="360" w:lineRule="auto"/>
        <w:ind w:firstLine="480" w:firstLineChars="200"/>
        <w:jc w:val="both"/>
        <w:rPr>
          <w:rFonts w:asciiTheme="minorEastAsia" w:hAnsiTheme="minorEastAsia" w:eastAsiaTheme="minorEastAsia" w:cstheme="minorEastAsia"/>
          <w:color w:val="auto"/>
          <w:spacing w:val="0"/>
          <w:kern w:val="0"/>
          <w:position w:val="0"/>
          <w:sz w:val="24"/>
          <w:szCs w:val="24"/>
          <w:u w:val="single"/>
          <w:lang w:eastAsia="zh-CN"/>
        </w:rPr>
      </w:pPr>
      <w:r>
        <w:rPr>
          <w:rFonts w:hint="eastAsia" w:asciiTheme="minorEastAsia" w:hAnsiTheme="minorEastAsia" w:eastAsiaTheme="minorEastAsia" w:cstheme="minorEastAsia"/>
          <w:spacing w:val="0"/>
          <w:kern w:val="0"/>
          <w:position w:val="0"/>
          <w:sz w:val="24"/>
          <w:szCs w:val="24"/>
          <w:lang w:eastAsia="zh-CN"/>
        </w:rPr>
        <w:t>☑其他方式，</w:t>
      </w:r>
      <w:r>
        <w:rPr>
          <w:rFonts w:hint="eastAsia" w:asciiTheme="minorEastAsia" w:hAnsiTheme="minorEastAsia" w:eastAsiaTheme="minorEastAsia" w:cstheme="minorEastAsia"/>
          <w:color w:val="auto"/>
          <w:spacing w:val="0"/>
          <w:kern w:val="0"/>
          <w:position w:val="0"/>
          <w:sz w:val="24"/>
          <w:szCs w:val="24"/>
          <w:lang w:eastAsia="zh-CN"/>
        </w:rPr>
        <w:t>具体要求：</w:t>
      </w:r>
      <w:r>
        <w:rPr>
          <w:rFonts w:hint="eastAsia" w:asciiTheme="minorEastAsia" w:hAnsiTheme="minorEastAsia" w:eastAsiaTheme="minorEastAsia" w:cstheme="minorEastAsia"/>
          <w:color w:val="auto"/>
          <w:spacing w:val="0"/>
          <w:kern w:val="0"/>
          <w:position w:val="0"/>
          <w:sz w:val="24"/>
          <w:szCs w:val="24"/>
          <w:u w:val="single"/>
          <w:lang w:eastAsia="zh-CN"/>
        </w:rPr>
        <w:t xml:space="preserve">  评审得分相同的，投标报价最低的投标人获得中标人推荐资格  。</w:t>
      </w:r>
    </w:p>
    <w:p w14:paraId="201CE869">
      <w:pPr>
        <w:pStyle w:val="6"/>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4.2 采用综合评分法时，投标人的排名按得分顺序从高到低排列；得分相同的，按投标报价由低到高顺序排列；得分且投标报价相同的，按技术指标优劣顺序排列。</w:t>
      </w:r>
    </w:p>
    <w:p w14:paraId="5FEAB48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4.3 采用最低评标价法时，评标结果按照投标报价由低到高顺序排列。投标报价相同的并列。投标文件满足招标文件全部实质性要求且投标报价最低的投标人为排名第一的中标候选人。</w:t>
      </w:r>
    </w:p>
    <w:p w14:paraId="73DA93E4">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4.4 评标委员会要对评分汇总情况进行复核，特别是对排名第一的、报价最低的、投标文件被认定为无效的情形进行重点复核。</w:t>
      </w:r>
    </w:p>
    <w:p w14:paraId="2B65525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4.5 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0"/>
          <w:kern w:val="0"/>
          <w:position w:val="0"/>
          <w:sz w:val="24"/>
          <w:szCs w:val="24"/>
          <w:lang w:eastAsia="zh-CN"/>
        </w:rPr>
        <w:t>员会共推荐</w:t>
      </w:r>
      <w:r>
        <w:rPr>
          <w:rFonts w:hint="eastAsia" w:asciiTheme="minorEastAsia" w:hAnsiTheme="minorEastAsia" w:eastAsiaTheme="minorEastAsia" w:cstheme="minorEastAsia"/>
          <w:color w:val="auto"/>
          <w:spacing w:val="0"/>
          <w:kern w:val="0"/>
          <w:position w:val="0"/>
          <w:sz w:val="24"/>
          <w:szCs w:val="24"/>
          <w:u w:val="single"/>
          <w:lang w:eastAsia="zh-CN"/>
        </w:rPr>
        <w:t xml:space="preserve">  3  </w:t>
      </w:r>
      <w:r>
        <w:rPr>
          <w:rFonts w:hint="eastAsia" w:asciiTheme="minorEastAsia" w:hAnsiTheme="minorEastAsia" w:eastAsiaTheme="minorEastAsia" w:cstheme="minorEastAsia"/>
          <w:color w:val="auto"/>
          <w:spacing w:val="0"/>
          <w:kern w:val="0"/>
          <w:position w:val="0"/>
          <w:sz w:val="24"/>
          <w:szCs w:val="24"/>
          <w:lang w:eastAsia="zh-CN"/>
        </w:rPr>
        <w:t>名中标</w:t>
      </w:r>
      <w:r>
        <w:rPr>
          <w:rFonts w:hint="eastAsia" w:asciiTheme="minorEastAsia" w:hAnsiTheme="minorEastAsia" w:eastAsiaTheme="minorEastAsia" w:cstheme="minorEastAsia"/>
          <w:spacing w:val="0"/>
          <w:kern w:val="0"/>
          <w:position w:val="0"/>
          <w:sz w:val="24"/>
          <w:szCs w:val="24"/>
          <w:lang w:eastAsia="zh-CN"/>
        </w:rPr>
        <w:t>候选人。</w:t>
      </w:r>
    </w:p>
    <w:p w14:paraId="71633CE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5.报告违法行为</w:t>
      </w:r>
    </w:p>
    <w:p w14:paraId="3EFBF50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评标委员会在评标过程中发现投标人有行贿、提供虚假材料或者串通等违法行为时，有向采购人、采购代理机构或者有关部门报告的职责。</w:t>
      </w:r>
    </w:p>
    <w:p w14:paraId="0D1488ED">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6.确定中标人</w:t>
      </w:r>
    </w:p>
    <w:p w14:paraId="5CA4BAD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☑采购人应当在收到评标报告之日起5个工作日内，在评标报告确定的中标候选人名单中按顺序确定中标人。</w:t>
      </w:r>
    </w:p>
    <w:p w14:paraId="7EA22064">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7.投标人存在下列情况之一的，投标无效：</w:t>
      </w:r>
    </w:p>
    <w:p w14:paraId="30DAC9E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（1）投标文件未按招标文件要求签署、盖章的；</w:t>
      </w:r>
    </w:p>
    <w:p w14:paraId="46A581E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（2）不具备招标文件中规定的资格要求的；</w:t>
      </w:r>
    </w:p>
    <w:p w14:paraId="6221B4D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（3）报价超过招标文件中规定的预算金额或者最高限价的；</w:t>
      </w:r>
    </w:p>
    <w:p w14:paraId="5F72A897">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（4）投标文件含有采购人不能接受的附加条件的；</w:t>
      </w:r>
    </w:p>
    <w:p w14:paraId="6D956748">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（5）不符合应提交投标文件资料数量要求的；</w:t>
      </w:r>
    </w:p>
    <w:p w14:paraId="2CDE657E">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（6）开标解密时未在规定时间（30分钟）内进行解密成功的视为撤销其投标文件（因电子开标系统原因除外）；</w:t>
      </w:r>
    </w:p>
    <w:p w14:paraId="7318F72F">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（7）电子投标文件未使用CA认证并加密的；</w:t>
      </w:r>
    </w:p>
    <w:p w14:paraId="3636CC96">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（8）未在投标截止时间前完成上传的；</w:t>
      </w:r>
    </w:p>
    <w:p w14:paraId="67B94DF1">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（9）法律、法规和招标文件规定的其他无效情形。</w:t>
      </w:r>
    </w:p>
    <w:p w14:paraId="340C0B35">
      <w:pPr>
        <w:pStyle w:val="12"/>
        <w:ind w:firstLine="482" w:firstLineChars="200"/>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（10）</w:t>
      </w:r>
      <w:r>
        <w:rPr>
          <w:rFonts w:asciiTheme="minorEastAsia" w:hAnsiTheme="minorEastAsia" w:eastAsiaTheme="minorEastAsia" w:cstheme="minorEastAsia"/>
          <w:b/>
          <w:bCs/>
          <w:spacing w:val="0"/>
          <w:kern w:val="0"/>
          <w:position w:val="0"/>
          <w:sz w:val="24"/>
          <w:szCs w:val="24"/>
          <w:lang w:eastAsia="zh-CN"/>
        </w:rPr>
        <w:t>未按</w:t>
      </w:r>
      <w:r>
        <w:rPr>
          <w:rFonts w:hint="eastAsia" w:asciiTheme="minorEastAsia" w:hAnsiTheme="minorEastAsia" w:eastAsiaTheme="minorEastAsia" w:cstheme="minorEastAsia"/>
          <w:b/>
          <w:bCs/>
          <w:spacing w:val="0"/>
          <w:kern w:val="0"/>
          <w:position w:val="0"/>
          <w:sz w:val="24"/>
          <w:szCs w:val="24"/>
          <w:lang w:eastAsia="zh-CN"/>
        </w:rPr>
        <w:t>“</w:t>
      </w:r>
      <w:r>
        <w:rPr>
          <w:rFonts w:asciiTheme="minorEastAsia" w:hAnsiTheme="minorEastAsia" w:eastAsiaTheme="minorEastAsia" w:cstheme="minorEastAsia"/>
          <w:b/>
          <w:bCs/>
          <w:spacing w:val="0"/>
          <w:kern w:val="0"/>
          <w:position w:val="0"/>
          <w:sz w:val="24"/>
          <w:szCs w:val="24"/>
          <w:lang w:eastAsia="zh-CN"/>
        </w:rPr>
        <w:t>暗标</w:t>
      </w:r>
      <w:r>
        <w:rPr>
          <w:rFonts w:hint="eastAsia" w:asciiTheme="minorEastAsia" w:hAnsiTheme="minorEastAsia" w:eastAsiaTheme="minorEastAsia" w:cstheme="minorEastAsia"/>
          <w:b/>
          <w:bCs/>
          <w:spacing w:val="0"/>
          <w:kern w:val="0"/>
          <w:position w:val="0"/>
          <w:sz w:val="24"/>
          <w:szCs w:val="24"/>
          <w:lang w:eastAsia="zh-CN"/>
        </w:rPr>
        <w:t>”</w:t>
      </w:r>
      <w:r>
        <w:rPr>
          <w:rFonts w:asciiTheme="minorEastAsia" w:hAnsiTheme="minorEastAsia" w:eastAsiaTheme="minorEastAsia" w:cstheme="minorEastAsia"/>
          <w:b/>
          <w:bCs/>
          <w:spacing w:val="0"/>
          <w:kern w:val="0"/>
          <w:position w:val="0"/>
          <w:sz w:val="24"/>
          <w:szCs w:val="24"/>
          <w:lang w:eastAsia="zh-CN"/>
        </w:rPr>
        <w:t>要求编写技术或方案部分的</w:t>
      </w:r>
      <w:r>
        <w:rPr>
          <w:rFonts w:hint="eastAsia" w:asciiTheme="minorEastAsia" w:hAnsiTheme="minorEastAsia" w:eastAsiaTheme="minorEastAsia" w:cstheme="minorEastAsia"/>
          <w:b/>
          <w:bCs/>
          <w:spacing w:val="0"/>
          <w:kern w:val="0"/>
          <w:position w:val="0"/>
          <w:sz w:val="24"/>
          <w:szCs w:val="24"/>
          <w:lang w:eastAsia="zh-CN"/>
        </w:rPr>
        <w:t>。</w:t>
      </w:r>
    </w:p>
    <w:p w14:paraId="423718F6">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8.在招标采购中，出现下列情形之一的，应予废标：</w:t>
      </w:r>
    </w:p>
    <w:p w14:paraId="4391AC77">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（1）符合专业条件的供应商或者对招标文件作实质性响应的供应商不足三家的；</w:t>
      </w:r>
    </w:p>
    <w:p w14:paraId="37D53B5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（2）出现影响采购公正的违法、违规行为的；</w:t>
      </w:r>
    </w:p>
    <w:p w14:paraId="2680972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（3）投标人的报价均超过了预算金额，采购人不能支付的；</w:t>
      </w:r>
    </w:p>
    <w:p w14:paraId="4102A0CE">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（4）因重大变故，采购任务取消的。</w:t>
      </w:r>
    </w:p>
    <w:p w14:paraId="457BBD1E">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废标后，应当在指定媒体发布公告，将废标理由通知所有投标人。</w:t>
      </w:r>
    </w:p>
    <w:p w14:paraId="1DCBA23A">
      <w:pPr>
        <w:kinsoku/>
        <w:wordWrap w:val="0"/>
        <w:spacing w:line="256" w:lineRule="auto"/>
        <w:jc w:val="both"/>
        <w:rPr>
          <w:rFonts w:asciiTheme="minorEastAsia" w:hAnsiTheme="minorEastAsia" w:eastAsiaTheme="minorEastAsia" w:cstheme="minorEastAsia"/>
          <w:spacing w:val="0"/>
          <w:kern w:val="0"/>
          <w:position w:val="0"/>
          <w:lang w:eastAsia="zh-CN"/>
        </w:rPr>
      </w:pPr>
    </w:p>
    <w:p w14:paraId="5A09A98D">
      <w:pPr>
        <w:pStyle w:val="20"/>
        <w:rPr>
          <w:rFonts w:asciiTheme="minorEastAsia" w:hAnsiTheme="minorEastAsia" w:eastAsiaTheme="minorEastAsia" w:cstheme="minorEastAsia"/>
          <w:spacing w:val="0"/>
          <w:kern w:val="0"/>
          <w:position w:val="0"/>
          <w:lang w:eastAsia="zh-CN"/>
        </w:rPr>
      </w:pPr>
    </w:p>
    <w:p w14:paraId="1789BF48">
      <w:pPr>
        <w:pStyle w:val="20"/>
        <w:rPr>
          <w:rFonts w:asciiTheme="minorEastAsia" w:hAnsiTheme="minorEastAsia" w:eastAsiaTheme="minorEastAsia" w:cstheme="minorEastAsia"/>
          <w:spacing w:val="0"/>
          <w:kern w:val="0"/>
          <w:position w:val="0"/>
          <w:lang w:eastAsia="zh-CN"/>
        </w:rPr>
      </w:pPr>
    </w:p>
    <w:p w14:paraId="424E4528">
      <w:pPr>
        <w:pStyle w:val="20"/>
        <w:rPr>
          <w:rFonts w:asciiTheme="minorEastAsia" w:hAnsiTheme="minorEastAsia" w:eastAsiaTheme="minorEastAsia" w:cstheme="minorEastAsia"/>
          <w:spacing w:val="0"/>
          <w:kern w:val="0"/>
          <w:position w:val="0"/>
          <w:lang w:eastAsia="zh-CN"/>
        </w:rPr>
      </w:pPr>
    </w:p>
    <w:p w14:paraId="36D830E6">
      <w:pPr>
        <w:pStyle w:val="20"/>
        <w:rPr>
          <w:rFonts w:asciiTheme="minorEastAsia" w:hAnsiTheme="minorEastAsia" w:eastAsiaTheme="minorEastAsia" w:cstheme="minorEastAsia"/>
          <w:spacing w:val="0"/>
          <w:kern w:val="0"/>
          <w:position w:val="0"/>
          <w:lang w:eastAsia="zh-CN"/>
        </w:rPr>
      </w:pPr>
    </w:p>
    <w:p w14:paraId="269D5D49">
      <w:pPr>
        <w:pStyle w:val="20"/>
        <w:rPr>
          <w:rFonts w:asciiTheme="minorEastAsia" w:hAnsiTheme="minorEastAsia" w:eastAsiaTheme="minorEastAsia" w:cstheme="minorEastAsia"/>
          <w:spacing w:val="0"/>
          <w:kern w:val="0"/>
          <w:position w:val="0"/>
          <w:lang w:eastAsia="zh-CN"/>
        </w:rPr>
      </w:pPr>
    </w:p>
    <w:p w14:paraId="5741539D">
      <w:pPr>
        <w:pStyle w:val="20"/>
        <w:rPr>
          <w:rFonts w:asciiTheme="minorEastAsia" w:hAnsiTheme="minorEastAsia" w:eastAsiaTheme="minorEastAsia" w:cstheme="minorEastAsia"/>
          <w:spacing w:val="0"/>
          <w:kern w:val="0"/>
          <w:position w:val="0"/>
          <w:lang w:eastAsia="zh-CN"/>
        </w:rPr>
      </w:pPr>
    </w:p>
    <w:p w14:paraId="5F87C2E4">
      <w:pPr>
        <w:bidi w:val="0"/>
        <w:jc w:val="center"/>
        <w:rPr>
          <w:rFonts w:asciiTheme="minorEastAsia" w:hAnsiTheme="minorEastAsia" w:eastAsiaTheme="minorEastAsia" w:cstheme="minorEastAsia"/>
          <w:spacing w:val="0"/>
          <w:kern w:val="0"/>
          <w:position w:val="0"/>
        </w:rPr>
      </w:pPr>
      <w:r>
        <w:rPr>
          <w:rFonts w:hint="eastAsia" w:ascii="宋体" w:hAnsi="宋体" w:eastAsia="宋体" w:cs="宋体"/>
          <w:b/>
          <w:bCs/>
          <w:spacing w:val="0"/>
          <w:kern w:val="0"/>
          <w:position w:val="0"/>
          <w:sz w:val="24"/>
          <w:szCs w:val="24"/>
        </w:rPr>
        <w:t>评</w:t>
      </w:r>
      <w:r>
        <w:rPr>
          <w:rFonts w:hint="eastAsia" w:ascii="宋体" w:hAnsi="宋体" w:eastAsia="宋体" w:cs="宋体"/>
          <w:b/>
          <w:bCs/>
          <w:spacing w:val="0"/>
          <w:kern w:val="0"/>
          <w:position w:val="0"/>
          <w:sz w:val="24"/>
          <w:szCs w:val="24"/>
          <w:lang w:eastAsia="zh-CN"/>
        </w:rPr>
        <w:t>分</w:t>
      </w:r>
      <w:r>
        <w:rPr>
          <w:rFonts w:hint="eastAsia" w:ascii="宋体" w:hAnsi="宋体" w:eastAsia="宋体" w:cs="宋体"/>
          <w:b/>
          <w:bCs/>
          <w:spacing w:val="0"/>
          <w:kern w:val="0"/>
          <w:position w:val="0"/>
          <w:sz w:val="24"/>
          <w:szCs w:val="24"/>
        </w:rPr>
        <w:t>标准</w:t>
      </w:r>
    </w:p>
    <w:tbl>
      <w:tblPr>
        <w:tblStyle w:val="22"/>
        <w:tblW w:w="8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873"/>
        <w:gridCol w:w="1734"/>
        <w:gridCol w:w="4017"/>
      </w:tblGrid>
      <w:tr w14:paraId="6914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tcPr>
          <w:p w14:paraId="172731DD">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序号</w:t>
            </w:r>
          </w:p>
        </w:tc>
        <w:tc>
          <w:tcPr>
            <w:tcW w:w="1147" w:type="dxa"/>
          </w:tcPr>
          <w:p w14:paraId="4A8FB59A">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评分因素</w:t>
            </w:r>
          </w:p>
        </w:tc>
        <w:tc>
          <w:tcPr>
            <w:tcW w:w="873" w:type="dxa"/>
          </w:tcPr>
          <w:p w14:paraId="1945CBC1">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分值</w:t>
            </w:r>
          </w:p>
        </w:tc>
        <w:tc>
          <w:tcPr>
            <w:tcW w:w="1734" w:type="dxa"/>
          </w:tcPr>
          <w:p w14:paraId="6B0D4379">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评分标准</w:t>
            </w:r>
          </w:p>
        </w:tc>
        <w:tc>
          <w:tcPr>
            <w:tcW w:w="4017" w:type="dxa"/>
          </w:tcPr>
          <w:p w14:paraId="1360B34B">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说明</w:t>
            </w:r>
          </w:p>
        </w:tc>
      </w:tr>
      <w:tr w14:paraId="18E06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24FFBC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60FAF89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0D3A5EE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56A68B6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1A83CAE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5D38E26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A22297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2154ED8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3621633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1</w:t>
            </w:r>
          </w:p>
          <w:p w14:paraId="4BE359B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930B6A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CD4F3E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0BEF6DB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14E9866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1F93C0A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993D50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23C4823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7D13D53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Align w:val="center"/>
          </w:tcPr>
          <w:p w14:paraId="7CFBDE8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6EA6A2D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23E0DB2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6B8FC259">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40CB8F8D">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1B4F8A4E">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7603E814">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投标报价</w:t>
            </w:r>
          </w:p>
          <w:p w14:paraId="10C7AEF0">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pacing w:val="0"/>
                <w:kern w:val="0"/>
                <w:position w:val="0"/>
                <w:sz w:val="24"/>
                <w:szCs w:val="24"/>
                <w:highlight w:val="none"/>
                <w:lang w:eastAsia="zh-CN"/>
              </w:rPr>
              <w:t>（30分）</w:t>
            </w:r>
          </w:p>
          <w:p w14:paraId="5A6237ED">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083EED5C">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6AB505AF">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294E1E61">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1752159E">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2F315BA9">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tc>
        <w:tc>
          <w:tcPr>
            <w:tcW w:w="873" w:type="dxa"/>
            <w:vAlign w:val="center"/>
          </w:tcPr>
          <w:p w14:paraId="6138415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30分</w:t>
            </w:r>
          </w:p>
        </w:tc>
        <w:tc>
          <w:tcPr>
            <w:tcW w:w="1734" w:type="dxa"/>
          </w:tcPr>
          <w:p w14:paraId="5A277A95">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pacing w:val="0"/>
                <w:kern w:val="0"/>
                <w:position w:val="0"/>
                <w:sz w:val="24"/>
                <w:szCs w:val="24"/>
                <w:highlight w:val="none"/>
                <w:lang w:eastAsia="zh-CN"/>
              </w:rPr>
              <w:t>满足招标文件要求且投标价格最低的投标报价为评标基准价，其价格分为满分。其他投标人的价格分统一按照下列公式计算：</w:t>
            </w:r>
          </w:p>
          <w:p w14:paraId="54E171F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投标报价得分＝（评标基准价/投标报价）×30。</w:t>
            </w:r>
          </w:p>
        </w:tc>
        <w:tc>
          <w:tcPr>
            <w:tcW w:w="4017" w:type="dxa"/>
          </w:tcPr>
          <w:p w14:paraId="365B2F58">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宋体" w:hAnsi="宋体" w:eastAsia="宋体" w:cs="宋体"/>
                <w:color w:val="auto"/>
                <w:spacing w:val="0"/>
                <w:kern w:val="0"/>
                <w:position w:val="0"/>
                <w:sz w:val="24"/>
                <w:szCs w:val="24"/>
                <w:highlight w:val="none"/>
                <w:lang w:eastAsia="zh-CN"/>
              </w:rPr>
              <w:t>扣除</w:t>
            </w:r>
            <w:r>
              <w:rPr>
                <w:rFonts w:hint="eastAsia" w:ascii="宋体" w:hAnsi="宋体" w:eastAsia="宋体" w:cs="宋体"/>
                <w:color w:val="auto"/>
                <w:spacing w:val="0"/>
                <w:kern w:val="0"/>
                <w:position w:val="0"/>
                <w:sz w:val="24"/>
                <w:szCs w:val="24"/>
                <w:highlight w:val="none"/>
                <w:u w:val="single"/>
                <w:lang w:eastAsia="zh-CN"/>
              </w:rPr>
              <w:t xml:space="preserve">  1</w:t>
            </w:r>
            <w:r>
              <w:rPr>
                <w:rFonts w:hint="eastAsia" w:ascii="宋体" w:hAnsi="宋体" w:eastAsia="宋体" w:cs="宋体"/>
                <w:color w:val="auto"/>
                <w:spacing w:val="0"/>
                <w:kern w:val="0"/>
                <w:position w:val="0"/>
                <w:sz w:val="24"/>
                <w:szCs w:val="24"/>
                <w:highlight w:val="none"/>
                <w:u w:val="single"/>
                <w:lang w:val="en-US" w:eastAsia="zh-CN"/>
              </w:rPr>
              <w:t>5</w:t>
            </w:r>
            <w:r>
              <w:rPr>
                <w:rFonts w:hint="eastAsia" w:ascii="宋体" w:hAnsi="宋体" w:eastAsia="宋体" w:cs="宋体"/>
                <w:color w:val="auto"/>
                <w:spacing w:val="0"/>
                <w:kern w:val="0"/>
                <w:position w:val="0"/>
                <w:sz w:val="24"/>
                <w:szCs w:val="24"/>
                <w:highlight w:val="none"/>
                <w:u w:val="single"/>
                <w:lang w:eastAsia="zh-CN"/>
              </w:rPr>
              <w:t xml:space="preserve">  </w:t>
            </w:r>
            <w:r>
              <w:rPr>
                <w:rFonts w:hint="eastAsia" w:ascii="宋体" w:hAnsi="宋体" w:eastAsia="宋体" w:cs="宋体"/>
                <w:color w:val="auto"/>
                <w:spacing w:val="0"/>
                <w:kern w:val="0"/>
                <w:position w:val="0"/>
                <w:sz w:val="24"/>
                <w:szCs w:val="24"/>
                <w:highlight w:val="none"/>
                <w:lang w:eastAsia="zh-CN"/>
              </w:rPr>
              <w:t>%后参与评</w:t>
            </w:r>
            <w:r>
              <w:rPr>
                <w:rFonts w:hint="eastAsia" w:ascii="宋体" w:hAnsi="宋体" w:eastAsia="宋体" w:cs="宋体"/>
                <w:spacing w:val="0"/>
                <w:kern w:val="0"/>
                <w:position w:val="0"/>
                <w:sz w:val="24"/>
                <w:szCs w:val="24"/>
                <w:highlight w:val="none"/>
                <w:lang w:eastAsia="zh-CN"/>
              </w:rPr>
              <w:t>审，</w:t>
            </w:r>
            <w:r>
              <w:rPr>
                <w:rFonts w:hint="eastAsia" w:asciiTheme="minorEastAsia" w:hAnsiTheme="minorEastAsia" w:eastAsiaTheme="minorEastAsia" w:cstheme="minorEastAsia"/>
                <w:spacing w:val="-13"/>
                <w:sz w:val="24"/>
                <w:szCs w:val="24"/>
                <w:highlight w:val="none"/>
                <w:lang w:eastAsia="zh-CN"/>
              </w:rPr>
              <w:t>参与优惠企业的报价=投标报价*（1-1</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pacing w:val="0"/>
                <w:kern w:val="0"/>
                <w:position w:val="0"/>
                <w:sz w:val="24"/>
                <w:szCs w:val="24"/>
                <w:highlight w:val="none"/>
                <w:lang w:eastAsia="zh-CN"/>
              </w:rPr>
              <w:t>。对于同时属于小微企业、监狱企业或残疾人福利性单位的，不重复进行投标报价扣除。</w:t>
            </w:r>
          </w:p>
        </w:tc>
      </w:tr>
      <w:tr w14:paraId="14102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3" w:hRule="atLeast"/>
        </w:trPr>
        <w:tc>
          <w:tcPr>
            <w:tcW w:w="839" w:type="dxa"/>
            <w:vMerge w:val="restart"/>
            <w:vAlign w:val="center"/>
          </w:tcPr>
          <w:p w14:paraId="7E4A7540">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w:t>
            </w:r>
          </w:p>
        </w:tc>
        <w:tc>
          <w:tcPr>
            <w:tcW w:w="1147" w:type="dxa"/>
            <w:vMerge w:val="restart"/>
            <w:vAlign w:val="center"/>
          </w:tcPr>
          <w:p w14:paraId="7A864001">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pacing w:val="0"/>
                <w:kern w:val="0"/>
                <w:position w:val="0"/>
                <w:sz w:val="24"/>
                <w:szCs w:val="24"/>
                <w:highlight w:val="none"/>
                <w:lang w:eastAsia="zh-CN"/>
              </w:rPr>
              <w:t>技术方案（</w:t>
            </w:r>
            <w:r>
              <w:rPr>
                <w:rFonts w:hint="eastAsia" w:ascii="宋体" w:hAnsi="宋体" w:eastAsia="宋体" w:cs="宋体"/>
                <w:spacing w:val="0"/>
                <w:kern w:val="0"/>
                <w:position w:val="0"/>
                <w:sz w:val="24"/>
                <w:szCs w:val="24"/>
                <w:highlight w:val="none"/>
                <w:lang w:val="en-US" w:eastAsia="zh-CN"/>
              </w:rPr>
              <w:t>35</w:t>
            </w:r>
            <w:r>
              <w:rPr>
                <w:rFonts w:hint="eastAsia" w:ascii="宋体" w:hAnsi="宋体" w:eastAsia="宋体" w:cs="宋体"/>
                <w:spacing w:val="0"/>
                <w:kern w:val="0"/>
                <w:position w:val="0"/>
                <w:sz w:val="24"/>
                <w:szCs w:val="24"/>
                <w:highlight w:val="none"/>
                <w:lang w:eastAsia="zh-CN"/>
              </w:rPr>
              <w:t>分）</w:t>
            </w:r>
          </w:p>
        </w:tc>
        <w:tc>
          <w:tcPr>
            <w:tcW w:w="873" w:type="dxa"/>
            <w:vAlign w:val="center"/>
          </w:tcPr>
          <w:p w14:paraId="3EE9400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cs="宋体"/>
                <w:color w:val="auto"/>
                <w:spacing w:val="0"/>
                <w:kern w:val="0"/>
                <w:position w:val="0"/>
                <w:sz w:val="24"/>
                <w:szCs w:val="24"/>
                <w:highlight w:val="none"/>
                <w:lang w:val="en-US" w:eastAsia="zh-CN"/>
              </w:rPr>
              <w:t>10</w:t>
            </w:r>
            <w:r>
              <w:rPr>
                <w:rFonts w:hint="eastAsia" w:ascii="宋体" w:hAnsi="宋体" w:eastAsia="宋体" w:cs="宋体"/>
                <w:color w:val="auto"/>
                <w:spacing w:val="0"/>
                <w:kern w:val="0"/>
                <w:position w:val="0"/>
                <w:sz w:val="24"/>
                <w:szCs w:val="24"/>
                <w:highlight w:val="none"/>
              </w:rPr>
              <w:t>分</w:t>
            </w:r>
          </w:p>
        </w:tc>
        <w:tc>
          <w:tcPr>
            <w:tcW w:w="1734" w:type="dxa"/>
            <w:vAlign w:val="center"/>
          </w:tcPr>
          <w:p w14:paraId="2183BCE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技术参数的响应程度</w:t>
            </w:r>
          </w:p>
        </w:tc>
        <w:tc>
          <w:tcPr>
            <w:tcW w:w="4017" w:type="dxa"/>
          </w:tcPr>
          <w:p w14:paraId="55239570">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打“★”号条款为实质性条款，若有任何一条负偏离或不满足则导致投标无效。一般技术参数（非标★项）全部满足或优于得</w:t>
            </w:r>
            <w:r>
              <w:rPr>
                <w:rFonts w:hint="eastAsia" w:cs="宋体"/>
                <w:color w:val="auto"/>
                <w:spacing w:val="0"/>
                <w:kern w:val="0"/>
                <w:position w:val="0"/>
                <w:sz w:val="24"/>
                <w:szCs w:val="24"/>
                <w:highlight w:val="none"/>
                <w:lang w:val="en-US" w:eastAsia="zh-CN"/>
              </w:rPr>
              <w:t>10</w:t>
            </w:r>
            <w:r>
              <w:rPr>
                <w:rFonts w:hint="eastAsia" w:ascii="宋体" w:hAnsi="宋体" w:eastAsia="宋体" w:cs="宋体"/>
                <w:color w:val="auto"/>
                <w:spacing w:val="0"/>
                <w:kern w:val="0"/>
                <w:position w:val="0"/>
                <w:sz w:val="24"/>
                <w:szCs w:val="24"/>
                <w:highlight w:val="none"/>
              </w:rPr>
              <w:t>分，每有一项不满足或负偏离的减0.</w:t>
            </w:r>
            <w:r>
              <w:rPr>
                <w:rFonts w:hint="eastAsia" w:cs="宋体"/>
                <w:color w:val="auto"/>
                <w:spacing w:val="0"/>
                <w:kern w:val="0"/>
                <w:position w:val="0"/>
                <w:sz w:val="24"/>
                <w:szCs w:val="24"/>
                <w:highlight w:val="none"/>
                <w:lang w:val="en-US" w:eastAsia="zh-CN"/>
              </w:rPr>
              <w:t>5</w:t>
            </w:r>
            <w:r>
              <w:rPr>
                <w:rFonts w:hint="eastAsia" w:ascii="宋体" w:hAnsi="宋体" w:eastAsia="宋体" w:cs="宋体"/>
                <w:color w:val="auto"/>
                <w:spacing w:val="0"/>
                <w:kern w:val="0"/>
                <w:position w:val="0"/>
                <w:sz w:val="24"/>
                <w:szCs w:val="24"/>
                <w:highlight w:val="none"/>
              </w:rPr>
              <w:t>分，如负偏离超过</w:t>
            </w:r>
            <w:r>
              <w:rPr>
                <w:rFonts w:hint="eastAsia" w:cs="宋体"/>
                <w:color w:val="auto"/>
                <w:spacing w:val="0"/>
                <w:kern w:val="0"/>
                <w:position w:val="0"/>
                <w:sz w:val="24"/>
                <w:szCs w:val="24"/>
                <w:highlight w:val="none"/>
                <w:lang w:val="en-US" w:eastAsia="zh-CN"/>
              </w:rPr>
              <w:t>20</w:t>
            </w:r>
            <w:r>
              <w:rPr>
                <w:rFonts w:hint="eastAsia" w:ascii="宋体" w:hAnsi="宋体" w:eastAsia="宋体" w:cs="宋体"/>
                <w:color w:val="auto"/>
                <w:spacing w:val="0"/>
                <w:kern w:val="0"/>
                <w:position w:val="0"/>
                <w:sz w:val="24"/>
                <w:szCs w:val="24"/>
                <w:highlight w:val="none"/>
              </w:rPr>
              <w:t>项，该项（技术水平及性能）记为0分。</w:t>
            </w:r>
          </w:p>
        </w:tc>
      </w:tr>
      <w:tr w14:paraId="21309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C188B0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5E535CA3">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4AD11E2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cs="宋体"/>
                <w:color w:val="auto"/>
                <w:spacing w:val="0"/>
                <w:kern w:val="0"/>
                <w:position w:val="0"/>
                <w:sz w:val="24"/>
                <w:szCs w:val="24"/>
                <w:highlight w:val="none"/>
                <w:lang w:val="en-US" w:eastAsia="zh-CN"/>
              </w:rPr>
            </w:pPr>
            <w:r>
              <w:rPr>
                <w:rFonts w:hint="eastAsia" w:cs="宋体"/>
                <w:color w:val="auto"/>
                <w:spacing w:val="0"/>
                <w:kern w:val="0"/>
                <w:position w:val="0"/>
                <w:sz w:val="24"/>
                <w:szCs w:val="24"/>
                <w:highlight w:val="none"/>
                <w:lang w:val="en-US" w:eastAsia="zh-CN"/>
              </w:rPr>
              <w:t>5</w:t>
            </w:r>
            <w:r>
              <w:rPr>
                <w:rFonts w:hint="eastAsia" w:ascii="宋体" w:hAnsi="宋体" w:eastAsia="宋体" w:cs="宋体"/>
                <w:color w:val="auto"/>
                <w:spacing w:val="0"/>
                <w:kern w:val="0"/>
                <w:position w:val="0"/>
                <w:sz w:val="24"/>
                <w:szCs w:val="24"/>
                <w:highlight w:val="none"/>
              </w:rPr>
              <w:t>分</w:t>
            </w:r>
          </w:p>
        </w:tc>
        <w:tc>
          <w:tcPr>
            <w:tcW w:w="1734" w:type="dxa"/>
            <w:vAlign w:val="center"/>
          </w:tcPr>
          <w:p w14:paraId="302D9600">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rPr>
              <w:t>整体项目技术方案</w:t>
            </w:r>
          </w:p>
        </w:tc>
        <w:tc>
          <w:tcPr>
            <w:tcW w:w="4017" w:type="dxa"/>
            <w:vAlign w:val="top"/>
          </w:tcPr>
          <w:p w14:paraId="7BEFD972">
            <w:pPr>
              <w:pStyle w:val="23"/>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整体项目实施方案包括但不限于：</w:t>
            </w:r>
          </w:p>
          <w:p w14:paraId="725ACC9A">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①项目执行整体方案</w:t>
            </w:r>
          </w:p>
          <w:p w14:paraId="0EED53C4">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rPr>
              <w:t>②项目实施组织</w:t>
            </w:r>
            <w:r>
              <w:rPr>
                <w:rFonts w:hint="eastAsia" w:cs="宋体"/>
                <w:color w:val="auto"/>
                <w:spacing w:val="0"/>
                <w:kern w:val="0"/>
                <w:position w:val="0"/>
                <w:sz w:val="24"/>
                <w:szCs w:val="24"/>
                <w:highlight w:val="none"/>
                <w:lang w:val="en-US" w:eastAsia="zh-CN"/>
              </w:rPr>
              <w:t>机构</w:t>
            </w:r>
          </w:p>
          <w:p w14:paraId="6372A2B0">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③项目安全应急预案</w:t>
            </w:r>
          </w:p>
          <w:p w14:paraId="479E6FE7">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④项目质量保障方案</w:t>
            </w:r>
          </w:p>
          <w:p w14:paraId="6F896DF1">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⑤项目进度安排。</w:t>
            </w:r>
          </w:p>
          <w:p w14:paraId="3A882385">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a.项目实施组织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清晰，方案内容详细、完整、科学合理，层次结构分明，措施方法齐全，进度安排清晰、规范，切实可行，得 5 分； </w:t>
            </w:r>
          </w:p>
          <w:p w14:paraId="068673E1">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b.项目实施组织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基本清晰，方案内容基本详细、完整，层次结构基本合理，措施方法相对齐全，进度安排简单、清晰，细节需要完善，得 3 分； </w:t>
            </w:r>
          </w:p>
          <w:p w14:paraId="29D9238B">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c..项目实施组织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一般清晰，方案内容简单、完整、层次结构一般，措施方法一般，思路简单，对具体工作进度安排一般，方案相对可行，具有一定操作性，得 2 分； </w:t>
            </w:r>
          </w:p>
          <w:p w14:paraId="7FB1121E">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d.项目实施组织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不清晰，方案内容简单、有明显缺失，考虑不够周全，措施方法简单、针对性差，对项目具体进度安排少，对项目情况缺乏了解，可操作性差，得 1 分； </w:t>
            </w:r>
          </w:p>
          <w:p w14:paraId="1644FFD3">
            <w:pPr>
              <w:keepNext w:val="0"/>
              <w:keepLines w:val="0"/>
              <w:widowControl/>
              <w:suppressLineNumbers w:val="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snapToGrid w:val="0"/>
                <w:color w:val="000000"/>
                <w:kern w:val="0"/>
                <w:sz w:val="24"/>
                <w:szCs w:val="24"/>
                <w:lang w:val="en-US" w:eastAsia="zh-CN" w:bidi="ar"/>
              </w:rPr>
              <w:t>e.未提供方案，得 0 分。</w:t>
            </w:r>
          </w:p>
        </w:tc>
      </w:tr>
      <w:tr w14:paraId="0076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8E32BC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32942CF3">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4CB4C63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tc>
        <w:tc>
          <w:tcPr>
            <w:tcW w:w="1734" w:type="dxa"/>
            <w:vAlign w:val="center"/>
          </w:tcPr>
          <w:p w14:paraId="50896CF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spacing w:val="0"/>
                <w:kern w:val="0"/>
                <w:position w:val="0"/>
                <w:sz w:val="24"/>
                <w:szCs w:val="24"/>
                <w:highlight w:val="none"/>
              </w:rPr>
              <w:t>运输、安装及调试验收方案</w:t>
            </w:r>
          </w:p>
        </w:tc>
        <w:tc>
          <w:tcPr>
            <w:tcW w:w="4017" w:type="dxa"/>
            <w:vAlign w:val="top"/>
          </w:tcPr>
          <w:p w14:paraId="5F2F167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 xml:space="preserve">评标委员会根据投标人投标文件中货物运输、安装及调试验收方案，进行评分，内容应包含但不限于: </w:t>
            </w:r>
          </w:p>
          <w:p w14:paraId="33B13BB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①运输计划及措施；</w:t>
            </w:r>
          </w:p>
          <w:p w14:paraId="5348303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②安装计划及措施；</w:t>
            </w:r>
          </w:p>
          <w:p w14:paraId="3902622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③配送队伍分工及运输工具；</w:t>
            </w:r>
          </w:p>
          <w:p w14:paraId="4DBD3E3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④调试措施。</w:t>
            </w:r>
          </w:p>
          <w:p w14:paraId="0C741476">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a.方案内容详细、完整、科学合理，层次结构分明，措施方法齐全，工作流程清晰、规范，切实可行，得 5 分； </w:t>
            </w:r>
          </w:p>
          <w:p w14:paraId="42E1894C">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b.方案内容基本详细、完整，层次结构基本合理，措施方法相对齐全，工作流程简单、清晰，计划切实可行、细节需要完善，得 3 分； </w:t>
            </w:r>
          </w:p>
          <w:p w14:paraId="21F7F895">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c.方案内容简单、完整、层次结构一般，措施方法一般，思路简单，对具体工作流程分析一般，方案相对可行，具有一定操作性，得 2 分； </w:t>
            </w:r>
          </w:p>
          <w:p w14:paraId="4713DAC9">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d.方案内容简单、有明显缺失，考虑不够周全，措施方法简单、针对性差，对项目具体工作流程分析少，对项目情况缺乏了解，可操作性差，得 1 分； </w:t>
            </w:r>
          </w:p>
          <w:p w14:paraId="796481C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color w:val="auto"/>
                <w:spacing w:val="0"/>
                <w:kern w:val="0"/>
                <w:position w:val="0"/>
                <w:sz w:val="24"/>
                <w:szCs w:val="24"/>
                <w:highlight w:val="none"/>
              </w:rPr>
            </w:pPr>
            <w:r>
              <w:rPr>
                <w:rFonts w:hint="eastAsia" w:cs="宋体"/>
                <w:snapToGrid w:val="0"/>
                <w:color w:val="000000"/>
                <w:kern w:val="0"/>
                <w:sz w:val="24"/>
                <w:szCs w:val="24"/>
                <w:lang w:val="en-US" w:eastAsia="zh-CN" w:bidi="ar"/>
              </w:rPr>
              <w:t>e</w:t>
            </w:r>
            <w:r>
              <w:rPr>
                <w:rFonts w:hint="eastAsia" w:ascii="宋体" w:hAnsi="宋体" w:eastAsia="宋体" w:cs="宋体"/>
                <w:snapToGrid w:val="0"/>
                <w:color w:val="000000"/>
                <w:kern w:val="0"/>
                <w:sz w:val="24"/>
                <w:szCs w:val="24"/>
                <w:lang w:val="en-US" w:eastAsia="zh-CN" w:bidi="ar"/>
              </w:rPr>
              <w:t>.未提供方案，得 0 分</w:t>
            </w:r>
          </w:p>
        </w:tc>
      </w:tr>
      <w:tr w14:paraId="4236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C42DBB1">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2A7080E6">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2DF1017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tc>
        <w:tc>
          <w:tcPr>
            <w:tcW w:w="1734" w:type="dxa"/>
            <w:vAlign w:val="center"/>
          </w:tcPr>
          <w:p w14:paraId="5C7F175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培训方案</w:t>
            </w:r>
          </w:p>
        </w:tc>
        <w:tc>
          <w:tcPr>
            <w:tcW w:w="4017" w:type="dxa"/>
            <w:vAlign w:val="top"/>
          </w:tcPr>
          <w:p w14:paraId="7DA09A51">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根据本项目制定详细的人员培训方案，包含但不仅限于产品的技术操作指导、日常维护、培训计划及方式、培训团队、课程体系等内容，评标委员会根据供应商提供的人员培训方案进行评价：</w:t>
            </w:r>
          </w:p>
          <w:p w14:paraId="0130AEB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a.</w:t>
            </w:r>
            <w:r>
              <w:rPr>
                <w:rFonts w:hint="eastAsia" w:ascii="宋体" w:hAnsi="宋体" w:eastAsia="宋体" w:cs="宋体"/>
                <w:spacing w:val="0"/>
                <w:kern w:val="0"/>
                <w:position w:val="0"/>
                <w:sz w:val="24"/>
                <w:szCs w:val="24"/>
                <w:highlight w:val="none"/>
              </w:rPr>
              <w:t>有完善的培训计划，有覆盖全面的培训内容、课程体系，有灵活的培训方式、有完备的培训团队，整体方案全面详实，针对性较强，得</w:t>
            </w: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p w14:paraId="1240532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b.</w:t>
            </w:r>
            <w:r>
              <w:rPr>
                <w:rFonts w:hint="eastAsia" w:ascii="宋体" w:hAnsi="宋体" w:eastAsia="宋体" w:cs="宋体"/>
                <w:spacing w:val="0"/>
                <w:kern w:val="0"/>
                <w:position w:val="0"/>
                <w:sz w:val="24"/>
                <w:szCs w:val="24"/>
                <w:highlight w:val="none"/>
              </w:rPr>
              <w:t>培训计划一般，培训内容、培训课程基本全面，培训方式单一，培训团队一般，整体方案简单、针对性一般，得</w:t>
            </w:r>
            <w:r>
              <w:rPr>
                <w:rFonts w:hint="eastAsia" w:cs="宋体"/>
                <w:spacing w:val="0"/>
                <w:kern w:val="0"/>
                <w:position w:val="0"/>
                <w:sz w:val="24"/>
                <w:szCs w:val="24"/>
                <w:highlight w:val="none"/>
                <w:lang w:val="en-US" w:eastAsia="zh-CN"/>
              </w:rPr>
              <w:t>3</w:t>
            </w:r>
            <w:r>
              <w:rPr>
                <w:rFonts w:hint="eastAsia" w:ascii="宋体" w:hAnsi="宋体" w:eastAsia="宋体" w:cs="宋体"/>
                <w:spacing w:val="0"/>
                <w:kern w:val="0"/>
                <w:position w:val="0"/>
                <w:sz w:val="24"/>
                <w:szCs w:val="24"/>
                <w:highlight w:val="none"/>
              </w:rPr>
              <w:t>分；</w:t>
            </w:r>
          </w:p>
          <w:p w14:paraId="282B35C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c.</w:t>
            </w:r>
            <w:r>
              <w:rPr>
                <w:rFonts w:hint="eastAsia" w:ascii="宋体" w:hAnsi="宋体" w:eastAsia="宋体" w:cs="宋体"/>
                <w:spacing w:val="0"/>
                <w:kern w:val="0"/>
                <w:position w:val="0"/>
                <w:sz w:val="24"/>
                <w:szCs w:val="24"/>
                <w:highlight w:val="none"/>
              </w:rPr>
              <w:t>培训计划较差，培训内容、课程体系不全面，培训方式不灵活，培训团队及培训保障措施不完备，落实的保障措施不可行，整体方案简单空洞、针对性较差，得</w:t>
            </w:r>
            <w:r>
              <w:rPr>
                <w:rFonts w:hint="eastAsia" w:cs="宋体"/>
                <w:spacing w:val="0"/>
                <w:kern w:val="0"/>
                <w:position w:val="0"/>
                <w:sz w:val="24"/>
                <w:szCs w:val="24"/>
                <w:highlight w:val="none"/>
                <w:lang w:val="en-US" w:eastAsia="zh-CN"/>
              </w:rPr>
              <w:t>1</w:t>
            </w:r>
            <w:r>
              <w:rPr>
                <w:rFonts w:hint="eastAsia" w:ascii="宋体" w:hAnsi="宋体" w:eastAsia="宋体" w:cs="宋体"/>
                <w:spacing w:val="0"/>
                <w:kern w:val="0"/>
                <w:position w:val="0"/>
                <w:sz w:val="24"/>
                <w:szCs w:val="24"/>
                <w:highlight w:val="none"/>
              </w:rPr>
              <w:t>分；</w:t>
            </w:r>
          </w:p>
          <w:p w14:paraId="737C861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d.</w:t>
            </w:r>
            <w:r>
              <w:rPr>
                <w:rFonts w:hint="eastAsia" w:ascii="宋体" w:hAnsi="宋体" w:eastAsia="宋体" w:cs="宋体"/>
                <w:spacing w:val="0"/>
                <w:kern w:val="0"/>
                <w:position w:val="0"/>
                <w:sz w:val="24"/>
                <w:szCs w:val="24"/>
                <w:highlight w:val="none"/>
              </w:rPr>
              <w:t>未提供不得分。</w:t>
            </w:r>
          </w:p>
        </w:tc>
      </w:tr>
      <w:tr w14:paraId="64C50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E49357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78CC2FF4">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6305CD9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tc>
        <w:tc>
          <w:tcPr>
            <w:tcW w:w="1734" w:type="dxa"/>
            <w:vAlign w:val="center"/>
          </w:tcPr>
          <w:p w14:paraId="40A141E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售后服务方案</w:t>
            </w:r>
          </w:p>
        </w:tc>
        <w:tc>
          <w:tcPr>
            <w:tcW w:w="4017" w:type="dxa"/>
            <w:vAlign w:val="top"/>
          </w:tcPr>
          <w:p w14:paraId="56A71D3F">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napToGrid w:val="0"/>
                <w:color w:val="000000" w:themeColor="text1"/>
                <w:spacing w:val="0"/>
                <w:kern w:val="0"/>
                <w:position w:val="0"/>
                <w:sz w:val="24"/>
                <w:szCs w:val="24"/>
                <w:lang w:val="en-US" w:eastAsia="zh-CN" w:bidi="ar-SA"/>
                <w14:textFill>
                  <w14:solidFill>
                    <w14:schemeClr w14:val="tx1"/>
                  </w14:solidFill>
                </w14:textFill>
              </w:rPr>
              <w:t>1、</w:t>
            </w:r>
            <w:r>
              <w:rPr>
                <w:rFonts w:hint="eastAsia" w:ascii="宋体" w:hAnsi="宋体" w:eastAsia="宋体" w:cs="宋体"/>
                <w:spacing w:val="0"/>
                <w:kern w:val="0"/>
                <w:position w:val="0"/>
                <w:sz w:val="24"/>
                <w:szCs w:val="24"/>
                <w:highlight w:val="none"/>
              </w:rPr>
              <w:t>根据投标供应商提供的售后服务方案包括</w:t>
            </w:r>
            <w:r>
              <w:rPr>
                <w:rFonts w:hint="eastAsia" w:cs="宋体"/>
                <w:spacing w:val="0"/>
                <w:kern w:val="0"/>
                <w:position w:val="0"/>
                <w:sz w:val="24"/>
                <w:szCs w:val="24"/>
                <w:highlight w:val="none"/>
                <w:lang w:eastAsia="zh-CN"/>
              </w:rPr>
              <w:t>：</w:t>
            </w:r>
          </w:p>
          <w:p w14:paraId="16D3FA22">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①售后响应方式；</w:t>
            </w:r>
          </w:p>
          <w:p w14:paraId="0DA45A88">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②售后服务措施；</w:t>
            </w:r>
          </w:p>
          <w:p w14:paraId="69D66AB9">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③零配件库存保障方案；</w:t>
            </w:r>
          </w:p>
          <w:p w14:paraId="6207C99D">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④应急保障措施方案</w:t>
            </w:r>
          </w:p>
          <w:p w14:paraId="56C7B5CC">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a.方案内容完整详实、考虑全面周到，服务形式灵活、多样，响应迅速高效，服务保障措施安排科学合理，完全满足或优于采购人需求，得 5 分； </w:t>
            </w:r>
          </w:p>
          <w:p w14:paraId="4B258BAF">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b.方案内容基本详细、完整，考虑基本周到，服务形式多种多样，响应及时，服务保障措施安排基本合理，基本满足或优于采购人需求，得 3 分； </w:t>
            </w:r>
          </w:p>
          <w:p w14:paraId="402B5F0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c.方案内容简单、相对齐全，服务形式简单，解决时间较长，服务保障措施安排相对合理，可以满足采购人需求，得 2 分； </w:t>
            </w:r>
          </w:p>
          <w:p w14:paraId="74407D01">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d.方案内容不够完整，针对性一般，服务形式死板，解决时间拖延，服务保障措施安排一般，勉强满足采购人需求，得 1 分；  </w:t>
            </w:r>
          </w:p>
          <w:p w14:paraId="29477F0F">
            <w:pPr>
              <w:keepNext w:val="0"/>
              <w:keepLines w:val="0"/>
              <w:widowControl/>
              <w:suppressLineNumbers w:val="0"/>
              <w:jc w:val="left"/>
              <w:rPr>
                <w:rFonts w:hint="eastAsia" w:ascii="宋体" w:hAnsi="宋体" w:eastAsia="宋体" w:cs="宋体"/>
                <w:spacing w:val="0"/>
                <w:kern w:val="0"/>
                <w:position w:val="0"/>
                <w:sz w:val="24"/>
                <w:szCs w:val="24"/>
                <w:highlight w:val="none"/>
              </w:rPr>
            </w:pPr>
            <w:r>
              <w:rPr>
                <w:rFonts w:hint="eastAsia" w:ascii="宋体" w:hAnsi="宋体" w:eastAsia="宋体" w:cs="宋体"/>
                <w:snapToGrid w:val="0"/>
                <w:color w:val="000000"/>
                <w:kern w:val="0"/>
                <w:sz w:val="24"/>
                <w:szCs w:val="24"/>
                <w:lang w:val="en-US" w:eastAsia="zh-CN" w:bidi="ar"/>
              </w:rPr>
              <w:t>e.未提供方案，得 0 分。</w:t>
            </w:r>
          </w:p>
        </w:tc>
      </w:tr>
      <w:tr w14:paraId="42D1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C4A4F1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71302B9B">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6EC0299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5分</w:t>
            </w:r>
          </w:p>
        </w:tc>
        <w:tc>
          <w:tcPr>
            <w:tcW w:w="1734" w:type="dxa"/>
            <w:vAlign w:val="center"/>
          </w:tcPr>
          <w:p w14:paraId="27560B8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合理化建议</w:t>
            </w:r>
          </w:p>
        </w:tc>
        <w:tc>
          <w:tcPr>
            <w:tcW w:w="4017" w:type="dxa"/>
          </w:tcPr>
          <w:p w14:paraId="44DC8BB9">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的重、难点</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分析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并提出</w:t>
            </w:r>
            <w:r>
              <w:rPr>
                <w:rFonts w:hint="eastAsia" w:ascii="宋体" w:hAnsi="宋体" w:eastAsia="宋体" w:cs="宋体"/>
                <w:color w:val="auto"/>
                <w:sz w:val="24"/>
                <w:szCs w:val="24"/>
                <w:highlight w:val="none"/>
              </w:rPr>
              <w:t>合理化建议方案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分析</w:t>
            </w:r>
            <w:r>
              <w:rPr>
                <w:rFonts w:hint="eastAsia" w:ascii="宋体" w:hAnsi="宋体" w:cs="宋体"/>
                <w:color w:val="auto"/>
                <w:sz w:val="24"/>
                <w:szCs w:val="24"/>
                <w:highlight w:val="none"/>
                <w:lang w:val="en-US" w:eastAsia="zh-CN"/>
              </w:rPr>
              <w:t>及方案</w:t>
            </w:r>
            <w:r>
              <w:rPr>
                <w:rFonts w:hint="eastAsia" w:ascii="宋体" w:hAnsi="宋体" w:eastAsia="宋体" w:cs="宋体"/>
                <w:color w:val="auto"/>
                <w:sz w:val="24"/>
                <w:szCs w:val="24"/>
                <w:highlight w:val="none"/>
              </w:rPr>
              <w:t>是否具有针对性进行打分，最高得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8B8A72A">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①方案内容有针对性，符合实际情况的得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4D87120">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②方案内容一般，基本符合实际情况的得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③合理化建议有明显不足的得1分；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0C341D74">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color w:val="auto"/>
                <w:sz w:val="24"/>
                <w:szCs w:val="24"/>
                <w:highlight w:val="none"/>
              </w:rPr>
              <w:t>④未提供相应内容的不得分。</w:t>
            </w:r>
            <w:r>
              <w:rPr>
                <w:rFonts w:hint="eastAsia" w:ascii="宋体" w:hAnsi="宋体" w:eastAsia="宋体" w:cs="宋体"/>
                <w:color w:val="auto"/>
                <w:sz w:val="24"/>
                <w:szCs w:val="24"/>
                <w:highlight w:val="none"/>
              </w:rPr>
              <w:tab/>
            </w:r>
          </w:p>
        </w:tc>
      </w:tr>
      <w:tr w14:paraId="15DC4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610" w:type="dxa"/>
            <w:gridSpan w:val="5"/>
            <w:vAlign w:val="center"/>
          </w:tcPr>
          <w:p w14:paraId="299B7612">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b/>
                <w:bCs/>
                <w:spacing w:val="0"/>
                <w:kern w:val="0"/>
                <w:position w:val="0"/>
                <w:sz w:val="24"/>
                <w:szCs w:val="24"/>
                <w:highlight w:val="none"/>
                <w:lang w:eastAsia="zh-CN"/>
              </w:rPr>
            </w:pPr>
            <w:r>
              <w:rPr>
                <w:rFonts w:hint="eastAsia" w:ascii="宋体" w:hAnsi="宋体" w:eastAsia="宋体" w:cs="宋体"/>
                <w:b/>
                <w:bCs/>
                <w:spacing w:val="0"/>
                <w:kern w:val="0"/>
                <w:position w:val="0"/>
                <w:sz w:val="24"/>
                <w:szCs w:val="24"/>
                <w:highlight w:val="none"/>
                <w:lang w:eastAsia="zh-CN"/>
              </w:rPr>
              <w:t>注：</w:t>
            </w:r>
            <w:r>
              <w:rPr>
                <w:rFonts w:hint="eastAsia" w:ascii="宋体" w:hAnsi="宋体" w:eastAsia="宋体" w:cs="宋体"/>
                <w:b/>
                <w:bCs/>
                <w:spacing w:val="0"/>
                <w:kern w:val="0"/>
                <w:position w:val="0"/>
                <w:sz w:val="24"/>
                <w:szCs w:val="24"/>
                <w:highlight w:val="none"/>
                <w:lang w:val="en-US" w:eastAsia="zh-CN"/>
              </w:rPr>
              <w:t>1、</w:t>
            </w:r>
            <w:r>
              <w:rPr>
                <w:rFonts w:hint="eastAsia" w:ascii="宋体" w:hAnsi="宋体" w:eastAsia="宋体" w:cs="宋体"/>
                <w:b/>
                <w:bCs/>
                <w:spacing w:val="0"/>
                <w:kern w:val="0"/>
                <w:position w:val="0"/>
                <w:sz w:val="24"/>
                <w:szCs w:val="24"/>
                <w:highlight w:val="none"/>
                <w:lang w:eastAsia="zh-CN"/>
              </w:rPr>
              <w:t>技术方案为暗标评审，暗标编制要求格式详见“第三章投标人须知10.4技术标文件制作要求”。</w:t>
            </w:r>
          </w:p>
          <w:p w14:paraId="5D5411DD">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b/>
                <w:bCs/>
                <w:spacing w:val="0"/>
                <w:kern w:val="0"/>
                <w:position w:val="0"/>
                <w:sz w:val="24"/>
                <w:szCs w:val="24"/>
                <w:highlight w:val="none"/>
                <w:lang w:val="en-US" w:eastAsia="zh-CN"/>
              </w:rPr>
            </w:pPr>
            <w:r>
              <w:rPr>
                <w:rFonts w:hint="eastAsia" w:ascii="宋体" w:hAnsi="宋体" w:eastAsia="宋体" w:cs="宋体"/>
                <w:b/>
                <w:bCs/>
                <w:spacing w:val="0"/>
                <w:kern w:val="0"/>
                <w:position w:val="0"/>
                <w:sz w:val="24"/>
                <w:szCs w:val="24"/>
                <w:highlight w:val="none"/>
                <w:lang w:val="en-US" w:eastAsia="zh-CN"/>
              </w:rPr>
              <w:t>2、暗标技术方案内容为;</w:t>
            </w:r>
            <w:r>
              <w:rPr>
                <w:rFonts w:hint="eastAsia" w:ascii="宋体" w:hAnsi="宋体" w:eastAsia="宋体" w:cs="宋体"/>
                <w:b/>
                <w:bCs/>
                <w:spacing w:val="0"/>
                <w:kern w:val="0"/>
                <w:position w:val="0"/>
                <w:sz w:val="24"/>
                <w:szCs w:val="24"/>
                <w:highlight w:val="none"/>
                <w:lang w:eastAsia="zh-CN"/>
              </w:rPr>
              <w:t>整体项目技术方案、运输安装及调试验收方案、培训方案、售后服务方案、</w:t>
            </w:r>
            <w:r>
              <w:rPr>
                <w:rFonts w:hint="eastAsia" w:ascii="宋体" w:hAnsi="宋体" w:eastAsia="宋体" w:cs="宋体"/>
                <w:b/>
                <w:bCs/>
                <w:spacing w:val="0"/>
                <w:kern w:val="0"/>
                <w:position w:val="0"/>
                <w:sz w:val="24"/>
                <w:szCs w:val="24"/>
                <w:highlight w:val="none"/>
                <w:lang w:val="en-US" w:eastAsia="zh-CN"/>
              </w:rPr>
              <w:t>合理化建议</w:t>
            </w:r>
            <w:r>
              <w:rPr>
                <w:rFonts w:hint="eastAsia" w:ascii="宋体" w:hAnsi="宋体" w:eastAsia="宋体" w:cs="宋体"/>
                <w:b/>
                <w:bCs/>
                <w:spacing w:val="0"/>
                <w:kern w:val="0"/>
                <w:position w:val="0"/>
                <w:sz w:val="24"/>
                <w:szCs w:val="24"/>
                <w:highlight w:val="none"/>
                <w:lang w:eastAsia="zh-CN"/>
              </w:rPr>
              <w:t>。</w:t>
            </w:r>
          </w:p>
        </w:tc>
      </w:tr>
      <w:tr w14:paraId="4C9FA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5059485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w:t>
            </w:r>
          </w:p>
        </w:tc>
        <w:tc>
          <w:tcPr>
            <w:tcW w:w="1147" w:type="dxa"/>
            <w:vMerge w:val="restart"/>
            <w:vAlign w:val="center"/>
          </w:tcPr>
          <w:p w14:paraId="0115A21C">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综合实力（</w:t>
            </w:r>
            <w:r>
              <w:rPr>
                <w:rFonts w:hint="eastAsia" w:ascii="宋体" w:hAnsi="宋体" w:eastAsia="宋体" w:cs="宋体"/>
                <w:color w:val="auto"/>
                <w:spacing w:val="0"/>
                <w:kern w:val="0"/>
                <w:position w:val="0"/>
                <w:sz w:val="24"/>
                <w:szCs w:val="24"/>
                <w:highlight w:val="none"/>
                <w:lang w:val="en-US" w:eastAsia="zh-CN"/>
              </w:rPr>
              <w:t>35</w:t>
            </w:r>
            <w:r>
              <w:rPr>
                <w:rFonts w:hint="eastAsia" w:ascii="宋体" w:hAnsi="宋体" w:eastAsia="宋体" w:cs="宋体"/>
                <w:color w:val="auto"/>
                <w:spacing w:val="0"/>
                <w:kern w:val="0"/>
                <w:position w:val="0"/>
                <w:sz w:val="24"/>
                <w:szCs w:val="24"/>
                <w:highlight w:val="none"/>
                <w:lang w:eastAsia="zh-CN"/>
              </w:rPr>
              <w:t>分）</w:t>
            </w:r>
          </w:p>
        </w:tc>
        <w:tc>
          <w:tcPr>
            <w:tcW w:w="873" w:type="dxa"/>
            <w:vAlign w:val="center"/>
          </w:tcPr>
          <w:p w14:paraId="7D4A1BD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ascii="宋体" w:hAnsi="宋体" w:eastAsia="宋体" w:cs="宋体"/>
                <w:color w:val="auto"/>
                <w:spacing w:val="0"/>
                <w:kern w:val="0"/>
                <w:position w:val="0"/>
                <w:sz w:val="24"/>
                <w:szCs w:val="24"/>
                <w:highlight w:val="none"/>
                <w:lang w:val="en-US" w:eastAsia="zh-CN"/>
              </w:rPr>
            </w:pPr>
            <w:r>
              <w:rPr>
                <w:rFonts w:hint="eastAsia" w:cs="宋体"/>
                <w:color w:val="auto"/>
                <w:spacing w:val="0"/>
                <w:kern w:val="0"/>
                <w:position w:val="0"/>
                <w:sz w:val="24"/>
                <w:szCs w:val="24"/>
                <w:highlight w:val="none"/>
                <w:lang w:val="en-US" w:eastAsia="zh-CN"/>
              </w:rPr>
              <w:t>10分</w:t>
            </w:r>
          </w:p>
        </w:tc>
        <w:tc>
          <w:tcPr>
            <w:tcW w:w="1734" w:type="dxa"/>
            <w:vAlign w:val="center"/>
          </w:tcPr>
          <w:p w14:paraId="0702D35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rPr>
              <w:t>服务</w:t>
            </w:r>
            <w:r>
              <w:rPr>
                <w:rFonts w:hint="eastAsia" w:cs="宋体"/>
                <w:color w:val="auto"/>
                <w:spacing w:val="0"/>
                <w:kern w:val="0"/>
                <w:position w:val="0"/>
                <w:sz w:val="24"/>
                <w:szCs w:val="24"/>
                <w:highlight w:val="none"/>
                <w:lang w:val="en-US" w:eastAsia="zh-CN"/>
              </w:rPr>
              <w:t>方案</w:t>
            </w:r>
          </w:p>
        </w:tc>
        <w:tc>
          <w:tcPr>
            <w:tcW w:w="4017" w:type="dxa"/>
          </w:tcPr>
          <w:p w14:paraId="0EB63ED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2"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b/>
                <w:bCs/>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lang w:val="en-US" w:eastAsia="zh-CN"/>
              </w:rPr>
              <w:t>项目</w:t>
            </w:r>
            <w:r>
              <w:rPr>
                <w:rFonts w:hint="eastAsia" w:ascii="宋体" w:hAnsi="宋体" w:eastAsia="宋体" w:cs="宋体"/>
                <w:color w:val="auto"/>
                <w:spacing w:val="0"/>
                <w:kern w:val="0"/>
                <w:position w:val="0"/>
                <w:sz w:val="24"/>
                <w:szCs w:val="24"/>
                <w:highlight w:val="none"/>
              </w:rPr>
              <w:t>保修期内、外的实质性承诺，内容详实，科学、合理，考虑周全，针对性强得</w:t>
            </w:r>
            <w:r>
              <w:rPr>
                <w:rFonts w:hint="eastAsia" w:cs="宋体"/>
                <w:color w:val="auto"/>
                <w:spacing w:val="0"/>
                <w:kern w:val="0"/>
                <w:position w:val="0"/>
                <w:sz w:val="24"/>
                <w:szCs w:val="24"/>
                <w:highlight w:val="none"/>
                <w:lang w:val="en-US" w:eastAsia="zh-CN"/>
              </w:rPr>
              <w:t>3</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4CBC6B6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内容完整，基本科学、合理、基本考虑周全，针对性较强，有个别细节需要进一步完善或提高的得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3BBBCAD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内容基本完整，科学、合理，考虑不周，针对性不强的得1分。</w:t>
            </w:r>
          </w:p>
          <w:p w14:paraId="708B553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lang w:val="en-US" w:eastAsia="zh-CN" w:bidi="ar-SA"/>
              </w:rPr>
              <w:t>未提供相应内容的不得分。</w:t>
            </w:r>
          </w:p>
          <w:p w14:paraId="593AF55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2"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b/>
                <w:bCs/>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根据本</w:t>
            </w:r>
            <w:r>
              <w:rPr>
                <w:rFonts w:hint="eastAsia" w:ascii="宋体" w:hAnsi="宋体" w:eastAsia="宋体" w:cs="宋体"/>
                <w:color w:val="auto"/>
                <w:spacing w:val="0"/>
                <w:kern w:val="0"/>
                <w:position w:val="0"/>
                <w:sz w:val="24"/>
                <w:szCs w:val="24"/>
                <w:highlight w:val="none"/>
                <w:lang w:val="en-US" w:eastAsia="zh-CN"/>
              </w:rPr>
              <w:t>项目</w:t>
            </w:r>
            <w:r>
              <w:rPr>
                <w:rFonts w:hint="eastAsia" w:ascii="宋体" w:hAnsi="宋体" w:eastAsia="宋体" w:cs="宋体"/>
                <w:color w:val="auto"/>
                <w:spacing w:val="0"/>
                <w:kern w:val="0"/>
                <w:position w:val="0"/>
                <w:sz w:val="24"/>
                <w:szCs w:val="24"/>
                <w:highlight w:val="none"/>
              </w:rPr>
              <w:t>的特点和要求，结合自身的条件和潜力，对安全文明施工、提高工程质量、保证不发生各种安全事故的承诺，内容详实，科学、合理、安全，考虑周全，针对性强得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3F17F4E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内容完整，基本科学、合理、安全，基本考虑周全，针对性较强，有个别细节需要进一步完善或提高的得</w:t>
            </w:r>
            <w:r>
              <w:rPr>
                <w:rFonts w:hint="eastAsia"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72104D1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内容基本完整，科学、合理、安全性方面一般，考虑不周，针对性不强的得</w:t>
            </w:r>
            <w:r>
              <w:rPr>
                <w:rFonts w:hint="eastAsia" w:cs="宋体"/>
                <w:color w:val="auto"/>
                <w:spacing w:val="0"/>
                <w:kern w:val="0"/>
                <w:position w:val="0"/>
                <w:sz w:val="24"/>
                <w:szCs w:val="24"/>
                <w:highlight w:val="none"/>
                <w:lang w:val="en-US" w:eastAsia="zh-CN"/>
              </w:rPr>
              <w:t>0.5</w:t>
            </w:r>
            <w:r>
              <w:rPr>
                <w:rFonts w:hint="eastAsia" w:ascii="宋体" w:hAnsi="宋体" w:eastAsia="宋体" w:cs="宋体"/>
                <w:color w:val="auto"/>
                <w:spacing w:val="0"/>
                <w:kern w:val="0"/>
                <w:position w:val="0"/>
                <w:sz w:val="24"/>
                <w:szCs w:val="24"/>
                <w:highlight w:val="none"/>
              </w:rPr>
              <w:t>分。</w:t>
            </w:r>
          </w:p>
          <w:p w14:paraId="3D5F4F40">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lang w:val="en-US" w:eastAsia="zh-CN" w:bidi="ar-SA"/>
              </w:rPr>
              <w:t>未提供相应内容的不得分。</w:t>
            </w:r>
          </w:p>
          <w:p w14:paraId="38ECCAB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2" w:firstLineChars="20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b/>
                <w:bCs/>
                <w:color w:val="auto"/>
                <w:spacing w:val="0"/>
                <w:kern w:val="0"/>
                <w:position w:val="0"/>
                <w:sz w:val="24"/>
                <w:szCs w:val="24"/>
                <w:highlight w:val="none"/>
              </w:rPr>
              <w:t>3.</w:t>
            </w:r>
            <w:r>
              <w:rPr>
                <w:rFonts w:hint="eastAsia" w:ascii="宋体" w:hAnsi="宋体" w:eastAsia="宋体" w:cs="宋体"/>
                <w:snapToGrid w:val="0"/>
                <w:color w:val="auto"/>
                <w:spacing w:val="0"/>
                <w:kern w:val="0"/>
                <w:position w:val="0"/>
                <w:sz w:val="24"/>
                <w:szCs w:val="24"/>
                <w:highlight w:val="none"/>
                <w:lang w:val="en-US" w:eastAsia="zh-CN" w:bidi="ar-SA"/>
              </w:rPr>
              <w:t>投标人提供完整的</w:t>
            </w:r>
            <w:r>
              <w:rPr>
                <w:rFonts w:hint="eastAsia" w:cs="宋体"/>
                <w:snapToGrid w:val="0"/>
                <w:color w:val="auto"/>
                <w:spacing w:val="0"/>
                <w:kern w:val="0"/>
                <w:position w:val="0"/>
                <w:sz w:val="24"/>
                <w:szCs w:val="24"/>
                <w:highlight w:val="none"/>
                <w:lang w:val="en-US" w:eastAsia="zh-CN" w:bidi="ar-SA"/>
              </w:rPr>
              <w:t>运营巡检</w:t>
            </w:r>
            <w:r>
              <w:rPr>
                <w:rFonts w:hint="eastAsia" w:ascii="宋体" w:hAnsi="宋体" w:eastAsia="宋体" w:cs="宋体"/>
                <w:snapToGrid w:val="0"/>
                <w:color w:val="auto"/>
                <w:spacing w:val="0"/>
                <w:kern w:val="0"/>
                <w:position w:val="0"/>
                <w:sz w:val="24"/>
                <w:szCs w:val="24"/>
                <w:highlight w:val="none"/>
                <w:lang w:val="en-US" w:eastAsia="zh-CN" w:bidi="ar-SA"/>
              </w:rPr>
              <w:t>服务方案，包括（针对每个系统</w:t>
            </w:r>
            <w:r>
              <w:rPr>
                <w:rFonts w:hint="eastAsia" w:cs="宋体"/>
                <w:snapToGrid w:val="0"/>
                <w:color w:val="auto"/>
                <w:spacing w:val="0"/>
                <w:kern w:val="0"/>
                <w:position w:val="0"/>
                <w:sz w:val="24"/>
                <w:szCs w:val="24"/>
                <w:highlight w:val="none"/>
                <w:lang w:val="en-US" w:eastAsia="zh-CN" w:bidi="ar-SA"/>
              </w:rPr>
              <w:t>运营</w:t>
            </w:r>
            <w:r>
              <w:rPr>
                <w:rFonts w:hint="eastAsia" w:ascii="宋体" w:hAnsi="宋体" w:eastAsia="宋体" w:cs="宋体"/>
                <w:snapToGrid w:val="0"/>
                <w:color w:val="auto"/>
                <w:spacing w:val="0"/>
                <w:kern w:val="0"/>
                <w:position w:val="0"/>
                <w:sz w:val="24"/>
                <w:szCs w:val="24"/>
                <w:highlight w:val="none"/>
                <w:lang w:val="en-US" w:eastAsia="zh-CN" w:bidi="ar-SA"/>
              </w:rPr>
              <w:t>、计划安排、巡检周期等）情况进行打分，最高得5分。</w:t>
            </w:r>
          </w:p>
          <w:p w14:paraId="6222F038">
            <w:pPr>
              <w:pStyle w:val="23"/>
              <w:keepNext w:val="0"/>
              <w:keepLines w:val="0"/>
              <w:pageBreakBefore w:val="0"/>
              <w:widowControl/>
              <w:kinsoku/>
              <w:wordWrap w:val="0"/>
              <w:overflowPunct/>
              <w:topLinePunct/>
              <w:autoSpaceDE/>
              <w:autoSpaceDN/>
              <w:bidi w:val="0"/>
              <w:adjustRightInd w:val="0"/>
              <w:snapToGrid w:val="0"/>
              <w:spacing w:line="440" w:lineRule="exact"/>
              <w:ind w:firstLine="480" w:firstLineChars="20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①方案全面详尽，针对性和可操作性强，符合实际情况的得5分；</w:t>
            </w:r>
          </w:p>
          <w:p w14:paraId="19ECCE5E">
            <w:pPr>
              <w:pStyle w:val="23"/>
              <w:keepNext w:val="0"/>
              <w:keepLines w:val="0"/>
              <w:pageBreakBefore w:val="0"/>
              <w:widowControl/>
              <w:kinsoku/>
              <w:wordWrap w:val="0"/>
              <w:overflowPunct/>
              <w:topLinePunct/>
              <w:autoSpaceDE/>
              <w:autoSpaceDN/>
              <w:bidi w:val="0"/>
              <w:adjustRightInd w:val="0"/>
              <w:snapToGrid w:val="0"/>
              <w:spacing w:line="440" w:lineRule="exact"/>
              <w:ind w:firstLine="480" w:firstLineChars="20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②方案基本全面，基本符合实际情况的得3分；</w:t>
            </w:r>
          </w:p>
          <w:p w14:paraId="0BAA42E2">
            <w:pPr>
              <w:keepNext w:val="0"/>
              <w:keepLines w:val="0"/>
              <w:pageBreakBefore w:val="0"/>
              <w:widowControl/>
              <w:kinsoku/>
              <w:wordWrap w:val="0"/>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③方案不全面或不符合实际情况的得1分；</w:t>
            </w:r>
          </w:p>
          <w:p w14:paraId="1B503C59">
            <w:pPr>
              <w:pStyle w:val="23"/>
              <w:keepNext w:val="0"/>
              <w:keepLines w:val="0"/>
              <w:pageBreakBefore w:val="0"/>
              <w:widowControl/>
              <w:kinsoku/>
              <w:wordWrap w:val="0"/>
              <w:overflowPunct/>
              <w:topLinePunct/>
              <w:autoSpaceDE/>
              <w:autoSpaceDN/>
              <w:bidi w:val="0"/>
              <w:adjustRightInd w:val="0"/>
              <w:snapToGrid w:val="0"/>
              <w:spacing w:line="440" w:lineRule="exact"/>
              <w:ind w:firstLine="480" w:firstLineChars="200"/>
              <w:jc w:val="left"/>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bidi="ar-SA"/>
              </w:rPr>
              <w:t>④未提供相应内容的不得分。</w:t>
            </w:r>
            <w:r>
              <w:rPr>
                <w:rFonts w:hint="eastAsia" w:ascii="宋体" w:hAnsi="宋体" w:eastAsia="宋体" w:cs="宋体"/>
                <w:color w:val="auto"/>
                <w:sz w:val="24"/>
                <w:szCs w:val="24"/>
                <w:highlight w:val="none"/>
              </w:rPr>
              <w:tab/>
            </w:r>
          </w:p>
        </w:tc>
      </w:tr>
      <w:tr w14:paraId="3659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39" w:type="dxa"/>
            <w:vMerge w:val="continue"/>
            <w:vAlign w:val="center"/>
          </w:tcPr>
          <w:p w14:paraId="34F02CC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18D8F118">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15CAA951">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cs="宋体"/>
                <w:color w:val="auto"/>
                <w:spacing w:val="0"/>
                <w:kern w:val="0"/>
                <w:position w:val="0"/>
                <w:sz w:val="24"/>
                <w:szCs w:val="24"/>
                <w:highlight w:val="none"/>
                <w:lang w:val="en-US" w:eastAsia="zh-CN"/>
              </w:rPr>
              <w:t>15</w:t>
            </w:r>
            <w:r>
              <w:rPr>
                <w:rFonts w:hint="eastAsia" w:ascii="宋体" w:hAnsi="宋体" w:eastAsia="宋体" w:cs="宋体"/>
                <w:color w:val="auto"/>
                <w:spacing w:val="0"/>
                <w:kern w:val="0"/>
                <w:position w:val="0"/>
                <w:sz w:val="24"/>
                <w:szCs w:val="24"/>
                <w:highlight w:val="none"/>
              </w:rPr>
              <w:t>分</w:t>
            </w:r>
          </w:p>
        </w:tc>
        <w:tc>
          <w:tcPr>
            <w:tcW w:w="1734" w:type="dxa"/>
            <w:vAlign w:val="center"/>
          </w:tcPr>
          <w:p w14:paraId="3DACACF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人员配备</w:t>
            </w:r>
          </w:p>
        </w:tc>
        <w:tc>
          <w:tcPr>
            <w:tcW w:w="4017" w:type="dxa"/>
          </w:tcPr>
          <w:p w14:paraId="1718896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投标人交付团队中具有系统集成项目管理工程师，智能化系统集成项目经理证书的成员，每提供一个证书1分，满分</w:t>
            </w:r>
            <w:r>
              <w:rPr>
                <w:rFonts w:hint="eastAsia" w:cs="宋体"/>
                <w:sz w:val="24"/>
                <w:szCs w:val="24"/>
                <w:highlight w:val="none"/>
                <w:lang w:val="en-US" w:eastAsia="zh-CN"/>
              </w:rPr>
              <w:t>6</w:t>
            </w:r>
            <w:r>
              <w:rPr>
                <w:rFonts w:hint="eastAsia" w:ascii="宋体" w:hAnsi="宋体" w:eastAsia="宋体" w:cs="宋体"/>
                <w:sz w:val="24"/>
                <w:szCs w:val="24"/>
                <w:highlight w:val="none"/>
              </w:rPr>
              <w:t>分。</w:t>
            </w:r>
          </w:p>
          <w:p w14:paraId="2F8DDA28">
            <w:pPr>
              <w:pStyle w:val="23"/>
              <w:keepNext w:val="0"/>
              <w:keepLines w:val="0"/>
              <w:pageBreakBefore w:val="0"/>
              <w:widowControl/>
              <w:numPr>
                <w:ilvl w:val="0"/>
                <w:numId w:val="0"/>
              </w:numPr>
              <w:tabs>
                <w:tab w:val="left" w:pos="0"/>
              </w:tabs>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default" w:ascii="宋体" w:hAnsi="宋体" w:eastAsia="宋体" w:cs="宋体"/>
                <w:snapToGrid w:val="0"/>
                <w:color w:val="auto"/>
                <w:spacing w:val="0"/>
                <w:kern w:val="0"/>
                <w:position w:val="0"/>
                <w:sz w:val="24"/>
                <w:szCs w:val="24"/>
                <w:lang w:val="en-US" w:eastAsia="zh-CN" w:bidi="ar-SA"/>
              </w:rPr>
              <w:t>2、</w:t>
            </w:r>
            <w:r>
              <w:rPr>
                <w:rFonts w:hint="eastAsia" w:ascii="宋体" w:hAnsi="宋体" w:eastAsia="宋体" w:cs="宋体"/>
                <w:color w:val="auto"/>
                <w:spacing w:val="0"/>
                <w:kern w:val="0"/>
                <w:position w:val="0"/>
                <w:sz w:val="24"/>
                <w:szCs w:val="24"/>
                <w:highlight w:val="none"/>
              </w:rPr>
              <w:t>投入的人员中具备有效期内应急管理部门颁发的特种作业操作证（作业类别为电工作业），每人得</w:t>
            </w:r>
            <w:r>
              <w:rPr>
                <w:rFonts w:hint="eastAsia"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分，本小项最高得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p>
          <w:p w14:paraId="2BD7EA02">
            <w:pPr>
              <w:pStyle w:val="23"/>
              <w:keepNext w:val="0"/>
              <w:keepLines w:val="0"/>
              <w:pageBreakBefore w:val="0"/>
              <w:widowControl/>
              <w:numPr>
                <w:ilvl w:val="0"/>
                <w:numId w:val="0"/>
              </w:numPr>
              <w:tabs>
                <w:tab w:val="left" w:pos="0"/>
              </w:tabs>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default" w:ascii="宋体" w:hAnsi="宋体" w:eastAsia="宋体" w:cs="宋体"/>
                <w:snapToGrid w:val="0"/>
                <w:color w:val="auto"/>
                <w:spacing w:val="0"/>
                <w:kern w:val="0"/>
                <w:position w:val="0"/>
                <w:sz w:val="24"/>
                <w:szCs w:val="24"/>
                <w:lang w:val="en-US" w:eastAsia="zh-CN" w:bidi="ar-SA"/>
              </w:rPr>
              <w:t>3、</w:t>
            </w:r>
            <w:r>
              <w:rPr>
                <w:rFonts w:hint="eastAsia" w:ascii="宋体" w:hAnsi="宋体" w:eastAsia="宋体" w:cs="宋体"/>
                <w:color w:val="auto"/>
                <w:spacing w:val="0"/>
                <w:kern w:val="0"/>
                <w:position w:val="0"/>
                <w:sz w:val="24"/>
                <w:szCs w:val="24"/>
                <w:highlight w:val="none"/>
              </w:rPr>
              <w:t>投入的人员中具备有效期内应急管理部门颁发的特种作业操作证（作业类别为高处作业），每人得</w:t>
            </w:r>
            <w:r>
              <w:rPr>
                <w:rFonts w:hint="eastAsia"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分，本小项最高得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p>
          <w:p w14:paraId="52AEF1CA">
            <w:pPr>
              <w:pStyle w:val="23"/>
              <w:keepNext w:val="0"/>
              <w:keepLines w:val="0"/>
              <w:pageBreakBefore w:val="0"/>
              <w:widowControl/>
              <w:numPr>
                <w:ilvl w:val="0"/>
                <w:numId w:val="0"/>
              </w:numPr>
              <w:tabs>
                <w:tab w:val="left" w:pos="0"/>
              </w:tabs>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default" w:ascii="宋体" w:hAnsi="宋体" w:eastAsia="宋体" w:cs="宋体"/>
                <w:snapToGrid w:val="0"/>
                <w:color w:val="auto"/>
                <w:spacing w:val="0"/>
                <w:kern w:val="0"/>
                <w:position w:val="0"/>
                <w:sz w:val="24"/>
                <w:szCs w:val="24"/>
                <w:lang w:val="en-US" w:eastAsia="zh-CN" w:bidi="ar-SA"/>
              </w:rPr>
              <w:t>4、</w:t>
            </w:r>
            <w:r>
              <w:rPr>
                <w:rFonts w:hint="eastAsia" w:ascii="宋体" w:hAnsi="宋体" w:eastAsia="宋体" w:cs="宋体"/>
                <w:color w:val="auto"/>
                <w:sz w:val="24"/>
                <w:szCs w:val="24"/>
                <w:highlight w:val="none"/>
              </w:rPr>
              <w:t>投标人拟派项目的软件负责人具有系统架构设计师证书、软件设计师证书、数据库系统工程师证书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CISAW信息安全保障人员认证证书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注册信息安全专业人员（CISP）认证证书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满足其中1项</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cs="宋体"/>
                <w:color w:val="auto"/>
                <w:sz w:val="24"/>
                <w:szCs w:val="24"/>
                <w:highlight w:val="none"/>
                <w:lang w:val="en-US" w:eastAsia="zh-CN"/>
              </w:rPr>
              <w:t>，</w:t>
            </w:r>
            <w:r>
              <w:rPr>
                <w:rFonts w:hint="eastAsia" w:ascii="宋体" w:hAnsi="宋体" w:eastAsia="宋体" w:cs="宋体"/>
                <w:color w:val="auto"/>
                <w:spacing w:val="0"/>
                <w:kern w:val="0"/>
                <w:position w:val="0"/>
                <w:sz w:val="24"/>
                <w:szCs w:val="24"/>
                <w:highlight w:val="none"/>
              </w:rPr>
              <w:t>本小项最高得</w:t>
            </w:r>
            <w:r>
              <w:rPr>
                <w:rFonts w:hint="eastAsia" w:cs="宋体"/>
                <w:color w:val="auto"/>
                <w:spacing w:val="0"/>
                <w:kern w:val="0"/>
                <w:position w:val="0"/>
                <w:sz w:val="24"/>
                <w:szCs w:val="24"/>
                <w:highlight w:val="none"/>
                <w:lang w:val="en-US" w:eastAsia="zh-CN"/>
              </w:rPr>
              <w:t>5</w:t>
            </w:r>
            <w:r>
              <w:rPr>
                <w:rFonts w:hint="eastAsia" w:ascii="宋体" w:hAnsi="宋体" w:eastAsia="宋体" w:cs="宋体"/>
                <w:color w:val="auto"/>
                <w:spacing w:val="0"/>
                <w:kern w:val="0"/>
                <w:position w:val="0"/>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系统架构设计师证书、软件设计师证书、数据库系统工程师证书</w:t>
            </w:r>
            <w:r>
              <w:rPr>
                <w:rFonts w:hint="eastAsia" w:ascii="宋体" w:hAnsi="宋体" w:eastAsia="宋体" w:cs="宋体"/>
                <w:color w:val="auto"/>
                <w:sz w:val="24"/>
                <w:szCs w:val="24"/>
                <w:highlight w:val="none"/>
                <w:lang w:eastAsia="zh-CN"/>
              </w:rPr>
              <w:t>发证机构须为人力资源与社会保障部门，如证书上不</w:t>
            </w:r>
            <w:r>
              <w:rPr>
                <w:rFonts w:hint="eastAsia" w:ascii="宋体" w:hAnsi="宋体" w:cs="宋体"/>
                <w:color w:val="auto"/>
                <w:sz w:val="24"/>
                <w:szCs w:val="24"/>
                <w:highlight w:val="none"/>
                <w:lang w:val="en-US" w:eastAsia="zh-CN"/>
              </w:rPr>
              <w:t>体现</w:t>
            </w:r>
            <w:r>
              <w:rPr>
                <w:rFonts w:hint="eastAsia" w:ascii="宋体" w:hAnsi="宋体" w:eastAsia="宋体" w:cs="宋体"/>
                <w:color w:val="auto"/>
                <w:sz w:val="24"/>
                <w:szCs w:val="24"/>
                <w:highlight w:val="none"/>
                <w:lang w:eastAsia="zh-CN"/>
              </w:rPr>
              <w:t>以上发证机构，</w:t>
            </w:r>
            <w:r>
              <w:rPr>
                <w:rFonts w:hint="eastAsia" w:ascii="宋体" w:hAnsi="宋体" w:cs="宋体"/>
                <w:color w:val="auto"/>
                <w:sz w:val="24"/>
                <w:szCs w:val="24"/>
                <w:highlight w:val="none"/>
                <w:lang w:val="en-US" w:eastAsia="zh-CN"/>
              </w:rPr>
              <w:t>还</w:t>
            </w:r>
            <w:r>
              <w:rPr>
                <w:rFonts w:hint="eastAsia" w:ascii="宋体" w:hAnsi="宋体" w:eastAsia="宋体" w:cs="宋体"/>
                <w:color w:val="auto"/>
                <w:sz w:val="24"/>
                <w:szCs w:val="24"/>
                <w:highlight w:val="none"/>
                <w:lang w:eastAsia="zh-CN"/>
              </w:rPr>
              <w:t>需</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提供证书在全国人力资源和社会保障政务服务平台官网查询截图】</w:t>
            </w:r>
          </w:p>
          <w:p w14:paraId="31A9480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color w:val="auto"/>
                <w:spacing w:val="0"/>
                <w:kern w:val="0"/>
                <w:position w:val="0"/>
                <w:sz w:val="24"/>
                <w:szCs w:val="24"/>
                <w:highlight w:val="none"/>
              </w:rPr>
              <w:t>注：同一人具有多项证书，按一人计算，且按最高级别证书计分，不累计得分</w:t>
            </w:r>
            <w:r>
              <w:rPr>
                <w:rFonts w:hint="eastAsia" w:ascii="宋体" w:hAnsi="宋体" w:eastAsia="宋体" w:cs="宋体"/>
                <w:sz w:val="24"/>
                <w:szCs w:val="24"/>
                <w:highlight w:val="none"/>
              </w:rPr>
              <w:t>。提供相应人员的身份证、职称证等有效期内相关资格证书复印件及与供应商名称一致的社保证明</w:t>
            </w:r>
            <w:r>
              <w:rPr>
                <w:rFonts w:hint="eastAsia" w:cs="宋体"/>
                <w:sz w:val="24"/>
                <w:szCs w:val="24"/>
                <w:highlight w:val="none"/>
                <w:lang w:eastAsia="zh-CN"/>
              </w:rPr>
              <w:t>（</w:t>
            </w:r>
            <w:r>
              <w:rPr>
                <w:rFonts w:hint="eastAsia" w:cs="宋体"/>
                <w:sz w:val="24"/>
                <w:szCs w:val="24"/>
                <w:highlight w:val="none"/>
                <w:lang w:val="en-US" w:eastAsia="zh-CN"/>
              </w:rPr>
              <w:t>提供2025年1月1日以来近六个月的社保证明，入职不足六个月的，提供从入职次月到开标前的社保证明</w:t>
            </w:r>
            <w:r>
              <w:rPr>
                <w:rFonts w:hint="eastAsia" w:cs="宋体"/>
                <w:sz w:val="24"/>
                <w:szCs w:val="24"/>
                <w:highlight w:val="none"/>
                <w:lang w:eastAsia="zh-CN"/>
              </w:rPr>
              <w:t>）</w:t>
            </w:r>
            <w:r>
              <w:rPr>
                <w:rFonts w:hint="eastAsia" w:ascii="宋体" w:hAnsi="宋体" w:eastAsia="宋体" w:cs="宋体"/>
                <w:sz w:val="24"/>
                <w:szCs w:val="24"/>
                <w:highlight w:val="none"/>
              </w:rPr>
              <w:t>并加盖供应商公章作为证明材料，否则不得分。</w:t>
            </w:r>
          </w:p>
        </w:tc>
      </w:tr>
      <w:tr w14:paraId="2BDA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19DA81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7245812A">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11CA64C7">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4</w:t>
            </w:r>
            <w:r>
              <w:rPr>
                <w:rFonts w:hint="eastAsia" w:ascii="宋体" w:hAnsi="宋体" w:eastAsia="宋体" w:cs="宋体"/>
                <w:spacing w:val="0"/>
                <w:kern w:val="0"/>
                <w:position w:val="0"/>
                <w:sz w:val="24"/>
                <w:szCs w:val="24"/>
                <w:highlight w:val="none"/>
                <w:lang w:val="en-US" w:eastAsia="zh-CN"/>
              </w:rPr>
              <w:t>分</w:t>
            </w:r>
          </w:p>
        </w:tc>
        <w:tc>
          <w:tcPr>
            <w:tcW w:w="1734" w:type="dxa"/>
            <w:vAlign w:val="center"/>
          </w:tcPr>
          <w:p w14:paraId="0072EBD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业绩</w:t>
            </w:r>
          </w:p>
        </w:tc>
        <w:tc>
          <w:tcPr>
            <w:tcW w:w="4017" w:type="dxa"/>
          </w:tcPr>
          <w:p w14:paraId="69B6CE26">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投标人近三年（202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年至今）同类项目业绩，每提供1份业绩得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分。（类似业绩以中标通知书或合同为准）</w:t>
            </w:r>
          </w:p>
          <w:p w14:paraId="6ED6299F">
            <w:pPr>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textAlignment w:val="baseline"/>
              <w:rPr>
                <w:rFonts w:hint="eastAsia" w:ascii="宋体" w:hAnsi="宋体" w:eastAsia="宋体" w:cs="宋体"/>
                <w:b/>
                <w:bCs/>
                <w:spacing w:val="0"/>
                <w:kern w:val="0"/>
                <w:position w:val="0"/>
                <w:sz w:val="24"/>
                <w:szCs w:val="24"/>
                <w:highlight w:val="none"/>
                <w:lang w:val="en-US" w:eastAsia="zh-CN"/>
              </w:rPr>
            </w:pPr>
            <w:r>
              <w:rPr>
                <w:rFonts w:hint="eastAsia" w:ascii="宋体" w:hAnsi="宋体" w:eastAsia="宋体" w:cs="宋体"/>
                <w:sz w:val="24"/>
                <w:szCs w:val="24"/>
                <w:highlight w:val="none"/>
              </w:rPr>
              <w:t>注：业绩须同时提供合同关键页(关键信息包括但不仅限于合同双方的单位名称、合同金额、服务内容、签订日期、双方签署页和盖章页)，公开招投标网站招标公告及中标（成交）公告截图及网址，中标通知书的复印件，不提供或提供不完整不得分。</w:t>
            </w:r>
          </w:p>
        </w:tc>
      </w:tr>
      <w:tr w14:paraId="0DD0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1BF712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21D38492">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3AC895F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2分</w:t>
            </w:r>
          </w:p>
        </w:tc>
        <w:tc>
          <w:tcPr>
            <w:tcW w:w="1734" w:type="dxa"/>
            <w:vAlign w:val="center"/>
          </w:tcPr>
          <w:p w14:paraId="786D3AC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免费质保期</w:t>
            </w:r>
          </w:p>
        </w:tc>
        <w:tc>
          <w:tcPr>
            <w:tcW w:w="4017" w:type="dxa"/>
            <w:vAlign w:val="center"/>
          </w:tcPr>
          <w:p w14:paraId="49B8C2BA">
            <w:pPr>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default" w:ascii="宋体" w:hAnsi="宋体" w:eastAsia="宋体" w:cs="宋体"/>
                <w:b w:val="0"/>
                <w:bCs w:val="0"/>
                <w:spacing w:val="0"/>
                <w:kern w:val="0"/>
                <w:position w:val="0"/>
                <w:sz w:val="24"/>
                <w:szCs w:val="24"/>
                <w:highlight w:val="none"/>
                <w:lang w:val="en-US" w:eastAsia="zh-CN"/>
              </w:rPr>
            </w:pPr>
            <w:r>
              <w:rPr>
                <w:rFonts w:hint="default" w:ascii="宋体" w:hAnsi="宋体" w:eastAsia="宋体" w:cs="宋体"/>
                <w:b w:val="0"/>
                <w:bCs w:val="0"/>
                <w:spacing w:val="0"/>
                <w:kern w:val="0"/>
                <w:position w:val="0"/>
                <w:sz w:val="24"/>
                <w:szCs w:val="24"/>
                <w:highlight w:val="none"/>
                <w:lang w:val="en-US" w:eastAsia="zh-CN"/>
              </w:rPr>
              <w:t>设备验收合格后，</w:t>
            </w:r>
            <w:r>
              <w:rPr>
                <w:rFonts w:hint="eastAsia" w:ascii="宋体" w:hAnsi="宋体" w:eastAsia="宋体" w:cs="宋体"/>
                <w:b w:val="0"/>
                <w:bCs w:val="0"/>
                <w:spacing w:val="0"/>
                <w:kern w:val="0"/>
                <w:position w:val="0"/>
                <w:sz w:val="24"/>
                <w:szCs w:val="24"/>
                <w:highlight w:val="none"/>
                <w:lang w:val="en-US" w:eastAsia="zh-CN"/>
              </w:rPr>
              <w:t>五</w:t>
            </w:r>
            <w:r>
              <w:rPr>
                <w:rFonts w:hint="default" w:ascii="宋体" w:hAnsi="宋体" w:eastAsia="宋体" w:cs="宋体"/>
                <w:b w:val="0"/>
                <w:bCs w:val="0"/>
                <w:spacing w:val="0"/>
                <w:kern w:val="0"/>
                <w:position w:val="0"/>
                <w:sz w:val="24"/>
                <w:szCs w:val="24"/>
                <w:highlight w:val="none"/>
                <w:lang w:val="en-US" w:eastAsia="zh-CN"/>
              </w:rPr>
              <w:t>年免费质保，</w:t>
            </w:r>
            <w:r>
              <w:rPr>
                <w:rFonts w:hint="eastAsia" w:ascii="宋体" w:hAnsi="宋体" w:eastAsia="宋体" w:cs="宋体"/>
                <w:b w:val="0"/>
                <w:bCs w:val="0"/>
                <w:spacing w:val="0"/>
                <w:kern w:val="0"/>
                <w:position w:val="0"/>
                <w:sz w:val="24"/>
                <w:szCs w:val="24"/>
                <w:highlight w:val="none"/>
                <w:lang w:val="en-US" w:eastAsia="zh-CN"/>
              </w:rPr>
              <w:t>五</w:t>
            </w:r>
            <w:r>
              <w:rPr>
                <w:rFonts w:hint="default" w:ascii="宋体" w:hAnsi="宋体" w:eastAsia="宋体" w:cs="宋体"/>
                <w:b w:val="0"/>
                <w:bCs w:val="0"/>
                <w:spacing w:val="0"/>
                <w:kern w:val="0"/>
                <w:position w:val="0"/>
                <w:sz w:val="24"/>
                <w:szCs w:val="24"/>
                <w:highlight w:val="none"/>
                <w:lang w:val="en-US" w:eastAsia="zh-CN"/>
              </w:rPr>
              <w:t>年免费上门服务（其中软件五年免费升级和质保，五年免费上门服务）</w:t>
            </w:r>
            <w:r>
              <w:rPr>
                <w:rFonts w:hint="eastAsia" w:ascii="宋体" w:hAnsi="宋体" w:eastAsia="宋体" w:cs="宋体"/>
                <w:b w:val="0"/>
                <w:bCs w:val="0"/>
                <w:spacing w:val="0"/>
                <w:kern w:val="0"/>
                <w:position w:val="0"/>
                <w:sz w:val="24"/>
                <w:szCs w:val="24"/>
                <w:highlight w:val="none"/>
                <w:lang w:val="en-US" w:eastAsia="zh-CN"/>
              </w:rPr>
              <w:t>，在此基础上免费质保期每延长1年，加1分，满分2分。</w:t>
            </w:r>
          </w:p>
        </w:tc>
      </w:tr>
      <w:tr w14:paraId="0616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77CFBF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187CDC45">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66C6678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2分</w:t>
            </w:r>
          </w:p>
        </w:tc>
        <w:tc>
          <w:tcPr>
            <w:tcW w:w="1734" w:type="dxa"/>
            <w:vAlign w:val="center"/>
          </w:tcPr>
          <w:p w14:paraId="4E6CF2C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优惠承诺</w:t>
            </w:r>
          </w:p>
        </w:tc>
        <w:tc>
          <w:tcPr>
            <w:tcW w:w="4017" w:type="dxa"/>
            <w:vAlign w:val="center"/>
          </w:tcPr>
          <w:p w14:paraId="7F3EE8D9">
            <w:pPr>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default" w:ascii="宋体" w:hAnsi="宋体" w:eastAsia="宋体" w:cs="宋体"/>
                <w:b w:val="0"/>
                <w:bCs w:val="0"/>
                <w:spacing w:val="0"/>
                <w:kern w:val="0"/>
                <w:position w:val="0"/>
                <w:sz w:val="24"/>
                <w:szCs w:val="24"/>
                <w:highlight w:val="none"/>
                <w:lang w:val="en-US" w:eastAsia="zh-CN"/>
              </w:rPr>
            </w:pPr>
            <w:r>
              <w:rPr>
                <w:rFonts w:hint="eastAsia" w:ascii="宋体" w:hAnsi="宋体" w:eastAsia="宋体" w:cs="宋体"/>
                <w:b w:val="0"/>
                <w:bCs w:val="0"/>
                <w:spacing w:val="0"/>
                <w:kern w:val="0"/>
                <w:position w:val="0"/>
                <w:sz w:val="24"/>
                <w:szCs w:val="24"/>
                <w:highlight w:val="none"/>
                <w:lang w:val="en-US" w:eastAsia="zh-CN"/>
              </w:rPr>
              <w:t>投标人免费对项目所需的机房进行装修部署的（包括但不限于墙面、地板、吊顶、空调等），得2分（提供承诺函）</w:t>
            </w:r>
          </w:p>
        </w:tc>
      </w:tr>
      <w:tr w14:paraId="254E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9ED7FC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3BEB36EC">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59E72BC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2分</w:t>
            </w:r>
          </w:p>
        </w:tc>
        <w:tc>
          <w:tcPr>
            <w:tcW w:w="1734" w:type="dxa"/>
            <w:vAlign w:val="center"/>
          </w:tcPr>
          <w:p w14:paraId="3BFEA1D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信用评价</w:t>
            </w:r>
          </w:p>
        </w:tc>
        <w:tc>
          <w:tcPr>
            <w:tcW w:w="4017" w:type="dxa"/>
          </w:tcPr>
          <w:p w14:paraId="6D131BF4">
            <w:pPr>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textAlignment w:val="baseline"/>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sz w:val="24"/>
                <w:szCs w:val="24"/>
                <w:highlight w:val="none"/>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w:t>
            </w:r>
          </w:p>
        </w:tc>
      </w:tr>
      <w:tr w14:paraId="03302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tcPr>
          <w:p w14:paraId="4ECBC31C">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合计</w:t>
            </w:r>
          </w:p>
        </w:tc>
        <w:tc>
          <w:tcPr>
            <w:tcW w:w="873" w:type="dxa"/>
            <w:vAlign w:val="center"/>
          </w:tcPr>
          <w:p w14:paraId="240EB40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100分</w:t>
            </w:r>
          </w:p>
        </w:tc>
        <w:tc>
          <w:tcPr>
            <w:tcW w:w="5751" w:type="dxa"/>
            <w:gridSpan w:val="2"/>
          </w:tcPr>
          <w:p w14:paraId="6083DC47">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r>
    </w:tbl>
    <w:p w14:paraId="753B90C8">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六.中标通知及签订合同</w:t>
      </w:r>
    </w:p>
    <w:p w14:paraId="20DC95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1.中标通知</w:t>
      </w:r>
    </w:p>
    <w:p w14:paraId="7DD36D8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1.1中标人被正式确定后，将在“河南省政府采购网”和“全国公共资源交易平台（河南省</w:t>
      </w:r>
      <w:r>
        <w:rPr>
          <w:rFonts w:hint="eastAsia" w:ascii="微软雅黑" w:hAnsi="微软雅黑" w:eastAsia="微软雅黑" w:cs="微软雅黑"/>
          <w:spacing w:val="0"/>
          <w:kern w:val="0"/>
          <w:position w:val="0"/>
          <w:sz w:val="24"/>
          <w:szCs w:val="24"/>
          <w:lang w:eastAsia="zh-CN"/>
        </w:rPr>
        <w:t>·</w:t>
      </w:r>
      <w:r>
        <w:rPr>
          <w:rFonts w:hint="eastAsia" w:asciiTheme="minorEastAsia" w:hAnsiTheme="minorEastAsia" w:eastAsiaTheme="minorEastAsia" w:cstheme="minorEastAsia"/>
          <w:spacing w:val="0"/>
          <w:kern w:val="0"/>
          <w:position w:val="0"/>
          <w:sz w:val="24"/>
          <w:szCs w:val="24"/>
          <w:lang w:eastAsia="zh-CN"/>
        </w:rPr>
        <w:t>南阳市）”上公告中标结果，同时向中标人发出《中标通知书》。</w:t>
      </w:r>
    </w:p>
    <w:p w14:paraId="3839FCA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1.2 《中标通知书》将作为签订合同的依据之一。</w:t>
      </w:r>
    </w:p>
    <w:p w14:paraId="426C8E3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9885A27">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2.签订合同</w:t>
      </w:r>
    </w:p>
    <w:p w14:paraId="5F38BB2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2.1中标供应商打印《中标通知书》后及时与采购人签订政府采购合同。合同签订后，采购人应通过“河南省电子化政府采购系统”(https://jingji.zfcg.henan.gov.cn/henan)合同管理栏目上传合同原件扫描件完成备案。</w:t>
      </w:r>
    </w:p>
    <w:p w14:paraId="19FCB44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2.2招标文件、投标文件、答疑及澄清文件，均为签订合同的依据。</w:t>
      </w:r>
    </w:p>
    <w:p w14:paraId="298DB28B">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七.质疑与答复</w:t>
      </w:r>
    </w:p>
    <w:p w14:paraId="2B24C679">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asciiTheme="minorEastAsia" w:hAnsiTheme="minorEastAsia" w:eastAsiaTheme="minorEastAsia" w:cstheme="minorEastAsia"/>
          <w:spacing w:val="0"/>
          <w:kern w:val="0"/>
          <w:position w:val="0"/>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54E3EA55">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w:t>
      </w:r>
      <w:r>
        <w:rPr>
          <w:rFonts w:asciiTheme="minorEastAsia" w:hAnsiTheme="minorEastAsia" w:eastAsiaTheme="minorEastAsia" w:cstheme="minorEastAsia"/>
          <w:spacing w:val="0"/>
          <w:kern w:val="0"/>
          <w:position w:val="0"/>
          <w:sz w:val="24"/>
          <w:szCs w:val="24"/>
          <w:lang w:eastAsia="zh-CN"/>
        </w:rPr>
        <w:t>质疑函须按照财政</w:t>
      </w:r>
      <w:r>
        <w:rPr>
          <w:rFonts w:hint="eastAsia" w:asciiTheme="minorEastAsia" w:hAnsiTheme="minorEastAsia" w:eastAsiaTheme="minorEastAsia" w:cstheme="minorEastAsia"/>
          <w:spacing w:val="0"/>
          <w:kern w:val="0"/>
          <w:position w:val="0"/>
          <w:sz w:val="24"/>
          <w:szCs w:val="24"/>
          <w:lang w:eastAsia="zh-CN"/>
        </w:rPr>
        <w:t>部门</w:t>
      </w:r>
      <w:r>
        <w:rPr>
          <w:rFonts w:asciiTheme="minorEastAsia" w:hAnsiTheme="minorEastAsia" w:eastAsiaTheme="minorEastAsia" w:cstheme="minorEastAsia"/>
          <w:spacing w:val="0"/>
          <w:kern w:val="0"/>
          <w:position w:val="0"/>
          <w:sz w:val="24"/>
          <w:szCs w:val="24"/>
          <w:lang w:eastAsia="zh-CN"/>
        </w:rPr>
        <w:t>发布的质疑函范本格式编制，质疑事项应具体、明确，并有必要的事实依据和法律依据。</w:t>
      </w:r>
    </w:p>
    <w:p w14:paraId="07AE937C">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w:t>
      </w:r>
      <w:r>
        <w:rPr>
          <w:rFonts w:asciiTheme="minorEastAsia" w:hAnsiTheme="minorEastAsia" w:eastAsiaTheme="minorEastAsia" w:cstheme="minorEastAsia"/>
          <w:spacing w:val="0"/>
          <w:kern w:val="0"/>
          <w:position w:val="0"/>
          <w:sz w:val="24"/>
          <w:szCs w:val="24"/>
          <w:lang w:eastAsia="zh-CN"/>
        </w:rPr>
        <w:t>接收质疑的方式：</w:t>
      </w:r>
    </w:p>
    <w:p w14:paraId="32E7B009">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 xml:space="preserve">3.1 </w:t>
      </w:r>
      <w:r>
        <w:rPr>
          <w:rFonts w:asciiTheme="minorEastAsia" w:hAnsiTheme="minorEastAsia" w:eastAsiaTheme="minorEastAsia" w:cstheme="minorEastAsia"/>
          <w:spacing w:val="0"/>
          <w:kern w:val="0"/>
          <w:position w:val="0"/>
          <w:sz w:val="24"/>
          <w:szCs w:val="24"/>
          <w:lang w:eastAsia="zh-CN"/>
        </w:rPr>
        <w:t>在线接收，请质疑人上传质疑函原件扫描件到南阳市公共资源交易系统并电话通知到项目负责人。</w:t>
      </w:r>
    </w:p>
    <w:p w14:paraId="65DE6E7D">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 xml:space="preserve">3.2 </w:t>
      </w:r>
      <w:r>
        <w:rPr>
          <w:rFonts w:asciiTheme="minorEastAsia" w:hAnsiTheme="minorEastAsia" w:eastAsiaTheme="minorEastAsia" w:cstheme="minorEastAsia"/>
          <w:spacing w:val="0"/>
          <w:kern w:val="0"/>
          <w:position w:val="0"/>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0"/>
          <w:kern w:val="0"/>
          <w:position w:val="0"/>
          <w:sz w:val="24"/>
          <w:szCs w:val="24"/>
          <w:lang w:eastAsia="zh-CN"/>
        </w:rPr>
        <w:t>采购代理机构</w:t>
      </w:r>
      <w:r>
        <w:rPr>
          <w:rFonts w:asciiTheme="minorEastAsia" w:hAnsiTheme="minorEastAsia" w:eastAsiaTheme="minorEastAsia" w:cstheme="minorEastAsia"/>
          <w:spacing w:val="0"/>
          <w:kern w:val="0"/>
          <w:position w:val="0"/>
          <w:sz w:val="24"/>
          <w:szCs w:val="24"/>
          <w:lang w:eastAsia="zh-CN"/>
        </w:rPr>
        <w:t>项目负责人，联系方式及地址详见采购公告。</w:t>
      </w:r>
    </w:p>
    <w:p w14:paraId="6F01EA7F">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w:t>
      </w:r>
      <w:r>
        <w:rPr>
          <w:rFonts w:asciiTheme="minorEastAsia" w:hAnsiTheme="minorEastAsia" w:eastAsiaTheme="minorEastAsia" w:cstheme="minorEastAsia"/>
          <w:spacing w:val="0"/>
          <w:kern w:val="0"/>
          <w:position w:val="0"/>
          <w:sz w:val="24"/>
          <w:szCs w:val="24"/>
          <w:lang w:eastAsia="zh-CN"/>
        </w:rPr>
        <w:t>超出法定质疑期的、重复提出的、分次提出的或内容、形式不符合《政府采购质疑和投诉办法》的，采购人和采购代理机构可以拒收，质疑供应商将依法承担不利后果。</w:t>
      </w:r>
    </w:p>
    <w:p w14:paraId="521415C0">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w:t>
      </w:r>
      <w:r>
        <w:rPr>
          <w:rFonts w:asciiTheme="minorEastAsia" w:hAnsiTheme="minorEastAsia" w:eastAsiaTheme="minorEastAsia" w:cstheme="minorEastAsia"/>
          <w:spacing w:val="0"/>
          <w:kern w:val="0"/>
          <w:position w:val="0"/>
          <w:sz w:val="24"/>
          <w:szCs w:val="24"/>
          <w:lang w:eastAsia="zh-CN"/>
        </w:rPr>
        <w:t>采购人和采购代理机构在收到质疑函后7个工作日内作出答复，并以书面形式通知质疑供应商和其他有关供应商。</w:t>
      </w:r>
    </w:p>
    <w:p w14:paraId="769C6904">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八、相关注意事项</w:t>
      </w:r>
    </w:p>
    <w:p w14:paraId="434327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1.开标及询标时，投标人法定代表人（负责人）或授权代表务必携带有效的身份证明，否则产生的不利后果由投标人自行承担。</w:t>
      </w:r>
    </w:p>
    <w:p w14:paraId="47D2901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4E087C0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3.3开标、评标期间，投标人不得向评委询问评标情况，不得进行旨在影响评标结果的活动。</w:t>
      </w:r>
    </w:p>
    <w:p w14:paraId="7EB2F0E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4.为了保证评标的公正性，除询标外，评委不得与投标人交换意见。无论评标工作结束与否，参与评标的任何人均不得私下向外透露评标中的任何情况。</w:t>
      </w:r>
    </w:p>
    <w:p w14:paraId="2FFB479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5.投标人应本着公平竞争的原则参与投标，不得用任何方式对其它投标人恶意攻击。</w:t>
      </w:r>
    </w:p>
    <w:p w14:paraId="060DAA9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6.投标人如有违反上述要求或违反国家法律、法规的行为，无论评标结果如何，其投标资格将被取消。</w:t>
      </w:r>
    </w:p>
    <w:p w14:paraId="18BDD0EE">
      <w:pPr>
        <w:pStyle w:val="12"/>
        <w:rPr>
          <w:rFonts w:asciiTheme="minorEastAsia" w:hAnsiTheme="minorEastAsia" w:eastAsiaTheme="minorEastAsia" w:cstheme="minorEastAsia"/>
          <w:b/>
          <w:bCs/>
          <w:spacing w:val="0"/>
          <w:kern w:val="0"/>
          <w:position w:val="0"/>
          <w:sz w:val="32"/>
          <w:szCs w:val="32"/>
          <w:lang w:eastAsia="zh-CN"/>
        </w:rPr>
      </w:pPr>
    </w:p>
    <w:p w14:paraId="2AE2B333">
      <w:pPr>
        <w:pStyle w:val="12"/>
        <w:rPr>
          <w:rFonts w:asciiTheme="minorEastAsia" w:hAnsiTheme="minorEastAsia" w:eastAsiaTheme="minorEastAsia" w:cstheme="minorEastAsia"/>
          <w:b/>
          <w:bCs/>
          <w:spacing w:val="0"/>
          <w:kern w:val="0"/>
          <w:position w:val="0"/>
          <w:sz w:val="32"/>
          <w:szCs w:val="32"/>
          <w:lang w:eastAsia="zh-CN"/>
        </w:rPr>
      </w:pPr>
    </w:p>
    <w:p w14:paraId="3274D553">
      <w:pPr>
        <w:pStyle w:val="12"/>
        <w:rPr>
          <w:rFonts w:asciiTheme="minorEastAsia" w:hAnsiTheme="minorEastAsia" w:eastAsiaTheme="minorEastAsia" w:cstheme="minorEastAsia"/>
          <w:b/>
          <w:bCs/>
          <w:spacing w:val="0"/>
          <w:kern w:val="0"/>
          <w:position w:val="0"/>
          <w:sz w:val="32"/>
          <w:szCs w:val="32"/>
          <w:lang w:eastAsia="zh-CN"/>
        </w:rPr>
      </w:pPr>
    </w:p>
    <w:p w14:paraId="2FD3FBE8">
      <w:pPr>
        <w:pStyle w:val="12"/>
        <w:rPr>
          <w:rFonts w:asciiTheme="minorEastAsia" w:hAnsiTheme="minorEastAsia" w:eastAsiaTheme="minorEastAsia" w:cstheme="minorEastAsia"/>
          <w:b/>
          <w:bCs/>
          <w:spacing w:val="0"/>
          <w:kern w:val="0"/>
          <w:position w:val="0"/>
          <w:sz w:val="32"/>
          <w:szCs w:val="32"/>
          <w:lang w:eastAsia="zh-CN"/>
        </w:rPr>
      </w:pPr>
    </w:p>
    <w:p w14:paraId="761F3DCB">
      <w:pPr>
        <w:pStyle w:val="12"/>
        <w:rPr>
          <w:rFonts w:asciiTheme="minorEastAsia" w:hAnsiTheme="minorEastAsia" w:eastAsiaTheme="minorEastAsia" w:cstheme="minorEastAsia"/>
          <w:b/>
          <w:bCs/>
          <w:spacing w:val="0"/>
          <w:kern w:val="0"/>
          <w:position w:val="0"/>
          <w:sz w:val="32"/>
          <w:szCs w:val="32"/>
          <w:lang w:eastAsia="zh-CN"/>
        </w:rPr>
      </w:pPr>
    </w:p>
    <w:p w14:paraId="1124EF32">
      <w:pPr>
        <w:pStyle w:val="12"/>
        <w:rPr>
          <w:rFonts w:asciiTheme="minorEastAsia" w:hAnsiTheme="minorEastAsia" w:eastAsiaTheme="minorEastAsia" w:cstheme="minorEastAsia"/>
          <w:b/>
          <w:bCs/>
          <w:spacing w:val="0"/>
          <w:kern w:val="0"/>
          <w:position w:val="0"/>
          <w:sz w:val="32"/>
          <w:szCs w:val="32"/>
          <w:lang w:eastAsia="zh-CN"/>
        </w:rPr>
      </w:pPr>
    </w:p>
    <w:p w14:paraId="610234C3">
      <w:pPr>
        <w:pStyle w:val="12"/>
        <w:rPr>
          <w:rFonts w:asciiTheme="minorEastAsia" w:hAnsiTheme="minorEastAsia" w:eastAsiaTheme="minorEastAsia" w:cstheme="minorEastAsia"/>
          <w:b/>
          <w:bCs/>
          <w:spacing w:val="0"/>
          <w:kern w:val="0"/>
          <w:position w:val="0"/>
          <w:sz w:val="32"/>
          <w:szCs w:val="32"/>
          <w:lang w:eastAsia="zh-CN"/>
        </w:rPr>
      </w:pPr>
    </w:p>
    <w:p w14:paraId="3993006B">
      <w:pPr>
        <w:pStyle w:val="12"/>
        <w:rPr>
          <w:rFonts w:asciiTheme="minorEastAsia" w:hAnsiTheme="minorEastAsia" w:eastAsiaTheme="minorEastAsia" w:cstheme="minorEastAsia"/>
          <w:b/>
          <w:bCs/>
          <w:spacing w:val="0"/>
          <w:kern w:val="0"/>
          <w:position w:val="0"/>
          <w:sz w:val="32"/>
          <w:szCs w:val="32"/>
          <w:lang w:eastAsia="zh-CN"/>
        </w:rPr>
      </w:pPr>
    </w:p>
    <w:p w14:paraId="70451A9C">
      <w:pPr>
        <w:pStyle w:val="12"/>
        <w:rPr>
          <w:rFonts w:asciiTheme="minorEastAsia" w:hAnsiTheme="minorEastAsia" w:eastAsiaTheme="minorEastAsia" w:cstheme="minorEastAsia"/>
          <w:b/>
          <w:bCs/>
          <w:spacing w:val="0"/>
          <w:kern w:val="0"/>
          <w:position w:val="0"/>
          <w:sz w:val="32"/>
          <w:szCs w:val="32"/>
          <w:lang w:eastAsia="zh-CN"/>
        </w:rPr>
      </w:pPr>
    </w:p>
    <w:p w14:paraId="02A65F78">
      <w:pPr>
        <w:pStyle w:val="12"/>
        <w:rPr>
          <w:rFonts w:asciiTheme="minorEastAsia" w:hAnsiTheme="minorEastAsia" w:eastAsiaTheme="minorEastAsia" w:cstheme="minorEastAsia"/>
          <w:b/>
          <w:bCs/>
          <w:spacing w:val="0"/>
          <w:kern w:val="0"/>
          <w:position w:val="0"/>
          <w:sz w:val="32"/>
          <w:szCs w:val="32"/>
          <w:lang w:eastAsia="zh-CN"/>
        </w:rPr>
      </w:pPr>
    </w:p>
    <w:p w14:paraId="036BBFE4">
      <w:pPr>
        <w:pStyle w:val="12"/>
        <w:rPr>
          <w:rFonts w:asciiTheme="minorEastAsia" w:hAnsiTheme="minorEastAsia" w:eastAsiaTheme="minorEastAsia" w:cstheme="minorEastAsia"/>
          <w:b/>
          <w:bCs/>
          <w:spacing w:val="0"/>
          <w:kern w:val="0"/>
          <w:position w:val="0"/>
          <w:sz w:val="32"/>
          <w:szCs w:val="32"/>
          <w:lang w:eastAsia="zh-CN"/>
        </w:rPr>
      </w:pPr>
    </w:p>
    <w:p w14:paraId="306A142B">
      <w:pPr>
        <w:rPr>
          <w:rFonts w:hint="eastAsia" w:asciiTheme="minorEastAsia" w:hAnsiTheme="minorEastAsia" w:eastAsiaTheme="minorEastAsia" w:cstheme="minorEastAsia"/>
          <w:b/>
          <w:bCs/>
          <w:spacing w:val="0"/>
          <w:kern w:val="0"/>
          <w:position w:val="0"/>
          <w:sz w:val="32"/>
          <w:szCs w:val="32"/>
          <w:lang w:eastAsia="zh-CN"/>
        </w:rPr>
      </w:pPr>
      <w:r>
        <w:rPr>
          <w:rFonts w:hint="eastAsia" w:asciiTheme="minorEastAsia" w:hAnsiTheme="minorEastAsia" w:eastAsiaTheme="minorEastAsia" w:cstheme="minorEastAsia"/>
          <w:b/>
          <w:bCs/>
          <w:spacing w:val="0"/>
          <w:kern w:val="0"/>
          <w:position w:val="0"/>
          <w:sz w:val="32"/>
          <w:szCs w:val="32"/>
          <w:lang w:eastAsia="zh-CN"/>
        </w:rPr>
        <w:br w:type="page"/>
      </w:r>
    </w:p>
    <w:p w14:paraId="3D894576">
      <w:pPr>
        <w:kinsoku/>
        <w:wordWrap w:val="0"/>
        <w:spacing w:line="360" w:lineRule="auto"/>
        <w:jc w:val="center"/>
        <w:rPr>
          <w:rFonts w:asciiTheme="minorEastAsia" w:hAnsiTheme="minorEastAsia" w:eastAsiaTheme="minorEastAsia" w:cstheme="minorEastAsia"/>
          <w:spacing w:val="0"/>
          <w:kern w:val="0"/>
          <w:position w:val="0"/>
          <w:sz w:val="32"/>
          <w:szCs w:val="32"/>
          <w:lang w:eastAsia="zh-CN"/>
        </w:rPr>
      </w:pPr>
      <w:r>
        <w:rPr>
          <w:rFonts w:hint="eastAsia" w:asciiTheme="minorEastAsia" w:hAnsiTheme="minorEastAsia" w:eastAsiaTheme="minorEastAsia" w:cstheme="minorEastAsia"/>
          <w:b/>
          <w:bCs/>
          <w:spacing w:val="0"/>
          <w:kern w:val="0"/>
          <w:position w:val="0"/>
          <w:sz w:val="32"/>
          <w:szCs w:val="32"/>
          <w:lang w:eastAsia="zh-CN"/>
        </w:rPr>
        <w:t>河南省政府采购合同融资政策告知函</w:t>
      </w:r>
    </w:p>
    <w:p w14:paraId="17347AB7">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4615F6D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各供应商：</w:t>
      </w:r>
    </w:p>
    <w:p w14:paraId="21C2597F">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欢迎贵公司参与河南省政府采购活动!</w:t>
      </w:r>
    </w:p>
    <w:p w14:paraId="7F97096D">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C6BD346">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贷款渠道和提供贷款的金融机构，可在河南省政府采购网“河南省政府采购合同融资平台”查询联系。</w:t>
      </w:r>
    </w:p>
    <w:p w14:paraId="5E9031E5">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为更大力度激发市场活力和社会创造力，增强发展动力，进一步加强政府采购合同线上融资一站式服务（简称“政采贷”），有需求的供应商，可按上述通知要求办理政采贷。</w:t>
      </w:r>
    </w:p>
    <w:p w14:paraId="0DA720FD">
      <w:pPr>
        <w:pStyle w:val="24"/>
        <w:wordWrap w:val="0"/>
        <w:jc w:val="both"/>
        <w:rPr>
          <w:spacing w:val="0"/>
          <w:kern w:val="0"/>
          <w:position w:val="0"/>
        </w:rPr>
        <w:sectPr>
          <w:type w:val="continuous"/>
          <w:pgSz w:w="11907" w:h="16840"/>
          <w:pgMar w:top="1440" w:right="1800" w:bottom="1440" w:left="1800" w:header="878" w:footer="886" w:gutter="0"/>
          <w:pgNumType w:start="1"/>
          <w:cols w:space="720" w:num="1"/>
        </w:sectPr>
      </w:pPr>
    </w:p>
    <w:p w14:paraId="120C6101">
      <w:pPr>
        <w:pStyle w:val="2"/>
        <w:bidi w:val="0"/>
        <w:spacing w:line="360" w:lineRule="auto"/>
        <w:jc w:val="center"/>
        <w:rPr>
          <w:rFonts w:hint="eastAsia" w:ascii="宋体" w:hAnsi="宋体" w:eastAsia="宋体" w:cs="Times New Roman"/>
          <w:spacing w:val="0"/>
          <w:kern w:val="0"/>
          <w:position w:val="0"/>
          <w:lang w:eastAsia="zh-CN"/>
        </w:rPr>
      </w:pPr>
      <w:bookmarkStart w:id="5" w:name="_Toc2285"/>
      <w:r>
        <w:rPr>
          <w:rFonts w:hint="eastAsia" w:ascii="宋体" w:hAnsi="宋体" w:eastAsia="宋体" w:cs="Times New Roman"/>
          <w:spacing w:val="0"/>
          <w:kern w:val="0"/>
          <w:position w:val="0"/>
          <w:lang w:eastAsia="zh-CN"/>
        </w:rPr>
        <w:t>第五章 政府采购合同（草案）</w:t>
      </w:r>
      <w:bookmarkEnd w:id="5"/>
    </w:p>
    <w:p w14:paraId="4F46EA2E">
      <w:pPr>
        <w:pStyle w:val="24"/>
        <w:jc w:val="both"/>
        <w:rPr>
          <w:spacing w:val="0"/>
          <w:kern w:val="0"/>
          <w:position w:val="0"/>
        </w:rPr>
      </w:pPr>
    </w:p>
    <w:p w14:paraId="7517EA7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根据《中华人民共和国民法典》及相关法律规定，甲乙双方在平等、自愿、公平、协商一致的基础上，就甲方委托乙方</w:t>
      </w:r>
      <w:r>
        <w:rPr>
          <w:rFonts w:hint="eastAsia" w:ascii="宋体" w:hAnsi="宋体" w:eastAsia="宋体" w:cs="宋体"/>
          <w:spacing w:val="0"/>
          <w:position w:val="0"/>
          <w:sz w:val="24"/>
          <w:szCs w:val="24"/>
          <w:lang w:val="en-US" w:eastAsia="zh-CN"/>
        </w:rPr>
        <w:t>实施</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none"/>
          <w:lang w:val="en-US" w:eastAsia="zh-CN"/>
        </w:rPr>
        <w:t>项目</w:t>
      </w:r>
      <w:r>
        <w:rPr>
          <w:rFonts w:hint="eastAsia" w:ascii="宋体" w:hAnsi="宋体" w:eastAsia="宋体" w:cs="宋体"/>
          <w:spacing w:val="0"/>
          <w:position w:val="0"/>
          <w:sz w:val="24"/>
          <w:szCs w:val="24"/>
        </w:rPr>
        <w:t>的有关事宜协议如下：</w:t>
      </w:r>
    </w:p>
    <w:p w14:paraId="3A108714">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第一条</w:t>
      </w:r>
      <w:r>
        <w:rPr>
          <w:rFonts w:hint="eastAsia" w:ascii="宋体" w:hAnsi="宋体" w:eastAsia="宋体" w:cs="宋体"/>
          <w:spacing w:val="0"/>
          <w:position w:val="0"/>
          <w:sz w:val="24"/>
          <w:szCs w:val="24"/>
        </w:rPr>
        <w:t xml:space="preserve">  </w:t>
      </w:r>
      <w:r>
        <w:rPr>
          <w:rFonts w:hint="eastAsia" w:ascii="宋体" w:hAnsi="宋体" w:eastAsia="宋体" w:cs="宋体"/>
          <w:b/>
          <w:bCs/>
          <w:spacing w:val="0"/>
          <w:position w:val="0"/>
          <w:sz w:val="24"/>
          <w:szCs w:val="24"/>
        </w:rPr>
        <w:t>集成服务内容</w:t>
      </w:r>
    </w:p>
    <w:p w14:paraId="4D4E919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1.甲方委托乙方提供</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(以下简称“本项目”),本项目的整体功能应当符合(如有，招标文件技术部分)本合同附件中约定的各项技术指标和技术参数要求。</w:t>
      </w:r>
    </w:p>
    <w:p w14:paraId="5D899C0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2.乙方提供的</w:t>
      </w:r>
      <w:r>
        <w:rPr>
          <w:rFonts w:hint="eastAsia" w:ascii="宋体" w:hAnsi="宋体" w:eastAsia="宋体" w:cs="宋体"/>
          <w:spacing w:val="0"/>
          <w:position w:val="0"/>
          <w:sz w:val="24"/>
          <w:szCs w:val="24"/>
          <w:lang w:val="en-US" w:eastAsia="zh-CN"/>
        </w:rPr>
        <w:t>设备</w:t>
      </w:r>
      <w:r>
        <w:rPr>
          <w:rFonts w:hint="eastAsia" w:ascii="宋体" w:hAnsi="宋体" w:eastAsia="宋体" w:cs="宋体"/>
          <w:spacing w:val="0"/>
          <w:position w:val="0"/>
          <w:sz w:val="24"/>
          <w:szCs w:val="24"/>
        </w:rPr>
        <w:t>包括如下内容：</w:t>
      </w:r>
    </w:p>
    <w:p w14:paraId="1A6FA44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01BEC37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14DFE9A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1B156B6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具体采购服务内容及提供方式等详见附件。</w:t>
      </w:r>
    </w:p>
    <w:p w14:paraId="7FB8ED0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3.项目实施期限：</w:t>
      </w:r>
      <w:r>
        <w:rPr>
          <w:rFonts w:hint="eastAsia" w:ascii="宋体" w:hAnsi="宋体" w:eastAsia="宋体" w:cs="宋体"/>
          <w:spacing w:val="0"/>
          <w:position w:val="0"/>
          <w:sz w:val="24"/>
          <w:szCs w:val="24"/>
          <w:lang w:val="en-US" w:eastAsia="zh-CN"/>
        </w:rPr>
        <w:t>接</w:t>
      </w:r>
      <w:r>
        <w:rPr>
          <w:rFonts w:hint="eastAsia" w:ascii="宋体" w:hAnsi="宋体" w:eastAsia="宋体" w:cs="宋体"/>
          <w:spacing w:val="0"/>
          <w:position w:val="0"/>
          <w:sz w:val="24"/>
          <w:szCs w:val="24"/>
        </w:rPr>
        <w:t>甲方</w:t>
      </w:r>
      <w:r>
        <w:rPr>
          <w:rFonts w:hint="eastAsia" w:ascii="宋体" w:hAnsi="宋体" w:eastAsia="宋体" w:cs="宋体"/>
          <w:spacing w:val="0"/>
          <w:position w:val="0"/>
          <w:sz w:val="24"/>
          <w:szCs w:val="24"/>
          <w:lang w:val="en-US" w:eastAsia="zh-CN"/>
        </w:rPr>
        <w:t>通知施工进场后乙方</w:t>
      </w:r>
      <w:r>
        <w:rPr>
          <w:rFonts w:hint="eastAsia" w:ascii="宋体" w:hAnsi="宋体" w:eastAsia="宋体" w:cs="宋体"/>
          <w:spacing w:val="0"/>
          <w:position w:val="0"/>
          <w:sz w:val="24"/>
          <w:szCs w:val="24"/>
        </w:rPr>
        <w:t>进场开始</w:t>
      </w:r>
      <w:r>
        <w:rPr>
          <w:rFonts w:hint="eastAsia" w:ascii="宋体" w:hAnsi="宋体" w:eastAsia="宋体" w:cs="宋体"/>
          <w:spacing w:val="0"/>
          <w:position w:val="0"/>
          <w:sz w:val="24"/>
          <w:szCs w:val="24"/>
          <w:u w:val="single" w:color="auto"/>
        </w:rPr>
        <w:t>200日</w:t>
      </w:r>
      <w:r>
        <w:rPr>
          <w:rFonts w:hint="eastAsia" w:ascii="宋体" w:hAnsi="宋体" w:eastAsia="宋体" w:cs="宋体"/>
          <w:spacing w:val="0"/>
          <w:position w:val="0"/>
          <w:sz w:val="24"/>
          <w:szCs w:val="24"/>
        </w:rPr>
        <w:t>历天，完成项目交付。</w:t>
      </w:r>
    </w:p>
    <w:p w14:paraId="269BC40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4.质保期：本项目质保期限为</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年，自本合同生效之日起计算。</w:t>
      </w:r>
    </w:p>
    <w:p w14:paraId="1ED47921">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第二条合同价款及付款方式</w:t>
      </w:r>
    </w:p>
    <w:p w14:paraId="1C5E8F9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w:t>
      </w:r>
      <w:r>
        <w:rPr>
          <w:rFonts w:hint="eastAsia" w:ascii="宋体" w:hAnsi="宋体" w:eastAsia="宋体" w:cs="宋体"/>
          <w:spacing w:val="0"/>
          <w:position w:val="0"/>
          <w:sz w:val="24"/>
          <w:szCs w:val="24"/>
        </w:rPr>
        <w:t xml:space="preserve"> </w:t>
      </w:r>
      <w:r>
        <w:rPr>
          <w:rFonts w:hint="eastAsia" w:ascii="宋体" w:hAnsi="宋体" w:eastAsia="宋体" w:cs="宋体"/>
          <w:b/>
          <w:bCs/>
          <w:spacing w:val="0"/>
          <w:position w:val="0"/>
          <w:sz w:val="24"/>
          <w:szCs w:val="24"/>
        </w:rPr>
        <w:t>一)固定价款总额</w:t>
      </w:r>
    </w:p>
    <w:p w14:paraId="182EFF8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(含税价)人民币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),增值税税款为人民币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6244A2A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其 中 ：</w:t>
      </w:r>
    </w:p>
    <w:p w14:paraId="45860E60">
      <w:pPr>
        <w:keepNext w:val="0"/>
        <w:keepLines w:val="0"/>
        <w:pageBreakBefore w:val="0"/>
        <w:widowControl/>
        <w:numPr>
          <w:ilvl w:val="0"/>
          <w:numId w:val="18"/>
        </w:numPr>
        <w:kinsoku/>
        <w:wordWrap/>
        <w:overflowPunct/>
        <w:topLinePunct/>
        <w:autoSpaceDE w:val="0"/>
        <w:autoSpaceDN w:val="0"/>
        <w:bidi w:val="0"/>
        <w:adjustRightInd/>
        <w:snapToGrid/>
        <w:spacing w:line="580" w:lineRule="exact"/>
        <w:ind w:left="240" w:leftChars="0" w:right="0" w:firstLine="600" w:firstLine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：(含税价)人民币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),适用税率</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w:t>
      </w:r>
    </w:p>
    <w:p w14:paraId="778ED16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,增值税税款为人民币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66FA7639">
      <w:pPr>
        <w:keepNext w:val="0"/>
        <w:keepLines w:val="0"/>
        <w:pageBreakBefore w:val="0"/>
        <w:widowControl/>
        <w:numPr>
          <w:ilvl w:val="0"/>
          <w:numId w:val="18"/>
        </w:numPr>
        <w:kinsoku/>
        <w:wordWrap/>
        <w:overflowPunct/>
        <w:topLinePunct/>
        <w:autoSpaceDE w:val="0"/>
        <w:autoSpaceDN w:val="0"/>
        <w:bidi w:val="0"/>
        <w:adjustRightInd/>
        <w:snapToGrid/>
        <w:spacing w:line="580" w:lineRule="exact"/>
        <w:ind w:left="240" w:leftChars="0" w:right="0" w:firstLine="600" w:firstLine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：(含税价)人民币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),适用税率</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 ,增值税税款为人民币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5E08392A">
      <w:pPr>
        <w:keepNext w:val="0"/>
        <w:keepLines w:val="0"/>
        <w:pageBreakBefore w:val="0"/>
        <w:widowControl/>
        <w:numPr>
          <w:ilvl w:val="0"/>
          <w:numId w:val="18"/>
        </w:numPr>
        <w:kinsoku/>
        <w:wordWrap/>
        <w:overflowPunct/>
        <w:topLinePunct/>
        <w:autoSpaceDE w:val="0"/>
        <w:autoSpaceDN w:val="0"/>
        <w:bidi w:val="0"/>
        <w:adjustRightInd/>
        <w:snapToGrid/>
        <w:spacing w:line="580" w:lineRule="exact"/>
        <w:ind w:left="240" w:leftChars="0" w:right="0" w:firstLine="600" w:firstLine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：(含税价)人民币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),适用税率</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 ,增值税税款为人民币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76F139CE">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w:t>
      </w:r>
    </w:p>
    <w:p w14:paraId="153D5F9F">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(二)付款方式</w:t>
      </w:r>
    </w:p>
    <w:p w14:paraId="612AE4F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本项目采用以下第1种方式支付，以人民币结算：</w:t>
      </w:r>
    </w:p>
    <w:p w14:paraId="2170380A">
      <w:pPr>
        <w:keepNext w:val="0"/>
        <w:keepLines w:val="0"/>
        <w:pageBreakBefore w:val="0"/>
        <w:widowControl/>
        <w:numPr>
          <w:ilvl w:val="0"/>
          <w:numId w:val="19"/>
        </w:numPr>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分期支付。</w:t>
      </w:r>
    </w:p>
    <w:p w14:paraId="72E35FA5">
      <w:pPr>
        <w:keepNext w:val="0"/>
        <w:keepLines w:val="0"/>
        <w:pageBreakBefore w:val="0"/>
        <w:widowControl/>
        <w:numPr>
          <w:ilvl w:val="0"/>
          <w:numId w:val="0"/>
        </w:numPr>
        <w:kinsoku/>
        <w:wordWrap/>
        <w:overflowPunct/>
        <w:topLinePunct/>
        <w:autoSpaceDE w:val="0"/>
        <w:autoSpaceDN w:val="0"/>
        <w:bidi w:val="0"/>
        <w:adjustRightInd/>
        <w:snapToGrid/>
        <w:spacing w:line="580" w:lineRule="exact"/>
        <w:ind w:leftChars="200" w:right="0" w:right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具体支付期限及额度如下：</w:t>
      </w:r>
    </w:p>
    <w:p w14:paraId="479773F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(1)付款：甲方于合同签订后</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个工作日内，</w:t>
      </w:r>
      <w:r>
        <w:rPr>
          <w:rFonts w:hint="eastAsia" w:ascii="宋体" w:hAnsi="宋体" w:eastAsia="宋体" w:cs="宋体"/>
          <w:spacing w:val="0"/>
          <w:position w:val="0"/>
          <w:sz w:val="24"/>
          <w:szCs w:val="24"/>
          <w:lang w:eastAsia="zh-CN"/>
        </w:rPr>
        <w:t>上级资金到位后</w:t>
      </w:r>
      <w:r>
        <w:rPr>
          <w:rFonts w:hint="eastAsia" w:ascii="宋体" w:hAnsi="宋体" w:eastAsia="宋体" w:cs="宋体"/>
          <w:spacing w:val="0"/>
          <w:position w:val="0"/>
          <w:sz w:val="24"/>
          <w:szCs w:val="24"/>
          <w:lang w:val="en-US" w:eastAsia="zh-CN"/>
        </w:rPr>
        <w:t>进行</w:t>
      </w:r>
      <w:r>
        <w:rPr>
          <w:rFonts w:hint="eastAsia" w:ascii="宋体" w:hAnsi="宋体" w:eastAsia="宋体" w:cs="宋体"/>
          <w:spacing w:val="0"/>
          <w:position w:val="0"/>
          <w:sz w:val="24"/>
          <w:szCs w:val="24"/>
          <w:lang w:eastAsia="zh-CN"/>
        </w:rPr>
        <w:t>支付</w:t>
      </w:r>
      <w:r>
        <w:rPr>
          <w:rFonts w:hint="eastAsia" w:ascii="宋体" w:hAnsi="宋体" w:eastAsia="宋体" w:cs="宋体"/>
          <w:spacing w:val="0"/>
          <w:position w:val="0"/>
          <w:sz w:val="24"/>
          <w:szCs w:val="24"/>
        </w:rPr>
        <w:t>合同总价款的</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%,即 (含税价)为人民币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402E7C9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(2)项目竣工验收合格后</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个工作日内，</w:t>
      </w:r>
      <w:r>
        <w:rPr>
          <w:rFonts w:hint="eastAsia" w:ascii="宋体" w:hAnsi="宋体" w:eastAsia="宋体" w:cs="宋体"/>
          <w:spacing w:val="0"/>
          <w:position w:val="0"/>
          <w:sz w:val="24"/>
          <w:szCs w:val="24"/>
          <w:lang w:eastAsia="zh-CN"/>
        </w:rPr>
        <w:t>上级资金到位后</w:t>
      </w:r>
      <w:r>
        <w:rPr>
          <w:rFonts w:hint="eastAsia" w:ascii="宋体" w:hAnsi="宋体" w:eastAsia="宋体" w:cs="宋体"/>
          <w:spacing w:val="0"/>
          <w:position w:val="0"/>
          <w:sz w:val="24"/>
          <w:szCs w:val="24"/>
        </w:rPr>
        <w:t>结清本项目全部款项。即(含税价) 为人民币</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1109F47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2.支付方式</w:t>
      </w:r>
    </w:p>
    <w:p w14:paraId="5A114BC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(1)甲方与乙方之间通</w:t>
      </w:r>
      <w:r>
        <w:rPr>
          <w:rFonts w:hint="eastAsia" w:ascii="宋体" w:hAnsi="宋体" w:eastAsia="宋体" w:cs="宋体"/>
          <w:spacing w:val="0"/>
          <w:position w:val="0"/>
          <w:sz w:val="24"/>
          <w:szCs w:val="24"/>
          <w:u w:val="single" w:color="auto"/>
        </w:rPr>
        <w:t>过  银行转账</w:t>
      </w:r>
      <w:r>
        <w:rPr>
          <w:rFonts w:hint="eastAsia" w:ascii="宋体" w:hAnsi="宋体" w:eastAsia="宋体" w:cs="宋体"/>
          <w:spacing w:val="0"/>
          <w:position w:val="0"/>
          <w:sz w:val="24"/>
          <w:szCs w:val="24"/>
        </w:rPr>
        <w:t>方式进行结算。</w:t>
      </w:r>
    </w:p>
    <w:p w14:paraId="4CC34A0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(2)银行信息：</w:t>
      </w:r>
    </w:p>
    <w:p w14:paraId="5CCA6C3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u w:val="single"/>
          <w:lang w:val="en-US" w:eastAsia="zh-CN"/>
        </w:rPr>
      </w:pPr>
      <w:r>
        <w:rPr>
          <w:rFonts w:hint="eastAsia" w:ascii="宋体" w:hAnsi="宋体" w:eastAsia="宋体" w:cs="宋体"/>
          <w:spacing w:val="0"/>
          <w:position w:val="0"/>
          <w:sz w:val="24"/>
          <w:szCs w:val="24"/>
        </w:rPr>
        <w:t>合同甲方：</w:t>
      </w:r>
      <w:r>
        <w:rPr>
          <w:rFonts w:hint="eastAsia" w:ascii="宋体" w:hAnsi="宋体" w:eastAsia="宋体" w:cs="宋体"/>
          <w:spacing w:val="0"/>
          <w:position w:val="0"/>
          <w:sz w:val="24"/>
          <w:szCs w:val="24"/>
          <w:u w:val="single"/>
          <w:lang w:val="en-US" w:eastAsia="zh-CN"/>
        </w:rPr>
        <w:t xml:space="preserve">                  </w:t>
      </w:r>
    </w:p>
    <w:p w14:paraId="089F2F5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开 户 名 称 ： </w:t>
      </w:r>
      <w:r>
        <w:rPr>
          <w:rFonts w:hint="eastAsia" w:ascii="宋体" w:hAnsi="宋体" w:eastAsia="宋体" w:cs="宋体"/>
          <w:spacing w:val="0"/>
          <w:position w:val="0"/>
          <w:sz w:val="24"/>
          <w:szCs w:val="24"/>
          <w:u w:val="single" w:color="auto"/>
        </w:rPr>
        <w:t xml:space="preserve">        /            </w:t>
      </w:r>
    </w:p>
    <w:p w14:paraId="3366B19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开 户 行 ： </w:t>
      </w:r>
      <w:r>
        <w:rPr>
          <w:rFonts w:hint="eastAsia" w:ascii="宋体" w:hAnsi="宋体" w:eastAsia="宋体" w:cs="宋体"/>
          <w:spacing w:val="0"/>
          <w:position w:val="0"/>
          <w:sz w:val="24"/>
          <w:szCs w:val="24"/>
          <w:u w:val="single" w:color="auto"/>
        </w:rPr>
        <w:t xml:space="preserve">       /          </w:t>
      </w:r>
    </w:p>
    <w:p w14:paraId="5727B3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帐    号： </w:t>
      </w:r>
      <w:r>
        <w:rPr>
          <w:rFonts w:hint="eastAsia" w:ascii="宋体" w:hAnsi="宋体" w:eastAsia="宋体" w:cs="宋体"/>
          <w:spacing w:val="0"/>
          <w:position w:val="0"/>
          <w:sz w:val="24"/>
          <w:szCs w:val="24"/>
          <w:u w:val="single" w:color="auto"/>
        </w:rPr>
        <w:t xml:space="preserve">                        </w:t>
      </w:r>
    </w:p>
    <w:p w14:paraId="32DB2D4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none" w:color="auto"/>
        </w:rPr>
        <w:t>合同乙方：</w:t>
      </w:r>
      <w:r>
        <w:rPr>
          <w:rFonts w:hint="eastAsia" w:ascii="宋体" w:hAnsi="宋体" w:eastAsia="宋体" w:cs="宋体"/>
          <w:spacing w:val="0"/>
          <w:position w:val="0"/>
          <w:sz w:val="24"/>
          <w:szCs w:val="24"/>
          <w:u w:val="single"/>
          <w:lang w:val="en-US" w:eastAsia="zh-CN"/>
        </w:rPr>
        <w:t xml:space="preserve">                  </w:t>
      </w:r>
    </w:p>
    <w:p w14:paraId="186ABE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开户名称：</w:t>
      </w:r>
      <w:r>
        <w:rPr>
          <w:rFonts w:hint="eastAsia" w:ascii="宋体" w:hAnsi="宋体" w:eastAsia="宋体" w:cs="宋体"/>
          <w:spacing w:val="0"/>
          <w:position w:val="0"/>
          <w:sz w:val="24"/>
          <w:szCs w:val="24"/>
          <w:u w:val="single"/>
          <w:lang w:val="en-US" w:eastAsia="zh-CN"/>
        </w:rPr>
        <w:t xml:space="preserve">                  </w:t>
      </w:r>
    </w:p>
    <w:p w14:paraId="2608A2D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 户 行</w:t>
      </w:r>
      <w:r>
        <w:rPr>
          <w:rFonts w:hint="eastAsia" w:ascii="宋体" w:hAnsi="宋体" w:eastAsia="宋体" w:cs="宋体"/>
          <w:spacing w:val="0"/>
          <w:position w:val="0"/>
          <w:sz w:val="24"/>
          <w:szCs w:val="24"/>
          <w:u w:val="none" w:color="auto"/>
        </w:rPr>
        <w:t xml:space="preserve"> ：</w:t>
      </w:r>
      <w:r>
        <w:rPr>
          <w:rFonts w:hint="eastAsia" w:ascii="宋体" w:hAnsi="宋体" w:eastAsia="宋体" w:cs="宋体"/>
          <w:spacing w:val="0"/>
          <w:position w:val="0"/>
          <w:sz w:val="24"/>
          <w:szCs w:val="24"/>
          <w:u w:val="single"/>
          <w:lang w:val="en-US" w:eastAsia="zh-CN"/>
        </w:rPr>
        <w:t xml:space="preserve">                  </w:t>
      </w:r>
    </w:p>
    <w:p w14:paraId="08923A48">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帐    号</w:t>
      </w:r>
      <w:r>
        <w:rPr>
          <w:rFonts w:hint="eastAsia" w:ascii="宋体" w:hAnsi="宋体" w:eastAsia="宋体" w:cs="宋体"/>
          <w:spacing w:val="0"/>
          <w:position w:val="0"/>
          <w:sz w:val="24"/>
          <w:szCs w:val="24"/>
          <w:u w:val="none" w:color="auto"/>
        </w:rPr>
        <w:t xml:space="preserve"> ：</w:t>
      </w:r>
      <w:r>
        <w:rPr>
          <w:rFonts w:hint="eastAsia" w:ascii="宋体" w:hAnsi="宋体" w:eastAsia="宋体" w:cs="宋体"/>
          <w:spacing w:val="0"/>
          <w:position w:val="0"/>
          <w:sz w:val="24"/>
          <w:szCs w:val="24"/>
          <w:u w:val="single"/>
          <w:lang w:val="en-US" w:eastAsia="zh-CN"/>
        </w:rPr>
        <w:t xml:space="preserve">                  </w:t>
      </w:r>
    </w:p>
    <w:p w14:paraId="1203CFAF">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(三)发票种类</w:t>
      </w:r>
    </w:p>
    <w:p w14:paraId="79F4D83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1.乙方提供发票种类如下：</w:t>
      </w:r>
    </w:p>
    <w:p w14:paraId="75026690">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【/】增值税专用发票；   【 √】增值税普通发票；    【/】服务业发票；【/】 税局代开发票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 xml:space="preserve">【   /】其他发票： </w:t>
      </w:r>
      <w:r>
        <w:rPr>
          <w:rFonts w:hint="eastAsia" w:ascii="宋体" w:hAnsi="宋体" w:eastAsia="宋体" w:cs="宋体"/>
          <w:spacing w:val="0"/>
          <w:position w:val="0"/>
          <w:sz w:val="24"/>
          <w:szCs w:val="24"/>
          <w:u w:val="single" w:color="auto"/>
        </w:rPr>
        <w:t xml:space="preserve">  /               </w:t>
      </w:r>
    </w:p>
    <w:p w14:paraId="5C1C5FB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2.本项目提供的发票应按照本合同约定内容，乙方根据服务的不同区别开具。</w:t>
      </w:r>
    </w:p>
    <w:p w14:paraId="52646C20">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第三条项目实施管理</w:t>
      </w:r>
    </w:p>
    <w:p w14:paraId="2384AF3F">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(一)项目团队组建</w:t>
      </w:r>
    </w:p>
    <w:p w14:paraId="13DDF3E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甲乙双方应当指定人员分别组成项目团队，负责项目实施。</w:t>
      </w:r>
    </w:p>
    <w:p w14:paraId="5F7B5413">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(二)项目信息与资料提供</w:t>
      </w:r>
    </w:p>
    <w:p w14:paraId="5104A08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1.乙方有权向甲方有关职能人员调查、了解现有的相关信息和资料，包括而不限于与项目有关的</w:t>
      </w:r>
      <w:r>
        <w:rPr>
          <w:rFonts w:hint="eastAsia" w:ascii="宋体" w:hAnsi="宋体" w:eastAsia="宋体" w:cs="宋体"/>
          <w:spacing w:val="0"/>
          <w:position w:val="0"/>
          <w:sz w:val="24"/>
          <w:szCs w:val="24"/>
          <w:lang w:val="en-US" w:eastAsia="zh-CN"/>
        </w:rPr>
        <w:t>设计材料</w:t>
      </w:r>
      <w:r>
        <w:rPr>
          <w:rFonts w:hint="eastAsia" w:ascii="宋体" w:hAnsi="宋体" w:eastAsia="宋体" w:cs="宋体"/>
          <w:spacing w:val="0"/>
          <w:position w:val="0"/>
          <w:sz w:val="24"/>
          <w:szCs w:val="24"/>
        </w:rPr>
        <w:t>、背景资料等，甲方应当予以配合。</w:t>
      </w:r>
    </w:p>
    <w:p w14:paraId="398DCC48">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2.乙方认为甲方提供的信息和资料不符合本项目要求的，有权要求甲方补齐、 补正。甲方未按照约定补齐、补正，也未作出合理解释的，相应产生的工程质量、工期延误等法律责任由甲方自行承担。</w:t>
      </w:r>
    </w:p>
    <w:p w14:paraId="78480FA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napToGrid w:val="0"/>
          <w:color w:val="000000"/>
          <w:spacing w:val="0"/>
          <w:position w:val="0"/>
          <w:sz w:val="24"/>
          <w:szCs w:val="24"/>
          <w:lang w:val="en-US" w:eastAsia="en-US" w:bidi="ar-SA"/>
        </w:rPr>
      </w:pPr>
      <w:r>
        <w:rPr>
          <w:rFonts w:hint="eastAsia" w:ascii="宋体" w:hAnsi="宋体" w:eastAsia="宋体" w:cs="宋体"/>
          <w:snapToGrid w:val="0"/>
          <w:color w:val="000000"/>
          <w:spacing w:val="0"/>
          <w:position w:val="0"/>
          <w:sz w:val="24"/>
          <w:szCs w:val="24"/>
          <w:lang w:val="en-US" w:eastAsia="zh-CN" w:bidi="ar-SA"/>
        </w:rPr>
        <w:t>3.</w:t>
      </w:r>
      <w:r>
        <w:rPr>
          <w:rFonts w:hint="eastAsia" w:ascii="宋体" w:hAnsi="宋体" w:eastAsia="宋体" w:cs="宋体"/>
          <w:snapToGrid w:val="0"/>
          <w:color w:val="000000"/>
          <w:spacing w:val="0"/>
          <w:position w:val="0"/>
          <w:sz w:val="24"/>
          <w:szCs w:val="24"/>
          <w:lang w:val="en-US" w:eastAsia="en-US" w:bidi="ar-SA"/>
        </w:rPr>
        <w:t>中标后在合同签订前，</w:t>
      </w:r>
      <w:r>
        <w:rPr>
          <w:rFonts w:hint="eastAsia" w:ascii="宋体" w:hAnsi="宋体" w:eastAsia="宋体" w:cs="宋体"/>
          <w:snapToGrid w:val="0"/>
          <w:color w:val="000000"/>
          <w:spacing w:val="0"/>
          <w:position w:val="0"/>
          <w:sz w:val="24"/>
          <w:szCs w:val="24"/>
          <w:lang w:val="en-US" w:eastAsia="zh-CN" w:bidi="ar-SA"/>
        </w:rPr>
        <w:t>乙方</w:t>
      </w:r>
      <w:r>
        <w:rPr>
          <w:rFonts w:hint="eastAsia" w:ascii="宋体" w:hAnsi="宋体" w:eastAsia="宋体" w:cs="宋体"/>
          <w:snapToGrid w:val="0"/>
          <w:color w:val="000000"/>
          <w:spacing w:val="0"/>
          <w:position w:val="0"/>
          <w:sz w:val="24"/>
          <w:szCs w:val="24"/>
          <w:lang w:val="en-US" w:eastAsia="en-US" w:bidi="ar-SA"/>
        </w:rPr>
        <w:t>提交所投下一代防火墙(含 IPS/AV 功能)产品能与省中心现有防火墙 VPN通道搭建无缝对接的证明材料，若不能实现无缝对接，将视为虚假投标，</w:t>
      </w:r>
      <w:r>
        <w:rPr>
          <w:rFonts w:hint="eastAsia" w:ascii="宋体" w:hAnsi="宋体" w:eastAsia="宋体" w:cs="宋体"/>
          <w:snapToGrid w:val="0"/>
          <w:color w:val="000000"/>
          <w:spacing w:val="0"/>
          <w:position w:val="0"/>
          <w:sz w:val="24"/>
          <w:szCs w:val="24"/>
          <w:lang w:val="en-US" w:eastAsia="zh-CN" w:bidi="ar-SA"/>
        </w:rPr>
        <w:t>甲方</w:t>
      </w:r>
      <w:r>
        <w:rPr>
          <w:rFonts w:hint="eastAsia" w:ascii="宋体" w:hAnsi="宋体" w:eastAsia="宋体" w:cs="宋体"/>
          <w:snapToGrid w:val="0"/>
          <w:color w:val="000000"/>
          <w:spacing w:val="0"/>
          <w:position w:val="0"/>
          <w:sz w:val="24"/>
          <w:szCs w:val="24"/>
          <w:lang w:val="en-US" w:eastAsia="en-US" w:bidi="ar-SA"/>
        </w:rPr>
        <w:t>将其违规行为报送相关监管部门取消其中标资格，依法追究相关法律责任。</w:t>
      </w:r>
    </w:p>
    <w:p w14:paraId="2530AD1D">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(三)项目技术文件</w:t>
      </w:r>
    </w:p>
    <w:p w14:paraId="1877A81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1项目需求分析完成后，乙方应当向甲方提交技术文件(如有)</w:t>
      </w:r>
    </w:p>
    <w:p w14:paraId="4AEFFCD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甲方应当对乙方提交的技术文件进行审核，并在2个工作日内签字确认或提出书面修改意见。根据甲方的书面修改意见，乙方应当及时予以修改并再次提交审核。 甲方无正当理由怠于审核的视为无异议，延误的工期相应顺延，造成乙方损失的，甲方应当承担赔偿责任。</w:t>
      </w:r>
    </w:p>
    <w:p w14:paraId="7DA1764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3.技术文件经甲方签字确认后，作为本合同的附件。但甲方对技术文件的确认， 并不代表免除乙方对技术问题所应承担的相应责任。</w:t>
      </w:r>
    </w:p>
    <w:p w14:paraId="35509107">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(四)项目实施及变更</w:t>
      </w:r>
    </w:p>
    <w:p w14:paraId="1F5B1B2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1.因甲方未提供场地、资料等原因，导致乙方无法组织项目实施的，乙方有权要求顺延工期，并请求赔偿停工、窝工损失等。</w:t>
      </w:r>
    </w:p>
    <w:p w14:paraId="3F304FA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2.因乙方原因造成自身或任何第三人人身损害或财产损失的，乙方应该承担损害赔偿责任。</w:t>
      </w:r>
    </w:p>
    <w:p w14:paraId="36A4DED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 因乙方原因致使项目质量不符合约定的，甲方有权请求在合理期限内修理/ 修复。</w:t>
      </w:r>
    </w:p>
    <w:p w14:paraId="03B93E0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4.甲乙双方均有权在本合同履行过程中提出变更、扩展、替换或修改本项目内容的建议，包括但不限于增加或减少系统的相应功能、提高有关技术参数、变更产品交付或系统安装的时间与地点等。</w:t>
      </w:r>
    </w:p>
    <w:p w14:paraId="07C4266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5.本合同履行过程中的重大变更(包括但不限于信息系统性能、项目实施计划、合同价款、交付日期等的更改以及对材料、设备换用等),甲乙双方应当以书面形式予以确定。</w:t>
      </w:r>
    </w:p>
    <w:p w14:paraId="2A19007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项目实施过程中，如甲方需要对项目设计等内容进行变更，应该提前7日通知乙方，并签署《需求变更确认单》;如因甲方提出变更导致合同价款的增减，双方应另行签署补充协议，并顺延合理工期，给乙方带来其他损失的，应由甲方承担。</w:t>
      </w:r>
    </w:p>
    <w:p w14:paraId="5E49682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 如乙方基于甲方利益、社会公共利益或项目安全考虑，可以就变更技术方案、 换用材料设备等提出合理化建议，甲方应该于2日内给出决策意见，紧急情况下，乙方可在未经批准情形下自行组织实施，但是应该于事后2日内报备。</w:t>
      </w:r>
    </w:p>
    <w:p w14:paraId="1134FF95">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第四条项目验收和交付</w:t>
      </w:r>
    </w:p>
    <w:p w14:paraId="15962B18">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(一)项目验收</w:t>
      </w:r>
    </w:p>
    <w:p w14:paraId="53CAF17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1.竣工验收</w:t>
      </w:r>
    </w:p>
    <w:p w14:paraId="4BFC48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①)本项目整体功能符合招标文件的技术部分(如有)以及本合同附件中规定 的各项技术指标和技术参数要求，具备竣工验收条件时，乙方应当书面通知甲方组织竣工验收。</w:t>
      </w:r>
    </w:p>
    <w:p w14:paraId="5DB3B9D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(2)甲方应当自收到竣工验收通知后</w:t>
      </w:r>
      <w:r>
        <w:rPr>
          <w:rFonts w:hint="eastAsia" w:ascii="宋体" w:hAnsi="宋体" w:eastAsia="宋体" w:cs="宋体"/>
          <w:spacing w:val="0"/>
          <w:position w:val="0"/>
          <w:sz w:val="24"/>
          <w:szCs w:val="24"/>
          <w:lang w:val="en-US" w:eastAsia="zh-CN"/>
        </w:rPr>
        <w:t>20</w:t>
      </w:r>
      <w:r>
        <w:rPr>
          <w:rFonts w:hint="eastAsia" w:ascii="宋体" w:hAnsi="宋体" w:eastAsia="宋体" w:cs="宋体"/>
          <w:spacing w:val="0"/>
          <w:position w:val="0"/>
          <w:sz w:val="24"/>
          <w:szCs w:val="24"/>
        </w:rPr>
        <w:t>个工作日内组织竣工验收，并在验收后2 个工作日内出具竣工验收报告或提出整改意见。甲方提出整改意见的，乙方应当及时整改并承担由自身原因造成整改的费用。</w:t>
      </w:r>
    </w:p>
    <w:p w14:paraId="231EC53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(3)验收通过后甲方应向乙方出具《竣工验收报告》,甲方无正当理由未在约 定期限内组织验收或提出书面修改意见的，自期限届满之日起视为本项目竣工验收合格 。</w:t>
      </w:r>
    </w:p>
    <w:p w14:paraId="5E8FD975">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(二)项目交付</w:t>
      </w:r>
    </w:p>
    <w:p w14:paraId="592F3E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1.乙方应当按照本合同及附件约定的内容进行交付，交付内容涉及文档与文件 的应当包括纸质及电子版式并可供阅读。如约定甲方可以使用或拥有某软件源代码的，乙方应当同时交付该软件的源代码。</w:t>
      </w:r>
    </w:p>
    <w:p w14:paraId="76A2A32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2.乙方应当在每项交付</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个工作日前以书面方式通知甲方，甲方应当在接到通知后及时安排交付事宜。</w:t>
      </w:r>
    </w:p>
    <w:p w14:paraId="41BF0A2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3.因甲方原因导致交付不能按时进行的，乙方可相应顺延交付日期。</w:t>
      </w:r>
    </w:p>
    <w:p w14:paraId="4E3437EB">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第五条项目培训</w:t>
      </w:r>
    </w:p>
    <w:p w14:paraId="468CF1A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1.乙方应当根据项目实施计划、进度和系统实际运行的需要，及时培训甲方技术人员。培训目标为甲方技术人员能够熟练掌握</w:t>
      </w:r>
      <w:r>
        <w:rPr>
          <w:rFonts w:hint="eastAsia" w:ascii="宋体" w:hAnsi="宋体" w:eastAsia="宋体" w:cs="宋体"/>
          <w:spacing w:val="0"/>
          <w:position w:val="0"/>
          <w:sz w:val="24"/>
          <w:szCs w:val="24"/>
          <w:lang w:val="en-US" w:eastAsia="zh-CN"/>
        </w:rPr>
        <w:t>设备的</w:t>
      </w:r>
      <w:r>
        <w:rPr>
          <w:rFonts w:hint="eastAsia" w:ascii="宋体" w:hAnsi="宋体" w:eastAsia="宋体" w:cs="宋体"/>
          <w:spacing w:val="0"/>
          <w:position w:val="0"/>
          <w:sz w:val="24"/>
          <w:szCs w:val="24"/>
        </w:rPr>
        <w:t>操作技能和日常的维护技能。</w:t>
      </w:r>
    </w:p>
    <w:p w14:paraId="09A5516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2.乙方培训时应当提供设备、系统操作说明和日常维护说明等技术资料。如未 能达到培训目标的，乙方应当按照甲方的要求提供1次再培训。</w:t>
      </w:r>
    </w:p>
    <w:p w14:paraId="7310DD47">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第六条项目质量保证</w:t>
      </w:r>
    </w:p>
    <w:p w14:paraId="24CF959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1.如设备生产厂商对本项目所应用的部分设备的质保期规定超过上述约定质保期限的，则该部分设备按照生产厂商规定质保期执行。</w:t>
      </w:r>
    </w:p>
    <w:p w14:paraId="3E6C868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2.质保期内，非因甲方原因造成设备或系统的性能和质量与合同规定不符，影响正常使用的，乙方负责解决。</w:t>
      </w:r>
    </w:p>
    <w:p w14:paraId="73943B1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3.质保期内，如由于乙方原因需要对本项目中的部件(包括软件和硬件)予以 更换或升级的，则该部件的质保期应当相应延长。质保期满后甲方需乙方提供额外维修服务的，应当另行签订协议。</w:t>
      </w:r>
    </w:p>
    <w:p w14:paraId="2D7171B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第七条知识产权和保密义务</w:t>
      </w:r>
    </w:p>
    <w:p w14:paraId="0F1B9C81">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(一)知识产权</w:t>
      </w:r>
    </w:p>
    <w:p w14:paraId="019FFA9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 甲乙双方应当对本合同所涉及的各种软件的知识产权进行约定，以保证本项目使用的软件不会侵犯对方或第三方的知识产权。</w:t>
      </w:r>
    </w:p>
    <w:p w14:paraId="6166AC0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对于乙方许可甲方使用的软件，双方应当明确约定甲方拥有的使用权、修改权、升级权的具体内容。甲方应当依约定使用，不得超出约定范围。除本合同另有约定外，甲方不得将被许可使用的软件再许可第三方使用。</w:t>
      </w:r>
    </w:p>
    <w:p w14:paraId="1AC3BC76">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(二)保密义务</w:t>
      </w:r>
    </w:p>
    <w:p w14:paraId="724CE86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1.保密期限为本合同履行期间及本合同终止后</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年。甲乙双方可另行约定保密范围，作为附件。</w:t>
      </w:r>
    </w:p>
    <w:p w14:paraId="3278556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在保密期限内，甲乙双方均有为对方保密的义务。甲乙双方保证，因履行本合同所获得的对方商业秘密，仅用于履行本合同项下的义务，并只为履行本合同的相关人员所知悉。任何一方的相关人员违反保密义务的，由该人员所属一方承担全部 法律责任；但法律另有规定的除外。</w:t>
      </w:r>
    </w:p>
    <w:p w14:paraId="71358B9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3.本合同履行完毕后，甲乙双方均应当按照对方要求，处理所获得的对方有关资料信息或电子文档。</w:t>
      </w:r>
    </w:p>
    <w:p w14:paraId="692A7E44">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第八条违约责任</w:t>
      </w:r>
    </w:p>
    <w:p w14:paraId="698A6D3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本合同生效后，甲乙双方均应当全面履行合同义务。任何一方违约，均应当按照约定承担违约责任，并赔偿对方由此受到的损失。其中：</w:t>
      </w:r>
    </w:p>
    <w:p w14:paraId="16142A4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(一)乙方逾期履约或不履约责任</w:t>
      </w:r>
    </w:p>
    <w:p w14:paraId="2E29BF5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1.乙方无正当理由逾期交付，每逾期一周，乙方应当向甲方支付逾期部分价款</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w:t>
      </w:r>
      <w:r>
        <w:rPr>
          <w:rFonts w:hint="eastAsia" w:ascii="宋体" w:hAnsi="宋体" w:eastAsia="宋体" w:cs="宋体"/>
          <w:spacing w:val="0"/>
          <w:position w:val="0"/>
          <w:sz w:val="24"/>
          <w:szCs w:val="24"/>
        </w:rPr>
        <w:t>的违约金，但违约金总数不得超过合同总价款的</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w:t>
      </w:r>
    </w:p>
    <w:p w14:paraId="1171AEE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2.乙方不履行合同或交付的</w:t>
      </w:r>
      <w:r>
        <w:rPr>
          <w:rFonts w:hint="eastAsia" w:ascii="宋体" w:hAnsi="宋体" w:eastAsia="宋体" w:cs="宋体"/>
          <w:spacing w:val="0"/>
          <w:position w:val="0"/>
          <w:sz w:val="24"/>
          <w:szCs w:val="24"/>
          <w:lang w:val="en-US" w:eastAsia="zh-CN"/>
        </w:rPr>
        <w:t>设备</w:t>
      </w:r>
      <w:r>
        <w:rPr>
          <w:rFonts w:hint="eastAsia" w:ascii="宋体" w:hAnsi="宋体" w:eastAsia="宋体" w:cs="宋体"/>
          <w:spacing w:val="0"/>
          <w:position w:val="0"/>
          <w:sz w:val="24"/>
          <w:szCs w:val="24"/>
        </w:rPr>
        <w:t>存在重大缺陷以致无法实现合同目的的， 甲方有权要求乙方继续履行或解除合同</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乙方承担设备更换给甲方带来的经济损失</w:t>
      </w:r>
      <w:r>
        <w:rPr>
          <w:rFonts w:hint="eastAsia" w:ascii="宋体" w:hAnsi="宋体" w:eastAsia="宋体" w:cs="宋体"/>
          <w:spacing w:val="0"/>
          <w:position w:val="0"/>
          <w:sz w:val="24"/>
          <w:szCs w:val="24"/>
        </w:rPr>
        <w:t>。</w:t>
      </w:r>
    </w:p>
    <w:p w14:paraId="1437A67B">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(二)甲方逾期付款责任</w:t>
      </w:r>
    </w:p>
    <w:p w14:paraId="0A43AEA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1.逾期付款超过</w:t>
      </w:r>
      <w:r>
        <w:rPr>
          <w:rFonts w:hint="eastAsia" w:ascii="宋体" w:hAnsi="宋体" w:eastAsia="宋体" w:cs="宋体"/>
          <w:spacing w:val="0"/>
          <w:position w:val="0"/>
          <w:sz w:val="24"/>
          <w:szCs w:val="24"/>
          <w:lang w:val="en-US" w:eastAsia="zh-CN"/>
        </w:rPr>
        <w:t>180</w:t>
      </w:r>
      <w:r>
        <w:rPr>
          <w:rFonts w:hint="eastAsia" w:ascii="宋体" w:hAnsi="宋体" w:eastAsia="宋体" w:cs="宋体"/>
          <w:spacing w:val="0"/>
          <w:position w:val="0"/>
          <w:sz w:val="24"/>
          <w:szCs w:val="24"/>
        </w:rPr>
        <w:t>日的，视为甲方不履行，乙方有权要求甲方继续履行或解除合同，并</w:t>
      </w:r>
      <w:r>
        <w:rPr>
          <w:rFonts w:hint="eastAsia" w:ascii="宋体" w:hAnsi="宋体" w:eastAsia="宋体" w:cs="宋体"/>
          <w:spacing w:val="0"/>
          <w:position w:val="0"/>
          <w:sz w:val="24"/>
          <w:szCs w:val="24"/>
          <w:lang w:val="en-US" w:eastAsia="zh-CN"/>
        </w:rPr>
        <w:t>要求甲方支付逾期付款利息</w:t>
      </w:r>
      <w:r>
        <w:rPr>
          <w:rFonts w:hint="eastAsia" w:ascii="宋体" w:hAnsi="宋体" w:eastAsia="宋体" w:cs="宋体"/>
          <w:spacing w:val="0"/>
          <w:position w:val="0"/>
          <w:sz w:val="24"/>
          <w:szCs w:val="24"/>
        </w:rPr>
        <w:t>。</w:t>
      </w:r>
    </w:p>
    <w:p w14:paraId="52911EF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逾期利息的利率：合同订立时1年期贷款市场报价利率。逾期利息计算的开始时间：竣工验收证书签发之日。</w:t>
      </w:r>
    </w:p>
    <w:p w14:paraId="0340F13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3.合同签订后，如需解除合同，须经合同双方协商一致。单方面终止合同，终止方应支付合同总金额</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w:t>
      </w:r>
      <w:r>
        <w:rPr>
          <w:rFonts w:hint="eastAsia" w:ascii="宋体" w:hAnsi="宋体" w:eastAsia="宋体" w:cs="宋体"/>
          <w:spacing w:val="0"/>
          <w:position w:val="0"/>
          <w:sz w:val="24"/>
          <w:szCs w:val="24"/>
        </w:rPr>
        <w:t xml:space="preserve"> 的违约金。</w:t>
      </w:r>
    </w:p>
    <w:p w14:paraId="157B6D22">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(三)双方违反知识产权义务责任</w:t>
      </w:r>
    </w:p>
    <w:p w14:paraId="50ECFAE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相应违约金。</w:t>
      </w:r>
    </w:p>
    <w:p w14:paraId="00CEC7D2">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(四)双方违反保密义务责任</w:t>
      </w:r>
    </w:p>
    <w:p w14:paraId="66FAE21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任何一方违反本合同所约定的保密义务，违约方应当支付相应违约金。</w:t>
      </w:r>
    </w:p>
    <w:p w14:paraId="55E7133E">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第九条合同的解除和终止</w:t>
      </w:r>
    </w:p>
    <w:p w14:paraId="3E07B36C">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1.本合同生效后，除法律法规和本合同另有规定外，任何一方不得随意单方变更或解除合同，否则应当承担违约责任。</w:t>
      </w:r>
    </w:p>
    <w:p w14:paraId="6F4CF14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甲乙双方各自履行完毕本合同的全部义务后，本合同终止。</w:t>
      </w:r>
    </w:p>
    <w:p w14:paraId="3F5219E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第十条通知与送达</w:t>
      </w:r>
    </w:p>
    <w:p w14:paraId="491C56A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1.合同各方一致确认以下通讯地址和联系方式为各方履行合同、解決合同争议时向接受其他方商业文件信函或司法机关文书的送达地址和联系方式。</w:t>
      </w:r>
    </w:p>
    <w:p w14:paraId="4D1A174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2.合同各方均承诺：上述确认的通讯地址和联系方式真实有效，如有错误，导 致的商业信函和诉讼文书送达不能的法律后果由己方承担。</w:t>
      </w:r>
    </w:p>
    <w:p w14:paraId="653A967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3.本合同项下任何一方向对方发出的通知、信件、数据电文等，应当发送至本合同下列约定的地址、联系人和联系方式。 一方当事人变更名称、地址、联系人或 联系方式的，应当在变更后五日内及时书面通知对方当事人，对方当事人实际收到 变更通知前的送达仍为有效送达，电子送达与书面送达具有同等法律效力。</w:t>
      </w:r>
    </w:p>
    <w:p w14:paraId="7B8124E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合同各方均明知：因载明的地址有误、或未及时告知变更后的地址、或者当事人和指定接收人拒绝接收等原因，导致相关文书及诉讼文书未能实际被接收的、邮寄送达的，以文书退回之日即视为送达之日。一方当事人向对方所发出的书面函件，应以挂号信或特快专递的方式邮寄，函件签收的，以函件签收为送达，函件未签收的，以邮件寄出(以邮戳为准)后的第二日视为送达；发出的短信/传真/微信/ 电子邮件，自前述电子文件内容在发送方正确填写地址且未被系统退回的情况下，视为进入对方数据电文接收系统，即视为送达；被系统退回且非发件方原因的，则以前述电子文件退回之日视为进入对方数据电子接收系统，即视为送达。若送达日为非工作日，则视为在下一工作日送达。</w:t>
      </w:r>
    </w:p>
    <w:p w14:paraId="5CCE7E9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本合同约定的合同各方的联系地址、联系人、联系方式为各方工作联系往来、法律文书及争议解决时人民法院/仲裁机构的法律文书送达地址，人民法院/仲裁机构的诉讼文书(含裁判文书)向任何合同任何一方当事人的上述地址送达的，视为有效送达。当事人对电子通信终端的送达适用于争议解决时的送达。</w:t>
      </w:r>
    </w:p>
    <w:p w14:paraId="7CEFB48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6.通知与送达条款的适用范围包括合同各签约方非诉时各类通知、协议等文件 以及就合同发生纠纷时相关文件和法律文书的送达，同时包括在争议进入仲裁、民事诉讼程序后的一审、二审、再审和执行程序。</w:t>
      </w:r>
    </w:p>
    <w:p w14:paraId="4EA1871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7.本合同中的通知送达、结算、违约责任等解决争议条款为独立条款，即使本 合同变更、撤销、解除、终止或认定无效的，该条款约定依然有效。</w:t>
      </w:r>
    </w:p>
    <w:p w14:paraId="1B0ECB9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甲方地址：</w:t>
      </w:r>
      <w:r>
        <w:rPr>
          <w:rFonts w:hint="eastAsia" w:ascii="宋体" w:hAnsi="宋体" w:eastAsia="宋体" w:cs="宋体"/>
          <w:spacing w:val="0"/>
          <w:position w:val="0"/>
          <w:sz w:val="24"/>
          <w:szCs w:val="24"/>
          <w:u w:val="single"/>
          <w:lang w:val="en-US" w:eastAsia="zh-CN"/>
        </w:rPr>
        <w:t xml:space="preserve">                 </w:t>
      </w:r>
    </w:p>
    <w:p w14:paraId="403161D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联系人  :  </w:t>
      </w:r>
      <w:r>
        <w:rPr>
          <w:rFonts w:hint="eastAsia" w:ascii="宋体" w:hAnsi="宋体" w:eastAsia="宋体" w:cs="宋体"/>
          <w:spacing w:val="0"/>
          <w:position w:val="0"/>
          <w:sz w:val="24"/>
          <w:szCs w:val="24"/>
          <w:u w:val="single" w:color="auto"/>
        </w:rPr>
        <w:t xml:space="preserve">                  </w:t>
      </w:r>
    </w:p>
    <w:p w14:paraId="419B1C0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联系电话：  </w:t>
      </w:r>
      <w:r>
        <w:rPr>
          <w:rFonts w:hint="eastAsia" w:ascii="宋体" w:hAnsi="宋体" w:eastAsia="宋体" w:cs="宋体"/>
          <w:spacing w:val="0"/>
          <w:position w:val="0"/>
          <w:sz w:val="24"/>
          <w:szCs w:val="24"/>
          <w:u w:val="single" w:color="auto"/>
        </w:rPr>
        <w:t xml:space="preserve">                  </w:t>
      </w:r>
    </w:p>
    <w:p w14:paraId="077BFE18">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邮    箱： </w:t>
      </w:r>
      <w:r>
        <w:rPr>
          <w:rFonts w:hint="eastAsia" w:ascii="宋体" w:hAnsi="宋体" w:eastAsia="宋体" w:cs="宋体"/>
          <w:spacing w:val="0"/>
          <w:position w:val="0"/>
          <w:sz w:val="24"/>
          <w:szCs w:val="24"/>
          <w:u w:val="single" w:color="auto"/>
        </w:rPr>
        <w:t xml:space="preserve">                   </w:t>
      </w:r>
    </w:p>
    <w:p w14:paraId="624F85DC">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第十一条不可抗力</w:t>
      </w:r>
    </w:p>
    <w:p w14:paraId="7B26B76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乙方地址</w:t>
      </w:r>
      <w:r>
        <w:rPr>
          <w:rFonts w:hint="eastAsia" w:ascii="宋体" w:hAnsi="宋体" w:eastAsia="宋体" w:cs="宋体"/>
          <w:spacing w:val="0"/>
          <w:position w:val="0"/>
          <w:sz w:val="24"/>
          <w:szCs w:val="24"/>
          <w:u w:val="single" w:color="auto"/>
        </w:rPr>
        <w:t>：</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p>
    <w:p w14:paraId="0F8817D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项目经理 ： </w:t>
      </w:r>
      <w:r>
        <w:rPr>
          <w:rFonts w:hint="eastAsia" w:ascii="宋体" w:hAnsi="宋体" w:eastAsia="宋体" w:cs="宋体"/>
          <w:spacing w:val="0"/>
          <w:position w:val="0"/>
          <w:sz w:val="24"/>
          <w:szCs w:val="24"/>
          <w:u w:val="single" w:color="auto"/>
        </w:rPr>
        <w:t xml:space="preserve">                </w:t>
      </w:r>
    </w:p>
    <w:p w14:paraId="6DC6761C">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联系电话(项目经理): </w:t>
      </w:r>
      <w:r>
        <w:rPr>
          <w:rFonts w:hint="eastAsia" w:ascii="宋体" w:hAnsi="宋体" w:eastAsia="宋体" w:cs="宋体"/>
          <w:spacing w:val="0"/>
          <w:position w:val="0"/>
          <w:sz w:val="24"/>
          <w:szCs w:val="24"/>
          <w:u w:val="single" w:color="auto"/>
        </w:rPr>
        <w:t xml:space="preserve">          </w:t>
      </w:r>
    </w:p>
    <w:p w14:paraId="25B54AF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邮     箱 ： </w:t>
      </w:r>
      <w:r>
        <w:rPr>
          <w:rFonts w:hint="eastAsia" w:ascii="宋体" w:hAnsi="宋体" w:eastAsia="宋体" w:cs="宋体"/>
          <w:spacing w:val="0"/>
          <w:position w:val="0"/>
          <w:sz w:val="24"/>
          <w:szCs w:val="24"/>
          <w:u w:val="single" w:color="auto"/>
        </w:rPr>
        <w:t xml:space="preserve">                      </w:t>
      </w:r>
    </w:p>
    <w:p w14:paraId="5133A16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1.本条所述的“不可抗力”指的是下列不能预见、不能控制的事件，但不包括 乙方的违约或疏忽，这些事件主要包括重大自然灾害(洪水、台风、地震、泥石流等)、政府行为、重大社会非正常事件(比如疫情、战争等)。</w:t>
      </w:r>
    </w:p>
    <w:p w14:paraId="5BDC227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2.一方当事人因不可抗力不能按照约定履行本合同的，根据不可抗力的影响， 可部分或全部免除责任，但是法律另有规定的除外。但应当及时告知对方，以减轻可能给对方造成的损失，并自不可抗力结束之日起15日内向对方当事人提供证明。</w:t>
      </w:r>
    </w:p>
    <w:p w14:paraId="59498F8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3.当事人迟延履行后发生不可抗力的，不免除其违约责任。</w:t>
      </w:r>
    </w:p>
    <w:p w14:paraId="41419EB5">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第十二条争议解决方式</w:t>
      </w:r>
    </w:p>
    <w:p w14:paraId="5A2A59A8">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本合同项下所发生的争议，由双方协商解决，协商不成的，任意一方选择以下 第1种方式解决：</w:t>
      </w:r>
    </w:p>
    <w:p w14:paraId="716EE30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1.向乙方住所地有管辖权的人民法院提起诉讼。</w:t>
      </w:r>
    </w:p>
    <w:p w14:paraId="0C70810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向</w:t>
      </w:r>
      <w:r>
        <w:rPr>
          <w:rFonts w:hint="eastAsia" w:ascii="宋体" w:hAnsi="宋体" w:eastAsia="宋体" w:cs="宋体"/>
          <w:spacing w:val="0"/>
          <w:position w:val="0"/>
          <w:sz w:val="24"/>
          <w:szCs w:val="24"/>
          <w:u w:val="single"/>
          <w:lang w:val="en-US" w:eastAsia="zh-CN"/>
        </w:rPr>
        <w:t>南阳市</w:t>
      </w:r>
      <w:r>
        <w:rPr>
          <w:rFonts w:hint="eastAsia" w:ascii="宋体" w:hAnsi="宋体" w:eastAsia="宋体" w:cs="宋体"/>
          <w:spacing w:val="0"/>
          <w:position w:val="0"/>
          <w:sz w:val="24"/>
          <w:szCs w:val="24"/>
        </w:rPr>
        <w:t>仲裁委员会申请仲裁。</w:t>
      </w:r>
    </w:p>
    <w:p w14:paraId="0C81C1B7">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第十三条其他条款</w:t>
      </w:r>
    </w:p>
    <w:p w14:paraId="72A8A1E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1.本合同自双方签字盖章之日起生效。</w:t>
      </w:r>
    </w:p>
    <w:p w14:paraId="70147AB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2.本合同一式肆份，其中甲方贰份，乙方贰份，具同等法律效力。</w:t>
      </w:r>
    </w:p>
    <w:p w14:paraId="0BCDFA9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3.本项目招标文件(如有招标，包括投标文件、中标通知书)、本合同附件以 及合同履行过程中形成的各种书面文件，经双方签署确认后为本合同的组成部分， 与本合同具有同等法律效力，解释的顺序除有特别说明外，以文件生成时间在后的 为准。</w:t>
      </w:r>
    </w:p>
    <w:p w14:paraId="56CB4CE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4、如遇国家税收政策调整，则按照调整后内容执行。</w:t>
      </w:r>
    </w:p>
    <w:p w14:paraId="5D12831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5、本合同未尽事宜，双方可协商签订补充协议，补充协议与本合同具有同等法律效力 。</w:t>
      </w:r>
    </w:p>
    <w:p w14:paraId="0240CBAF">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p>
    <w:p w14:paraId="0E61317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drawing>
          <wp:anchor distT="0" distB="0" distL="0" distR="0" simplePos="0" relativeHeight="251659264" behindDoc="0" locked="0" layoutInCell="1" allowOverlap="1">
            <wp:simplePos x="0" y="0"/>
            <wp:positionH relativeFrom="column">
              <wp:posOffset>6768465</wp:posOffset>
            </wp:positionH>
            <wp:positionV relativeFrom="paragraph">
              <wp:posOffset>273685</wp:posOffset>
            </wp:positionV>
            <wp:extent cx="602615" cy="952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9"/>
                    <a:stretch>
                      <a:fillRect/>
                    </a:stretch>
                  </pic:blipFill>
                  <pic:spPr>
                    <a:xfrm>
                      <a:off x="0" y="0"/>
                      <a:ext cx="602673" cy="9525"/>
                    </a:xfrm>
                    <a:prstGeom prst="rect">
                      <a:avLst/>
                    </a:prstGeom>
                  </pic:spPr>
                </pic:pic>
              </a:graphicData>
            </a:graphic>
          </wp:anchor>
        </w:drawing>
      </w:r>
      <w:r>
        <w:rPr>
          <w:rFonts w:hint="eastAsia" w:ascii="宋体" w:hAnsi="宋体" w:eastAsia="宋体" w:cs="宋体"/>
          <w:spacing w:val="0"/>
          <w:position w:val="0"/>
          <w:sz w:val="24"/>
          <w:szCs w:val="24"/>
        </w:rPr>
        <w:t>甲方：</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乙方：</w:t>
      </w:r>
    </w:p>
    <w:p w14:paraId="1C0961B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t>法定代表人/授权代表人</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负责人/授权代表人</w:t>
      </w:r>
    </w:p>
    <w:p w14:paraId="07619883">
      <w:pPr>
        <w:keepNext w:val="0"/>
        <w:keepLines w:val="0"/>
        <w:pageBreakBefore w:val="0"/>
        <w:widowControl/>
        <w:tabs>
          <w:tab w:val="left" w:pos="5482"/>
        </w:tabs>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val="en-US"/>
        </w:rPr>
      </w:pPr>
      <w:r>
        <w:rPr>
          <w:rFonts w:hint="eastAsia" w:ascii="宋体" w:hAnsi="宋体" w:eastAsia="宋体" w:cs="宋体"/>
          <w:spacing w:val="0"/>
          <w:position w:val="0"/>
          <w:sz w:val="24"/>
          <w:szCs w:val="24"/>
        </w:rPr>
        <w:t>日期；年   月     日</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日期；年   月     日</w:t>
      </w:r>
    </w:p>
    <w:p w14:paraId="346F86C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p>
    <w:p w14:paraId="2A9CD8FA">
      <w:pPr>
        <w:rPr>
          <w:spacing w:val="0"/>
          <w:w w:val="100"/>
          <w:kern w:val="0"/>
          <w:position w:val="0"/>
        </w:rPr>
      </w:pPr>
    </w:p>
    <w:p w14:paraId="40DE1CA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pacing w:val="0"/>
          <w:w w:val="100"/>
          <w:kern w:val="0"/>
          <w:position w:val="0"/>
          <w:sz w:val="24"/>
          <w:szCs w:val="24"/>
        </w:rPr>
        <w:sectPr>
          <w:headerReference r:id="rId6" w:type="default"/>
          <w:footerReference r:id="rId7" w:type="default"/>
          <w:pgSz w:w="11907" w:h="16840"/>
          <w:pgMar w:top="1440" w:right="1800" w:bottom="1440" w:left="1800" w:header="878" w:footer="886" w:gutter="0"/>
          <w:pgNumType w:fmt="decimal"/>
          <w:cols w:space="720" w:num="1"/>
        </w:sectPr>
      </w:pPr>
    </w:p>
    <w:p w14:paraId="4C9BE0EF">
      <w:pPr>
        <w:pStyle w:val="2"/>
        <w:numPr>
          <w:ilvl w:val="0"/>
          <w:numId w:val="20"/>
        </w:numPr>
        <w:bidi w:val="0"/>
        <w:spacing w:line="360" w:lineRule="auto"/>
        <w:jc w:val="center"/>
        <w:rPr>
          <w:rFonts w:asciiTheme="minorEastAsia" w:hAnsiTheme="minorEastAsia" w:eastAsiaTheme="minorEastAsia" w:cstheme="minorEastAsia"/>
          <w:spacing w:val="0"/>
          <w:kern w:val="0"/>
          <w:position w:val="0"/>
          <w:lang w:eastAsia="zh-CN"/>
        </w:rPr>
      </w:pPr>
      <w:bookmarkStart w:id="6" w:name="_Toc28500"/>
      <w:r>
        <w:rPr>
          <w:rFonts w:hint="eastAsia" w:ascii="宋体" w:hAnsi="宋体" w:eastAsia="宋体" w:cs="Times New Roman"/>
          <w:spacing w:val="0"/>
          <w:kern w:val="0"/>
          <w:position w:val="0"/>
          <w:lang w:eastAsia="zh-CN"/>
        </w:rPr>
        <w:t>投标文件格式</w:t>
      </w:r>
      <w:bookmarkEnd w:id="6"/>
    </w:p>
    <w:p w14:paraId="12D44579">
      <w:pPr>
        <w:pStyle w:val="6"/>
        <w:kinsoku/>
        <w:wordWrap w:val="0"/>
        <w:spacing w:before="78" w:line="360" w:lineRule="auto"/>
        <w:ind w:left="154"/>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投标人编制文件须知</w:t>
      </w:r>
    </w:p>
    <w:p w14:paraId="633F5297">
      <w:pPr>
        <w:pStyle w:val="6"/>
        <w:kinsoku/>
        <w:wordWrap w:val="0"/>
        <w:spacing w:line="360" w:lineRule="auto"/>
        <w:ind w:firstLine="480" w:firstLineChars="200"/>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1.投标人按照本部分的顺序编制投标文件（资格证明文件）、投标文件（商务技术文件），编制中涉及格式资料的，应按照本部分提供的内容和格式（所有表格的格式可扩展）填写提交。</w:t>
      </w:r>
    </w:p>
    <w:p w14:paraId="0D35024D">
      <w:pPr>
        <w:pStyle w:val="6"/>
        <w:kinsoku/>
        <w:wordWrap w:val="0"/>
        <w:spacing w:line="360" w:lineRule="auto"/>
        <w:ind w:firstLine="480" w:firstLineChars="200"/>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2.全部声明和问题的回答及所附材料必须是真实的、准确的和完整的。</w:t>
      </w:r>
    </w:p>
    <w:p w14:paraId="4354A84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14C8D55">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C62AA6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7BA82C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DF7AFE0">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B18CA53">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3C459A4">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5522708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3B6B669">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4B647D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00180C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C5D0422">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89B91A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B4927B2">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FD3589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FA676D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C665707">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B7BC724">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58FB00E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D47C5B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3CB97AB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FB511D0">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77283B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0F147D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344B09B">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3E67346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ADA3CFF">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09CE793">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E469777">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3E9F99A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5B932F87">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EC8B4B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F49229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D20EC8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8234630">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C9FA5C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1623CA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EBDD0C8">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07A68B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73B9009">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36"/>
          <w:szCs w:val="36"/>
        </w:rPr>
      </w:pPr>
    </w:p>
    <w:p w14:paraId="45729F69">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36"/>
          <w:szCs w:val="36"/>
          <w:lang w:eastAsia="zh-CN"/>
        </w:rPr>
      </w:pPr>
      <w:r>
        <w:rPr>
          <w:rFonts w:hint="eastAsia" w:ascii="宋体" w:hAnsi="宋体" w:eastAsia="宋体" w:cs="宋体"/>
          <w:b/>
          <w:bCs/>
          <w:color w:val="000000"/>
          <w:spacing w:val="0"/>
          <w:kern w:val="0"/>
          <w:position w:val="0"/>
          <w:sz w:val="36"/>
          <w:szCs w:val="36"/>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u w:val="single"/>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u w:val="single"/>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36"/>
          <w:szCs w:val="36"/>
        </w:rPr>
        <w:t>（项目名称）</w:t>
      </w:r>
    </w:p>
    <w:p w14:paraId="5FB9BEE9">
      <w:pPr>
        <w:pStyle w:val="14"/>
        <w:keepNext w:val="0"/>
        <w:keepLines w:val="0"/>
        <w:pageBreakBefore w:val="0"/>
        <w:widowControl w:val="0"/>
        <w:kinsoku/>
        <w:wordWrap/>
        <w:overflowPunct w:val="0"/>
        <w:topLinePunct w:val="0"/>
        <w:bidi w:val="0"/>
        <w:ind w:firstLine="210"/>
        <w:rPr>
          <w:rFonts w:hint="eastAsia" w:ascii="宋体" w:hAnsi="宋体" w:eastAsia="宋体" w:cs="宋体"/>
          <w:color w:val="000000"/>
          <w:spacing w:val="0"/>
          <w:kern w:val="0"/>
          <w:position w:val="0"/>
        </w:rPr>
      </w:pPr>
    </w:p>
    <w:p w14:paraId="2B0AF5DE">
      <w:pPr>
        <w:pStyle w:val="15"/>
        <w:keepNext w:val="0"/>
        <w:keepLines w:val="0"/>
        <w:pageBreakBefore w:val="0"/>
        <w:widowControl w:val="0"/>
        <w:kinsoku/>
        <w:wordWrap/>
        <w:overflowPunct w:val="0"/>
        <w:topLinePunct w:val="0"/>
        <w:bidi w:val="0"/>
        <w:rPr>
          <w:rFonts w:hint="eastAsia" w:ascii="宋体" w:hAnsi="宋体" w:eastAsia="宋体" w:cs="宋体"/>
          <w:color w:val="000000"/>
          <w:spacing w:val="0"/>
          <w:kern w:val="0"/>
          <w:position w:val="0"/>
        </w:rPr>
      </w:pPr>
    </w:p>
    <w:p w14:paraId="6E982A7B">
      <w:pPr>
        <w:pStyle w:val="15"/>
        <w:keepNext w:val="0"/>
        <w:keepLines w:val="0"/>
        <w:pageBreakBefore w:val="0"/>
        <w:widowControl w:val="0"/>
        <w:kinsoku/>
        <w:wordWrap/>
        <w:overflowPunct w:val="0"/>
        <w:topLinePunct w:val="0"/>
        <w:bidi w:val="0"/>
        <w:ind w:left="0" w:leftChars="0" w:firstLine="0" w:firstLineChars="0"/>
        <w:rPr>
          <w:rFonts w:hint="eastAsia" w:ascii="宋体" w:hAnsi="宋体" w:eastAsia="宋体" w:cs="宋体"/>
          <w:color w:val="000000"/>
          <w:spacing w:val="0"/>
          <w:kern w:val="0"/>
          <w:position w:val="0"/>
        </w:rPr>
      </w:pPr>
    </w:p>
    <w:p w14:paraId="7284CC2C">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44"/>
          <w:szCs w:val="44"/>
        </w:rPr>
      </w:pPr>
    </w:p>
    <w:p w14:paraId="2D113575">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84"/>
          <w:szCs w:val="84"/>
        </w:rPr>
      </w:pPr>
      <w:r>
        <w:rPr>
          <w:rFonts w:hint="eastAsia" w:ascii="宋体" w:hAnsi="宋体" w:eastAsia="宋体" w:cs="宋体"/>
          <w:b/>
          <w:bCs/>
          <w:color w:val="000000"/>
          <w:spacing w:val="0"/>
          <w:kern w:val="0"/>
          <w:position w:val="0"/>
          <w:sz w:val="84"/>
          <w:szCs w:val="84"/>
        </w:rPr>
        <w:t>投 标 文 件</w:t>
      </w:r>
    </w:p>
    <w:p w14:paraId="31B02B9C">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08B0FE94">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048AB020">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2EDE7173">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6B9BBC1F">
      <w:pPr>
        <w:pStyle w:val="14"/>
        <w:keepNext w:val="0"/>
        <w:keepLines w:val="0"/>
        <w:pageBreakBefore w:val="0"/>
        <w:widowControl w:val="0"/>
        <w:kinsoku/>
        <w:wordWrap/>
        <w:overflowPunct w:val="0"/>
        <w:topLinePunct w:val="0"/>
        <w:bidi w:val="0"/>
        <w:ind w:firstLine="210"/>
        <w:rPr>
          <w:rFonts w:hint="eastAsia" w:ascii="宋体" w:hAnsi="宋体" w:eastAsia="宋体" w:cs="宋体"/>
          <w:color w:val="000000"/>
          <w:spacing w:val="0"/>
          <w:kern w:val="0"/>
          <w:position w:val="0"/>
        </w:rPr>
      </w:pPr>
    </w:p>
    <w:p w14:paraId="4A526062">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p>
    <w:p w14:paraId="7A2B9044">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投标人：</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u w:val="single"/>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（单位名称及盖电子签章）</w:t>
      </w:r>
    </w:p>
    <w:p w14:paraId="0CCC1EC5">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p>
    <w:p w14:paraId="0393F31A">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法定代表人或其委托代理人：</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lang w:val="en-US" w:eastAsia="zh-CN"/>
        </w:rPr>
        <w:t xml:space="preserve">（电子签名或盖章） </w:t>
      </w:r>
    </w:p>
    <w:p w14:paraId="2D9BABCA">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p>
    <w:p w14:paraId="67E9F882">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r>
        <w:rPr>
          <w:rFonts w:hint="eastAsia" w:ascii="宋体" w:hAnsi="宋体" w:eastAsia="宋体" w:cs="宋体"/>
          <w:b/>
          <w:bCs/>
          <w:color w:val="000000"/>
          <w:spacing w:val="0"/>
          <w:kern w:val="0"/>
          <w:position w:val="0"/>
          <w:sz w:val="28"/>
          <w:szCs w:val="28"/>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年</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月</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日</w:t>
      </w:r>
    </w:p>
    <w:p w14:paraId="29077475">
      <w:pPr>
        <w:kinsoku/>
        <w:wordWrap w:val="0"/>
        <w:spacing w:line="219" w:lineRule="auto"/>
        <w:jc w:val="both"/>
        <w:rPr>
          <w:rFonts w:hint="eastAsia" w:ascii="宋体" w:hAnsi="宋体" w:eastAsia="宋体" w:cs="宋体"/>
          <w:b/>
          <w:bCs/>
          <w:color w:val="000000"/>
          <w:spacing w:val="0"/>
          <w:kern w:val="0"/>
          <w:position w:val="0"/>
        </w:rPr>
      </w:pPr>
      <w:r>
        <w:rPr>
          <w:rFonts w:hint="eastAsia" w:ascii="宋体" w:hAnsi="宋体" w:eastAsia="宋体" w:cs="宋体"/>
          <w:b/>
          <w:bCs/>
          <w:color w:val="000000"/>
          <w:spacing w:val="0"/>
          <w:kern w:val="0"/>
          <w:position w:val="0"/>
        </w:rPr>
        <w:br w:type="page"/>
      </w:r>
    </w:p>
    <w:p w14:paraId="043840A9">
      <w:pPr>
        <w:kinsoku/>
        <w:wordWrap w:val="0"/>
        <w:spacing w:line="219" w:lineRule="auto"/>
        <w:jc w:val="center"/>
        <w:rPr>
          <w:rFonts w:hint="eastAsia" w:ascii="宋体" w:hAnsi="宋体" w:eastAsia="宋体" w:cs="宋体"/>
          <w:b/>
          <w:bCs/>
          <w:color w:val="000000"/>
          <w:spacing w:val="0"/>
          <w:kern w:val="0"/>
          <w:position w:val="0"/>
          <w:sz w:val="28"/>
          <w:szCs w:val="28"/>
          <w:lang w:val="en-US" w:eastAsia="zh-CN"/>
        </w:rPr>
      </w:pPr>
      <w:r>
        <w:rPr>
          <w:rFonts w:hint="eastAsia" w:ascii="宋体" w:hAnsi="宋体" w:eastAsia="宋体" w:cs="宋体"/>
          <w:b/>
          <w:bCs/>
          <w:color w:val="000000"/>
          <w:spacing w:val="0"/>
          <w:kern w:val="0"/>
          <w:position w:val="0"/>
          <w:sz w:val="28"/>
          <w:szCs w:val="28"/>
          <w:lang w:val="en-US" w:eastAsia="zh-CN"/>
        </w:rPr>
        <w:t>目 录</w:t>
      </w:r>
    </w:p>
    <w:p w14:paraId="76D035DC">
      <w:pPr>
        <w:kinsoku/>
        <w:wordWrap w:val="0"/>
        <w:spacing w:line="219" w:lineRule="auto"/>
        <w:jc w:val="center"/>
        <w:rPr>
          <w:rFonts w:hint="eastAsia" w:ascii="宋体" w:hAnsi="宋体" w:eastAsia="宋体" w:cs="宋体"/>
          <w:b/>
          <w:bCs/>
          <w:color w:val="000000"/>
          <w:spacing w:val="0"/>
          <w:kern w:val="0"/>
          <w:position w:val="0"/>
          <w:sz w:val="28"/>
          <w:szCs w:val="28"/>
          <w:lang w:val="en-US" w:eastAsia="zh-CN"/>
        </w:rPr>
      </w:pPr>
      <w:r>
        <w:rPr>
          <w:rFonts w:hint="eastAsia" w:ascii="宋体" w:hAnsi="宋体" w:eastAsia="宋体" w:cs="宋体"/>
          <w:b/>
          <w:bCs/>
          <w:color w:val="000000"/>
          <w:spacing w:val="0"/>
          <w:kern w:val="0"/>
          <w:position w:val="0"/>
          <w:sz w:val="28"/>
          <w:szCs w:val="28"/>
          <w:lang w:val="en-US" w:eastAsia="zh-CN"/>
        </w:rPr>
        <w:t>（格式自拟）</w:t>
      </w:r>
    </w:p>
    <w:p w14:paraId="106A6810">
      <w:pPr>
        <w:kinsoku/>
        <w:wordWrap w:val="0"/>
        <w:spacing w:line="219" w:lineRule="auto"/>
        <w:jc w:val="both"/>
        <w:rPr>
          <w:rFonts w:hint="eastAsia" w:ascii="宋体" w:hAnsi="宋体" w:eastAsia="宋体" w:cs="宋体"/>
          <w:b/>
          <w:bCs/>
          <w:color w:val="000000"/>
          <w:spacing w:val="0"/>
          <w:kern w:val="0"/>
          <w:position w:val="0"/>
        </w:rPr>
      </w:pPr>
    </w:p>
    <w:p w14:paraId="2AC4CA93">
      <w:pPr>
        <w:kinsoku/>
        <w:wordWrap w:val="0"/>
        <w:spacing w:line="219" w:lineRule="auto"/>
        <w:jc w:val="both"/>
        <w:rPr>
          <w:rFonts w:hint="eastAsia" w:ascii="宋体" w:hAnsi="宋体" w:eastAsia="宋体" w:cs="宋体"/>
          <w:b/>
          <w:bCs/>
          <w:color w:val="000000"/>
          <w:spacing w:val="0"/>
          <w:kern w:val="0"/>
          <w:position w:val="0"/>
        </w:rPr>
      </w:pPr>
    </w:p>
    <w:p w14:paraId="16D74365">
      <w:pPr>
        <w:kinsoku/>
        <w:wordWrap w:val="0"/>
        <w:spacing w:line="219" w:lineRule="auto"/>
        <w:jc w:val="both"/>
        <w:rPr>
          <w:rFonts w:hint="eastAsia" w:ascii="宋体" w:hAnsi="宋体" w:eastAsia="宋体" w:cs="宋体"/>
          <w:b/>
          <w:bCs/>
          <w:color w:val="000000"/>
          <w:spacing w:val="0"/>
          <w:kern w:val="0"/>
          <w:position w:val="0"/>
        </w:rPr>
      </w:pPr>
    </w:p>
    <w:p w14:paraId="152C5F24">
      <w:pPr>
        <w:kinsoku/>
        <w:wordWrap w:val="0"/>
        <w:spacing w:line="219" w:lineRule="auto"/>
        <w:jc w:val="both"/>
        <w:rPr>
          <w:rFonts w:hint="eastAsia" w:ascii="宋体" w:hAnsi="宋体" w:eastAsia="宋体" w:cs="宋体"/>
          <w:b/>
          <w:bCs/>
          <w:color w:val="000000"/>
          <w:spacing w:val="0"/>
          <w:kern w:val="0"/>
          <w:position w:val="0"/>
        </w:rPr>
      </w:pPr>
    </w:p>
    <w:p w14:paraId="10473C3D">
      <w:pPr>
        <w:kinsoku/>
        <w:wordWrap w:val="0"/>
        <w:spacing w:line="219" w:lineRule="auto"/>
        <w:jc w:val="both"/>
        <w:rPr>
          <w:rFonts w:hint="eastAsia" w:ascii="宋体" w:hAnsi="宋体" w:eastAsia="宋体" w:cs="宋体"/>
          <w:b/>
          <w:bCs/>
          <w:color w:val="000000"/>
          <w:spacing w:val="0"/>
          <w:kern w:val="0"/>
          <w:position w:val="0"/>
        </w:rPr>
      </w:pPr>
    </w:p>
    <w:p w14:paraId="7B87AD7F">
      <w:pPr>
        <w:kinsoku/>
        <w:wordWrap w:val="0"/>
        <w:spacing w:line="219" w:lineRule="auto"/>
        <w:jc w:val="both"/>
        <w:rPr>
          <w:rFonts w:hint="eastAsia" w:ascii="宋体" w:hAnsi="宋体" w:eastAsia="宋体" w:cs="宋体"/>
          <w:b/>
          <w:bCs/>
          <w:color w:val="000000"/>
          <w:spacing w:val="0"/>
          <w:kern w:val="0"/>
          <w:position w:val="0"/>
        </w:rPr>
      </w:pPr>
    </w:p>
    <w:p w14:paraId="42272D14">
      <w:pPr>
        <w:kinsoku/>
        <w:wordWrap w:val="0"/>
        <w:spacing w:line="219" w:lineRule="auto"/>
        <w:jc w:val="both"/>
        <w:rPr>
          <w:rFonts w:hint="eastAsia" w:ascii="宋体" w:hAnsi="宋体" w:eastAsia="宋体" w:cs="宋体"/>
          <w:b/>
          <w:bCs/>
          <w:color w:val="000000"/>
          <w:spacing w:val="0"/>
          <w:kern w:val="0"/>
          <w:position w:val="0"/>
        </w:rPr>
      </w:pPr>
    </w:p>
    <w:p w14:paraId="219159BE">
      <w:pPr>
        <w:kinsoku/>
        <w:wordWrap w:val="0"/>
        <w:spacing w:line="219" w:lineRule="auto"/>
        <w:jc w:val="both"/>
        <w:rPr>
          <w:rFonts w:hint="eastAsia" w:ascii="宋体" w:hAnsi="宋体" w:eastAsia="宋体" w:cs="宋体"/>
          <w:b/>
          <w:bCs/>
          <w:color w:val="000000"/>
          <w:spacing w:val="0"/>
          <w:kern w:val="0"/>
          <w:position w:val="0"/>
        </w:rPr>
      </w:pPr>
    </w:p>
    <w:p w14:paraId="51B2DD05">
      <w:pPr>
        <w:kinsoku/>
        <w:wordWrap w:val="0"/>
        <w:spacing w:line="219" w:lineRule="auto"/>
        <w:jc w:val="both"/>
        <w:rPr>
          <w:rFonts w:hint="eastAsia" w:ascii="宋体" w:hAnsi="宋体" w:eastAsia="宋体" w:cs="宋体"/>
          <w:b/>
          <w:bCs/>
          <w:color w:val="000000"/>
          <w:spacing w:val="0"/>
          <w:kern w:val="0"/>
          <w:position w:val="0"/>
          <w:lang w:eastAsia="zh-CN"/>
        </w:rPr>
        <w:sectPr>
          <w:headerReference r:id="rId8" w:type="default"/>
          <w:footerReference r:id="rId9" w:type="default"/>
          <w:pgSz w:w="11907" w:h="16840"/>
          <w:pgMar w:top="1440" w:right="1800" w:bottom="1440" w:left="1800" w:header="878" w:footer="886" w:gutter="0"/>
          <w:cols w:space="720" w:num="1"/>
        </w:sectPr>
      </w:pPr>
    </w:p>
    <w:p w14:paraId="348BF3C8">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一、资格证明文件格式</w:t>
      </w:r>
    </w:p>
    <w:p w14:paraId="00140DD5">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1.开标一览表</w:t>
      </w:r>
    </w:p>
    <w:p w14:paraId="7582F7BC">
      <w:pPr>
        <w:kinsoku/>
        <w:wordWrap w:val="0"/>
        <w:spacing w:line="360" w:lineRule="auto"/>
        <w:jc w:val="center"/>
        <w:rPr>
          <w:rFonts w:asciiTheme="minorEastAsia" w:hAnsiTheme="minorEastAsia" w:eastAsiaTheme="minorEastAsia" w:cstheme="minorEastAsia"/>
          <w:spacing w:val="0"/>
          <w:kern w:val="0"/>
          <w:position w:val="0"/>
          <w:sz w:val="24"/>
          <w:szCs w:val="24"/>
          <w:lang w:eastAsia="zh-CN"/>
        </w:rPr>
      </w:pPr>
    </w:p>
    <w:p w14:paraId="262CCC47">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开标一览表</w:t>
      </w:r>
    </w:p>
    <w:tbl>
      <w:tblPr>
        <w:tblStyle w:val="1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2A2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196BBF1B">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14:paraId="1710D5DD">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0077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218C70D">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14:paraId="01736343">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38F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49AD1DE2">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vAlign w:val="center"/>
          </w:tcPr>
          <w:p w14:paraId="796E98FE">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216A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413CFAF5">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14:paraId="451286A9">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大写：</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w:t>
            </w:r>
            <w:r>
              <w:rPr>
                <w:rFonts w:hint="eastAsia" w:asciiTheme="minorEastAsia" w:hAnsiTheme="minorEastAsia" w:eastAsiaTheme="minorEastAsia" w:cstheme="minorEastAsia"/>
                <w:spacing w:val="0"/>
                <w:kern w:val="0"/>
                <w:position w:val="0"/>
                <w:sz w:val="24"/>
                <w:szCs w:val="24"/>
                <w:lang w:val="en-US" w:eastAsia="zh-CN"/>
              </w:rPr>
              <w:t>小写</w:t>
            </w:r>
            <w:r>
              <w:rPr>
                <w:rFonts w:hint="eastAsia" w:asciiTheme="minorEastAsia" w:hAnsiTheme="minorEastAsia" w:eastAsiaTheme="minorEastAsia" w:cstheme="minorEastAsia"/>
                <w:spacing w:val="0"/>
                <w:kern w:val="0"/>
                <w:position w:val="0"/>
                <w:sz w:val="24"/>
                <w:szCs w:val="24"/>
                <w:lang w:eastAsia="zh-CN"/>
              </w:rPr>
              <w:t>￥：</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w:t>
            </w:r>
          </w:p>
        </w:tc>
      </w:tr>
      <w:tr w14:paraId="5391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0D5F66D5">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工期</w:t>
            </w:r>
          </w:p>
        </w:tc>
        <w:tc>
          <w:tcPr>
            <w:tcW w:w="6926" w:type="dxa"/>
            <w:tcBorders>
              <w:top w:val="single" w:color="auto" w:sz="4" w:space="0"/>
              <w:left w:val="single" w:color="auto" w:sz="4" w:space="0"/>
              <w:bottom w:val="single" w:color="auto" w:sz="4" w:space="0"/>
              <w:right w:val="single" w:color="auto" w:sz="4" w:space="0"/>
            </w:tcBorders>
            <w:vAlign w:val="center"/>
          </w:tcPr>
          <w:p w14:paraId="67E6455C">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068F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3087168F">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质量</w:t>
            </w:r>
          </w:p>
        </w:tc>
        <w:tc>
          <w:tcPr>
            <w:tcW w:w="6926" w:type="dxa"/>
            <w:tcBorders>
              <w:top w:val="single" w:color="auto" w:sz="4" w:space="0"/>
              <w:left w:val="single" w:color="auto" w:sz="4" w:space="0"/>
              <w:bottom w:val="single" w:color="auto" w:sz="4" w:space="0"/>
              <w:right w:val="single" w:color="auto" w:sz="4" w:space="0"/>
            </w:tcBorders>
            <w:vAlign w:val="center"/>
          </w:tcPr>
          <w:p w14:paraId="6D576CF0">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6F54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7A73BB5A">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vAlign w:val="center"/>
          </w:tcPr>
          <w:p w14:paraId="4B30E6F5">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2711B62D">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bl>
    <w:p w14:paraId="1DB1FA87">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注：“开标一览表”报总价。</w:t>
      </w:r>
    </w:p>
    <w:p w14:paraId="6A4DDF79">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投标人（公章）：</w:t>
      </w:r>
    </w:p>
    <w:p w14:paraId="1A12D9D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法定代表人（负责人）或授权代表（签字）：</w:t>
      </w:r>
    </w:p>
    <w:p w14:paraId="345F435E">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日期：</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b/>
          <w:bCs/>
          <w:spacing w:val="0"/>
          <w:kern w:val="0"/>
          <w:position w:val="0"/>
          <w:sz w:val="24"/>
          <w:szCs w:val="24"/>
          <w:lang w:eastAsia="zh-CN"/>
        </w:rPr>
        <w:t>年</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b/>
          <w:bCs/>
          <w:spacing w:val="0"/>
          <w:kern w:val="0"/>
          <w:position w:val="0"/>
          <w:sz w:val="24"/>
          <w:szCs w:val="24"/>
          <w:lang w:eastAsia="zh-CN"/>
        </w:rPr>
        <w:t>月</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b/>
          <w:bCs/>
          <w:spacing w:val="0"/>
          <w:kern w:val="0"/>
          <w:position w:val="0"/>
          <w:sz w:val="24"/>
          <w:szCs w:val="24"/>
          <w:lang w:eastAsia="zh-CN"/>
        </w:rPr>
        <w:t>日</w:t>
      </w:r>
    </w:p>
    <w:p w14:paraId="43D14C5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sectPr>
          <w:pgSz w:w="11907" w:h="16840"/>
          <w:pgMar w:top="1440" w:right="1800" w:bottom="1440" w:left="1800" w:header="851" w:footer="992" w:gutter="0"/>
          <w:cols w:space="720" w:num="1"/>
        </w:sectPr>
      </w:pPr>
    </w:p>
    <w:p w14:paraId="7172EFD7">
      <w:pPr>
        <w:kinsoku/>
        <w:wordWrap w:val="0"/>
        <w:spacing w:line="360" w:lineRule="auto"/>
        <w:jc w:val="both"/>
        <w:rPr>
          <w:rFonts w:asciiTheme="minorEastAsia" w:hAnsiTheme="minorEastAsia" w:eastAsiaTheme="minorEastAsia" w:cstheme="minorEastAsia"/>
          <w:b/>
          <w:spacing w:val="0"/>
          <w:kern w:val="0"/>
          <w:position w:val="0"/>
          <w:sz w:val="24"/>
          <w:szCs w:val="24"/>
          <w:lang w:eastAsia="zh-CN"/>
        </w:rPr>
      </w:pPr>
      <w:r>
        <w:rPr>
          <w:rFonts w:hint="eastAsia" w:asciiTheme="minorEastAsia" w:hAnsiTheme="minorEastAsia" w:eastAsiaTheme="minorEastAsia" w:cstheme="minorEastAsia"/>
          <w:b/>
          <w:spacing w:val="0"/>
          <w:kern w:val="0"/>
          <w:position w:val="0"/>
          <w:sz w:val="24"/>
          <w:szCs w:val="24"/>
          <w:lang w:eastAsia="zh-CN"/>
        </w:rPr>
        <w:t>2.授权书格式</w:t>
      </w:r>
    </w:p>
    <w:p w14:paraId="129D24EC">
      <w:pPr>
        <w:kinsoku/>
        <w:wordWrap w:val="0"/>
        <w:spacing w:line="360" w:lineRule="auto"/>
        <w:ind w:firstLine="567"/>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spacing w:val="0"/>
          <w:kern w:val="0"/>
          <w:position w:val="0"/>
          <w:sz w:val="24"/>
          <w:szCs w:val="24"/>
          <w:lang w:eastAsia="zh-CN"/>
        </w:rPr>
        <w:t>法定代表人（负责人）授权委托书</w:t>
      </w:r>
    </w:p>
    <w:p w14:paraId="4AE461A2">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p>
    <w:p w14:paraId="263CC4A4">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委托单位：</w:t>
      </w:r>
    </w:p>
    <w:p w14:paraId="218B8789">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eastAsia="zh-CN"/>
        </w:rPr>
        <w:t>地址：</w:t>
      </w:r>
      <w:r>
        <w:rPr>
          <w:rFonts w:hint="eastAsia" w:asciiTheme="minorEastAsia" w:hAnsiTheme="minorEastAsia" w:eastAsiaTheme="minorEastAsia" w:cstheme="minorEastAsia"/>
          <w:spacing w:val="0"/>
          <w:kern w:val="0"/>
          <w:position w:val="0"/>
          <w:sz w:val="24"/>
          <w:szCs w:val="24"/>
          <w:lang w:val="en-US" w:eastAsia="zh-CN"/>
        </w:rPr>
        <w:t xml:space="preserve"> </w:t>
      </w:r>
    </w:p>
    <w:p w14:paraId="64560704">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w:t>
      </w:r>
    </w:p>
    <w:p w14:paraId="40AF71FE">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eastAsia="zh-CN"/>
        </w:rPr>
        <w:t>授权代表姓名：</w:t>
      </w:r>
      <w:r>
        <w:rPr>
          <w:rFonts w:hint="eastAsia" w:asciiTheme="minorEastAsia" w:hAnsiTheme="minorEastAsia" w:eastAsiaTheme="minorEastAsia" w:cstheme="minorEastAsia"/>
          <w:spacing w:val="0"/>
          <w:kern w:val="0"/>
          <w:position w:val="0"/>
          <w:sz w:val="24"/>
          <w:szCs w:val="24"/>
          <w:lang w:val="en-US" w:eastAsia="zh-CN"/>
        </w:rPr>
        <w:t xml:space="preserve">   </w:t>
      </w:r>
    </w:p>
    <w:p w14:paraId="32389A50">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性别：</w:t>
      </w:r>
    </w:p>
    <w:p w14:paraId="1AC0B905">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出生日期：</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2CD65F7B">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所在单位：</w:t>
      </w:r>
    </w:p>
    <w:p w14:paraId="4FBC994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职务：</w:t>
      </w:r>
    </w:p>
    <w:p w14:paraId="2A7C55F0">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身份证：</w:t>
      </w:r>
    </w:p>
    <w:p w14:paraId="59D09649">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现住：</w:t>
      </w:r>
    </w:p>
    <w:p w14:paraId="6D35DA5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兹委托参加项目事宜，并授权其全权办理以下事宜：</w:t>
      </w:r>
    </w:p>
    <w:p w14:paraId="6082FF5F">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1、参加投标活动；</w:t>
      </w:r>
    </w:p>
    <w:p w14:paraId="2053777A">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2、签订与中标事宜有关的合同。</w:t>
      </w:r>
    </w:p>
    <w:p w14:paraId="24CCAD9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授权代表在办理上述事宜过程中以其自己的名义所签署的所有文件我均予以承认。</w:t>
      </w:r>
    </w:p>
    <w:p w14:paraId="50A1734A">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授权代表无转委权。</w:t>
      </w:r>
    </w:p>
    <w:p w14:paraId="277EF4F9">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委托期限：至上述事宜处理完毕止。</w:t>
      </w:r>
    </w:p>
    <w:p w14:paraId="342E9873">
      <w:pPr>
        <w:pStyle w:val="15"/>
        <w:kinsoku/>
        <w:wordWrap w:val="0"/>
        <w:ind w:firstLine="480"/>
        <w:jc w:val="both"/>
        <w:rPr>
          <w:rFonts w:asciiTheme="minorEastAsia" w:hAnsiTheme="minorEastAsia" w:eastAsiaTheme="minorEastAsia" w:cstheme="minorEastAsia"/>
          <w:spacing w:val="0"/>
          <w:kern w:val="0"/>
          <w:position w:val="0"/>
          <w:sz w:val="24"/>
          <w:szCs w:val="24"/>
        </w:rPr>
      </w:pPr>
    </w:p>
    <w:p w14:paraId="34F06638">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委托单位（公章）：</w:t>
      </w:r>
    </w:p>
    <w:p w14:paraId="4732016E">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法定代表人（负责人）（签字）：</w:t>
      </w:r>
    </w:p>
    <w:p w14:paraId="3924C176">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授权代表（签字）：</w:t>
      </w:r>
    </w:p>
    <w:p w14:paraId="04A57F05">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4260042C">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p>
    <w:p w14:paraId="40DA6708">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附：法定代表人（负责人）的身份证及授权代表的身份证</w:t>
      </w:r>
    </w:p>
    <w:p w14:paraId="1926BFAA">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04DBF592">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240EA8C4">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68FB5F00">
      <w:pPr>
        <w:kinsoku/>
        <w:wordWrap w:val="0"/>
        <w:spacing w:line="360" w:lineRule="auto"/>
        <w:jc w:val="both"/>
        <w:rPr>
          <w:rFonts w:ascii="仿宋_GB2312" w:hAnsi="宋体" w:eastAsia="仿宋_GB2312"/>
          <w:spacing w:val="0"/>
          <w:kern w:val="0"/>
          <w:position w:val="0"/>
          <w:sz w:val="28"/>
          <w:szCs w:val="28"/>
          <w:lang w:eastAsia="zh-CN"/>
        </w:rPr>
      </w:pPr>
      <w:r>
        <w:rPr>
          <w:rFonts w:hint="eastAsia" w:asciiTheme="minorEastAsia" w:hAnsiTheme="minorEastAsia" w:eastAsiaTheme="minorEastAsia" w:cstheme="minorEastAsia"/>
          <w:b/>
          <w:spacing w:val="0"/>
          <w:kern w:val="0"/>
          <w:position w:val="0"/>
          <w:sz w:val="24"/>
          <w:szCs w:val="24"/>
          <w:lang w:eastAsia="zh-CN"/>
        </w:rPr>
        <w:t>3.资格声明函格式</w:t>
      </w:r>
    </w:p>
    <w:p w14:paraId="45A9DC6F">
      <w:pPr>
        <w:kinsoku/>
        <w:wordWrap w:val="0"/>
        <w:spacing w:line="360" w:lineRule="auto"/>
        <w:jc w:val="both"/>
        <w:rPr>
          <w:rFonts w:asciiTheme="minorEastAsia" w:hAnsiTheme="minorEastAsia" w:eastAsiaTheme="minorEastAsia" w:cstheme="minorEastAsia"/>
          <w:b/>
          <w:spacing w:val="0"/>
          <w:kern w:val="0"/>
          <w:position w:val="0"/>
          <w:sz w:val="24"/>
          <w:szCs w:val="24"/>
          <w:lang w:eastAsia="zh-CN"/>
        </w:rPr>
      </w:pPr>
    </w:p>
    <w:p w14:paraId="7E325B20">
      <w:pPr>
        <w:kinsoku/>
        <w:wordWrap w:val="0"/>
        <w:spacing w:line="360" w:lineRule="auto"/>
        <w:jc w:val="center"/>
        <w:rPr>
          <w:rFonts w:ascii="仿宋_GB2312" w:hAnsi="宋体" w:eastAsia="仿宋_GB2312"/>
          <w:spacing w:val="0"/>
          <w:kern w:val="0"/>
          <w:position w:val="0"/>
          <w:sz w:val="28"/>
          <w:szCs w:val="28"/>
          <w:lang w:eastAsia="zh-CN"/>
        </w:rPr>
      </w:pPr>
      <w:r>
        <w:rPr>
          <w:rFonts w:hint="eastAsia" w:asciiTheme="minorEastAsia" w:hAnsiTheme="minorEastAsia" w:eastAsiaTheme="minorEastAsia" w:cstheme="minorEastAsia"/>
          <w:b/>
          <w:spacing w:val="0"/>
          <w:kern w:val="0"/>
          <w:position w:val="0"/>
          <w:sz w:val="24"/>
          <w:szCs w:val="24"/>
          <w:lang w:eastAsia="zh-CN"/>
        </w:rPr>
        <w:t>关于资格的声明函</w:t>
      </w:r>
    </w:p>
    <w:p w14:paraId="76BFDA7B">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322982AD">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采购人或代理机构名称：</w:t>
      </w:r>
    </w:p>
    <w:p w14:paraId="2814A75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关于贵方编号为公开招标，本签字人愿意参加投标，提供“采购内容及要求”中规定的服务，并证明提交的下列文件和说明是准确的真实的。</w:t>
      </w:r>
    </w:p>
    <w:p w14:paraId="43DD0D6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1、由市场监管局签发的我方工商营业执照副本。</w:t>
      </w:r>
    </w:p>
    <w:p w14:paraId="76D9C46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2、法定代表人（负责人）授权书。</w:t>
      </w:r>
    </w:p>
    <w:p w14:paraId="5FAFA53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3、法定代表人（负责人）或授权代表身份证（答疑时出示原件）。</w:t>
      </w:r>
    </w:p>
    <w:p w14:paraId="5DB9EE6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4、公司地址、联系电话、传真等。</w:t>
      </w:r>
    </w:p>
    <w:p w14:paraId="49B80439">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5、法定代表人（负责人）或授权代表的联系电话。</w:t>
      </w:r>
    </w:p>
    <w:p w14:paraId="54FE805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6、招标项目要求的其他文件。</w:t>
      </w:r>
    </w:p>
    <w:p w14:paraId="0842DA1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7、本签字人确认资格文件中的说明是真实的、准确的。</w:t>
      </w:r>
    </w:p>
    <w:p w14:paraId="714DE87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5601614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1DF225B2">
      <w:pPr>
        <w:pStyle w:val="6"/>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投标人（公章）：</w:t>
      </w:r>
    </w:p>
    <w:p w14:paraId="5F2122B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法定代表人（负责人）或授权代表（签字）：</w:t>
      </w:r>
    </w:p>
    <w:p w14:paraId="1C34651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0807AB0D">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1452E7BF">
      <w:pPr>
        <w:pStyle w:val="6"/>
        <w:kinsoku/>
        <w:wordWrap w:val="0"/>
        <w:spacing w:line="360" w:lineRule="auto"/>
        <w:ind w:firstLine="482" w:firstLineChars="200"/>
        <w:jc w:val="both"/>
        <w:rPr>
          <w:rFonts w:asciiTheme="minorEastAsia" w:hAnsiTheme="minorEastAsia" w:eastAsiaTheme="minorEastAsia" w:cstheme="minorEastAsia"/>
          <w:spacing w:val="0"/>
          <w:kern w:val="0"/>
          <w:position w:val="0"/>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0"/>
          <w:kern w:val="0"/>
          <w:position w:val="0"/>
          <w:sz w:val="24"/>
          <w:szCs w:val="24"/>
          <w:lang w:eastAsia="zh-CN"/>
        </w:rPr>
        <w:t>说明：供应商承诺不实的，依据《中华人民共和国政府采购法》第七十七条供虚假材料谋取中标、成交的</w:t>
      </w:r>
      <w:r>
        <w:rPr>
          <w:rFonts w:hint="eastAsia" w:asciiTheme="minorEastAsia" w:hAnsiTheme="minorEastAsia" w:eastAsiaTheme="minorEastAsia" w:cstheme="minorEastAsia"/>
          <w:b/>
          <w:bCs/>
          <w:spacing w:val="0"/>
          <w:kern w:val="0"/>
          <w:position w:val="0"/>
          <w:sz w:val="24"/>
          <w:szCs w:val="24"/>
          <w:lang w:eastAsia="zh-CN"/>
        </w:rPr>
        <w:drawing>
          <wp:inline distT="0" distB="0" distL="0" distR="0">
            <wp:extent cx="65405" cy="38100"/>
            <wp:effectExtent l="0" t="0" r="10795" b="762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0" cstate="print"/>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0"/>
          <w:kern w:val="0"/>
          <w:position w:val="0"/>
          <w:sz w:val="24"/>
          <w:szCs w:val="24"/>
          <w:lang w:eastAsia="zh-CN"/>
        </w:rPr>
        <w:t>有关规定予以处理</w:t>
      </w:r>
    </w:p>
    <w:p w14:paraId="5544CCC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4.承诺函格式</w:t>
      </w:r>
    </w:p>
    <w:p w14:paraId="49396F55">
      <w:pPr>
        <w:kinsoku/>
        <w:wordWrap w:val="0"/>
        <w:spacing w:line="360" w:lineRule="auto"/>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投标人承诺函</w:t>
      </w:r>
    </w:p>
    <w:p w14:paraId="5A88C2F2">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68F22A33">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采购人或代理机构名称：</w:t>
      </w:r>
    </w:p>
    <w:p w14:paraId="11366E80">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很荣幸能参与项目编号为项目的投标。</w:t>
      </w:r>
    </w:p>
    <w:p w14:paraId="10DE3678">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我代表（投标人名称），在此作如下承诺：</w:t>
      </w:r>
    </w:p>
    <w:p w14:paraId="57A15DAC">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1、完全理解和接受本项目招标文件的一切规定和要求；</w:t>
      </w:r>
    </w:p>
    <w:p w14:paraId="5B7D5AA4">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2、我方递交的投标文件中所有的资料均为真实的、准确的，无任何虚假内容。若存在有虚假内容，我方愿意承担法律责任。</w:t>
      </w:r>
    </w:p>
    <w:p w14:paraId="0E7442AB">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33A73987">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4、若中标，本承诺将成为合同不可分割的一部分，与合同具有同等的法律效力。</w:t>
      </w:r>
    </w:p>
    <w:p w14:paraId="1EC8C7D9">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5、我方同意招标文件所附的合同文本作为与采购方签约的合同文本，非经双方一致同意，不得改变原合同文本的条款。</w:t>
      </w:r>
    </w:p>
    <w:p w14:paraId="7886098B">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49700D3">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p>
    <w:p w14:paraId="21864E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投标人（公章）：</w:t>
      </w:r>
    </w:p>
    <w:p w14:paraId="27C65A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法定代表人（负责人）或授权代表（签字）：</w:t>
      </w:r>
    </w:p>
    <w:p w14:paraId="301B66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289AB4C2">
      <w:pPr>
        <w:keepNext w:val="0"/>
        <w:keepLines w:val="0"/>
        <w:pageBreakBefore w:val="0"/>
        <w:widowControl/>
        <w:kinsoku/>
        <w:wordWrap w:val="0"/>
        <w:overflowPunct/>
        <w:topLinePunct w:val="0"/>
        <w:autoSpaceDE w:val="0"/>
        <w:autoSpaceDN w:val="0"/>
        <w:bidi w:val="0"/>
        <w:adjustRightInd w:val="0"/>
        <w:snapToGrid w:val="0"/>
        <w:spacing w:line="256" w:lineRule="auto"/>
        <w:ind w:firstLine="420" w:firstLineChars="200"/>
        <w:jc w:val="both"/>
        <w:textAlignment w:val="baseline"/>
        <w:rPr>
          <w:rFonts w:asciiTheme="minorEastAsia" w:hAnsiTheme="minorEastAsia" w:eastAsiaTheme="minorEastAsia" w:cstheme="minorEastAsia"/>
          <w:spacing w:val="0"/>
          <w:kern w:val="0"/>
          <w:position w:val="0"/>
          <w:lang w:eastAsia="zh-CN"/>
        </w:rPr>
      </w:pPr>
    </w:p>
    <w:p w14:paraId="2C5E9828">
      <w:pPr>
        <w:kinsoku/>
        <w:wordWrap w:val="0"/>
        <w:spacing w:line="256" w:lineRule="auto"/>
        <w:jc w:val="both"/>
        <w:rPr>
          <w:rFonts w:asciiTheme="minorEastAsia" w:hAnsiTheme="minorEastAsia" w:eastAsiaTheme="minorEastAsia" w:cstheme="minorEastAsia"/>
          <w:spacing w:val="0"/>
          <w:kern w:val="0"/>
          <w:position w:val="0"/>
          <w:lang w:eastAsia="zh-CN"/>
        </w:rPr>
      </w:pPr>
    </w:p>
    <w:p w14:paraId="1F6093D4">
      <w:pPr>
        <w:kinsoku/>
        <w:wordWrap w:val="0"/>
        <w:spacing w:line="256" w:lineRule="auto"/>
        <w:jc w:val="both"/>
        <w:rPr>
          <w:rFonts w:asciiTheme="minorEastAsia" w:hAnsiTheme="minorEastAsia" w:eastAsiaTheme="minorEastAsia" w:cstheme="minorEastAsia"/>
          <w:spacing w:val="0"/>
          <w:kern w:val="0"/>
          <w:position w:val="0"/>
          <w:lang w:eastAsia="zh-CN"/>
        </w:rPr>
      </w:pPr>
    </w:p>
    <w:p w14:paraId="64408AE8">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E290A6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27438560">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p>
    <w:p w14:paraId="4AD1686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5.营业执照副本或其他资格证明文件</w:t>
      </w:r>
    </w:p>
    <w:p w14:paraId="301DFDB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6.具有履行合同所必需的设备和专业技术能力的承诺</w:t>
      </w:r>
    </w:p>
    <w:p w14:paraId="32C90D3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7.依法缴纳税收和社会保障资金的缴费凭证(提供近半年内任意三个月的有效凭证)</w:t>
      </w:r>
    </w:p>
    <w:p w14:paraId="18F04D38">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8.良好的商业信誉和健全的财务会计制度的证明文件</w:t>
      </w:r>
    </w:p>
    <w:p w14:paraId="26A9CCB7">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42BB223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9.投标人出具参加政府采购活动前三年内，在经营活动中没有重大违法记录的书面声明（加盖单位公章）</w:t>
      </w:r>
    </w:p>
    <w:p w14:paraId="138D888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34DA06DB">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1BD8CE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214D2F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163B5D89">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8ABCA5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6606483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092893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32CED54D">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780CE96F">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D233455">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BEAB4FD">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65187E9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20FAB8EE">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62393B9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4FB82185">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26086F30">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98CE611">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463235B1">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157A4AAF">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10.投标人诚信承诺书</w:t>
      </w:r>
    </w:p>
    <w:p w14:paraId="6C5A5C09">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p>
    <w:p w14:paraId="05B1BF09">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诚信承诺书</w:t>
      </w:r>
    </w:p>
    <w:p w14:paraId="06AF1BC2">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p>
    <w:p w14:paraId="374F5F5D">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为维护市场公平竞争，营造诚实守信的公共资源交易环境，本公司郑重承诺：</w:t>
      </w:r>
    </w:p>
    <w:p w14:paraId="65DEA567">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A8FE3E3">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2、本公司在参加本项目过程中严格遵守各项诚信廉洁规定，如有违反，自愿按规定接受处罚。</w:t>
      </w:r>
    </w:p>
    <w:p w14:paraId="15222120">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p>
    <w:p w14:paraId="6752969B">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承诺人法定名称（盖章）：</w:t>
      </w:r>
    </w:p>
    <w:p w14:paraId="229A8722">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承诺人法定地址：</w:t>
      </w:r>
    </w:p>
    <w:p w14:paraId="04BAF664">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授权代表（签字或盖章）：</w:t>
      </w:r>
    </w:p>
    <w:p w14:paraId="072DA3BA">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电话：</w:t>
      </w:r>
    </w:p>
    <w:p w14:paraId="25577023">
      <w:pPr>
        <w:kinsoku/>
        <w:wordWrap w:val="0"/>
        <w:spacing w:line="360" w:lineRule="auto"/>
        <w:ind w:firstLine="720" w:firstLineChars="3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606695C4">
      <w:pPr>
        <w:kinsoku/>
        <w:wordWrap w:val="0"/>
        <w:spacing w:line="360" w:lineRule="auto"/>
        <w:ind w:firstLine="607" w:firstLineChars="252"/>
        <w:jc w:val="both"/>
        <w:rPr>
          <w:rFonts w:asciiTheme="minorEastAsia" w:hAnsiTheme="minorEastAsia" w:eastAsiaTheme="minorEastAsia" w:cstheme="minorEastAsia"/>
          <w:b/>
          <w:bCs/>
          <w:spacing w:val="0"/>
          <w:kern w:val="0"/>
          <w:position w:val="0"/>
          <w:sz w:val="24"/>
          <w:szCs w:val="24"/>
          <w:lang w:eastAsia="zh-CN"/>
        </w:rPr>
      </w:pPr>
    </w:p>
    <w:p w14:paraId="69BF2A50">
      <w:pPr>
        <w:kinsoku/>
        <w:wordWrap w:val="0"/>
        <w:spacing w:line="360" w:lineRule="auto"/>
        <w:ind w:firstLine="607" w:firstLineChars="252"/>
        <w:jc w:val="both"/>
        <w:rPr>
          <w:rFonts w:asciiTheme="minorEastAsia" w:hAnsiTheme="minorEastAsia" w:eastAsiaTheme="minorEastAsia" w:cstheme="minorEastAsia"/>
          <w:b/>
          <w:bCs/>
          <w:spacing w:val="0"/>
          <w:kern w:val="0"/>
          <w:position w:val="0"/>
          <w:sz w:val="24"/>
          <w:szCs w:val="24"/>
          <w:lang w:eastAsia="zh-CN"/>
        </w:rPr>
      </w:pPr>
    </w:p>
    <w:p w14:paraId="5E038ED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11.投标人出具信用记录查询结果网页截图</w:t>
      </w:r>
    </w:p>
    <w:p w14:paraId="3DA90AD9">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12.其他资格证明</w:t>
      </w:r>
    </w:p>
    <w:p w14:paraId="2CE3965E">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1374F776">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val="zh-CN" w:eastAsia="zh-CN"/>
        </w:rPr>
      </w:pPr>
      <w:r>
        <w:rPr>
          <w:rFonts w:hint="eastAsia" w:asciiTheme="minorEastAsia" w:hAnsiTheme="minorEastAsia" w:eastAsiaTheme="minorEastAsia" w:cstheme="minorEastAsia"/>
          <w:b/>
          <w:bCs/>
          <w:spacing w:val="0"/>
          <w:kern w:val="0"/>
          <w:position w:val="0"/>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pacing w:val="0"/>
          <w:kern w:val="0"/>
          <w:position w:val="0"/>
          <w:sz w:val="24"/>
          <w:szCs w:val="24"/>
          <w:lang w:val="zh-CN" w:eastAsia="zh-CN"/>
        </w:rPr>
        <w:t>在中标后，应将上述由信用承诺书替代的证明材料提交采购人或采购代理机构，证明材料将随公告一并公示。</w:t>
      </w:r>
    </w:p>
    <w:p w14:paraId="3660C623">
      <w:pPr>
        <w:pStyle w:val="6"/>
        <w:kinsoku/>
        <w:wordWrap w:val="0"/>
        <w:spacing w:line="360" w:lineRule="auto"/>
        <w:jc w:val="center"/>
        <w:rPr>
          <w:rFonts w:asciiTheme="minorEastAsia" w:hAnsiTheme="minorEastAsia" w:eastAsiaTheme="minorEastAsia" w:cstheme="minorEastAsia"/>
          <w:b/>
          <w:bCs/>
          <w:spacing w:val="0"/>
          <w:kern w:val="0"/>
          <w:position w:val="0"/>
          <w:sz w:val="32"/>
          <w:szCs w:val="32"/>
          <w:lang w:val="zh-CN" w:eastAsia="zh-CN"/>
        </w:rPr>
      </w:pPr>
      <w:r>
        <w:rPr>
          <w:rFonts w:hint="eastAsia" w:asciiTheme="minorEastAsia" w:hAnsiTheme="minorEastAsia" w:eastAsiaTheme="minorEastAsia" w:cstheme="minorEastAsia"/>
          <w:b/>
          <w:bCs/>
          <w:spacing w:val="0"/>
          <w:kern w:val="0"/>
          <w:position w:val="0"/>
          <w:sz w:val="32"/>
          <w:szCs w:val="32"/>
          <w:lang w:val="zh-CN" w:eastAsia="zh-CN"/>
        </w:rPr>
        <w:t>南阳市政府采购供应商信用承诺函</w:t>
      </w:r>
    </w:p>
    <w:p w14:paraId="12595988">
      <w:pPr>
        <w:widowControl w:val="0"/>
        <w:kinsoku/>
        <w:wordWrap w:val="0"/>
        <w:spacing w:line="360" w:lineRule="auto"/>
        <w:jc w:val="both"/>
        <w:rPr>
          <w:rFonts w:asciiTheme="minorEastAsia" w:hAnsiTheme="minorEastAsia" w:eastAsiaTheme="minorEastAsia" w:cstheme="minorEastAsia"/>
          <w:b/>
          <w:bCs/>
          <w:spacing w:val="0"/>
          <w:kern w:val="0"/>
          <w:position w:val="0"/>
          <w:sz w:val="24"/>
          <w:szCs w:val="24"/>
          <w:lang w:val="zh-CN" w:eastAsia="zh-CN"/>
        </w:rPr>
      </w:pPr>
    </w:p>
    <w:p w14:paraId="0D817F35">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zh-CN" w:eastAsia="zh-CN"/>
        </w:rPr>
        <w:t>致（采购人或</w:t>
      </w:r>
      <w:r>
        <w:rPr>
          <w:rFonts w:hint="eastAsia" w:asciiTheme="minorEastAsia" w:hAnsiTheme="minorEastAsia" w:eastAsiaTheme="minorEastAsia" w:cstheme="minorEastAsia"/>
          <w:spacing w:val="0"/>
          <w:kern w:val="0"/>
          <w:position w:val="0"/>
          <w:sz w:val="24"/>
          <w:szCs w:val="24"/>
          <w:lang w:eastAsia="zh-CN"/>
        </w:rPr>
        <w:t>采购代理机构</w:t>
      </w:r>
      <w:r>
        <w:rPr>
          <w:rFonts w:hint="eastAsia" w:asciiTheme="minorEastAsia" w:hAnsiTheme="minorEastAsia" w:eastAsiaTheme="minorEastAsia" w:cstheme="minorEastAsia"/>
          <w:spacing w:val="0"/>
          <w:kern w:val="0"/>
          <w:position w:val="0"/>
          <w:sz w:val="24"/>
          <w:szCs w:val="24"/>
          <w:lang w:val="zh-CN" w:eastAsia="zh-CN"/>
        </w:rPr>
        <w:t>）：</w:t>
      </w:r>
    </w:p>
    <w:p w14:paraId="2396722C">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单位名称：</w:t>
      </w:r>
    </w:p>
    <w:p w14:paraId="02512F70">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统一社会信用代码：</w:t>
      </w:r>
    </w:p>
    <w:p w14:paraId="5615B09A">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法定代表人：</w:t>
      </w:r>
    </w:p>
    <w:p w14:paraId="3C94905D">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联系地址和电话：</w:t>
      </w:r>
    </w:p>
    <w:p w14:paraId="21F88518">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1C40BF5">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（一）具有独立承担民事责任的能力；</w:t>
      </w:r>
    </w:p>
    <w:p w14:paraId="122289D3">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（二）具有良好的商业信誉和健全的财务会计制度；</w:t>
      </w:r>
    </w:p>
    <w:p w14:paraId="2A5AFAF9">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（三）具有履行合同所必需的设备和专业技术能力；</w:t>
      </w:r>
    </w:p>
    <w:p w14:paraId="4DC30E22">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（四）有依法缴纳税收和社会保障资金的良好记录；</w:t>
      </w:r>
    </w:p>
    <w:p w14:paraId="6BB966D0">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（五）参加政府采购活动前三年内，在经营活动中没有重大违法记录；</w:t>
      </w:r>
    </w:p>
    <w:p w14:paraId="0AFE9028">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（六）法律、行政法规规定的其他条件。</w:t>
      </w:r>
    </w:p>
    <w:p w14:paraId="68A9C24A">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我单位保证上述承诺事项的真实性，如有弄虚作假或其他违法违规行为，愿意承担一切法律责任，并承担因此所造成的一切损失。</w:t>
      </w:r>
    </w:p>
    <w:p w14:paraId="6B75039C">
      <w:pPr>
        <w:widowControl w:val="0"/>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38F2A659">
      <w:pPr>
        <w:widowControl w:val="0"/>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65CA81BE">
      <w:pPr>
        <w:widowControl w:val="0"/>
        <w:kinsoku/>
        <w:wordWrap w:val="0"/>
        <w:spacing w:line="360" w:lineRule="auto"/>
        <w:ind w:firstLine="2160" w:firstLineChars="9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投标人（企业电子章）：</w:t>
      </w:r>
    </w:p>
    <w:p w14:paraId="695D22A7">
      <w:pPr>
        <w:widowControl w:val="0"/>
        <w:kinsoku/>
        <w:wordWrap w:val="0"/>
        <w:spacing w:line="360" w:lineRule="auto"/>
        <w:ind w:firstLine="2160" w:firstLineChars="9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法定代表人或授权代表（签字或电子印章）：</w:t>
      </w:r>
    </w:p>
    <w:p w14:paraId="6B054A67">
      <w:pPr>
        <w:widowControl w:val="0"/>
        <w:kinsoku/>
        <w:wordWrap w:val="0"/>
        <w:spacing w:line="360" w:lineRule="auto"/>
        <w:ind w:firstLine="2160" w:firstLineChars="9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日期：</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218E7ABB">
      <w:pPr>
        <w:widowControl w:val="0"/>
        <w:kinsoku/>
        <w:wordWrap w:val="0"/>
        <w:spacing w:line="360" w:lineRule="auto"/>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注：</w:t>
      </w:r>
    </w:p>
    <w:p w14:paraId="7FDC71A4">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1、投标人须在投标文件中按此模板提供承诺函，未提供视为未实质性响应招标文件要求，按无效投标处理。</w:t>
      </w:r>
    </w:p>
    <w:p w14:paraId="041C2A8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2、投标人的法定代表人或者授权代表的签字或盖章应真实、有效，如由授权代表签字或盖章的，应提供“法定代表人授权书”。</w:t>
      </w:r>
    </w:p>
    <w:p w14:paraId="0F2DB923">
      <w:pPr>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br w:type="page"/>
      </w:r>
    </w:p>
    <w:p w14:paraId="76327206">
      <w:pPr>
        <w:pStyle w:val="12"/>
        <w:rPr>
          <w:spacing w:val="0"/>
          <w:kern w:val="0"/>
          <w:position w:val="0"/>
          <w:lang w:val="zh-CN" w:eastAsia="zh-CN"/>
        </w:rPr>
        <w:sectPr>
          <w:headerReference r:id="rId12" w:type="default"/>
          <w:footerReference r:id="rId13" w:type="default"/>
          <w:pgSz w:w="11907" w:h="16840"/>
          <w:pgMar w:top="1440" w:right="1800" w:bottom="1440" w:left="1800" w:header="878" w:footer="886" w:gutter="0"/>
          <w:cols w:space="720" w:num="1"/>
        </w:sectPr>
      </w:pPr>
    </w:p>
    <w:p w14:paraId="283370E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二、</w:t>
      </w:r>
      <w:r>
        <w:rPr>
          <w:rFonts w:hint="eastAsia" w:asciiTheme="minorEastAsia" w:hAnsiTheme="minorEastAsia" w:eastAsiaTheme="minorEastAsia" w:cstheme="minorEastAsia"/>
          <w:b/>
          <w:bCs w:val="0"/>
          <w:sz w:val="24"/>
          <w:szCs w:val="24"/>
          <w:lang w:val="en-US" w:eastAsia="zh-CN"/>
        </w:rPr>
        <w:t>技术格式（暗标部分）</w:t>
      </w:r>
    </w:p>
    <w:p w14:paraId="0829D8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val="en-US" w:eastAsia="zh-CN"/>
        </w:rPr>
      </w:pPr>
    </w:p>
    <w:p w14:paraId="37BD41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color w:val="000000"/>
          <w:sz w:val="24"/>
          <w:szCs w:val="24"/>
          <w:lang w:val="en-US" w:eastAsia="zh-CN"/>
        </w:rPr>
        <w:t>1.</w:t>
      </w:r>
      <w:r>
        <w:rPr>
          <w:rFonts w:hint="eastAsia" w:asciiTheme="minorEastAsia" w:hAnsiTheme="minorEastAsia" w:eastAsiaTheme="minorEastAsia" w:cstheme="minorEastAsia"/>
          <w:b/>
          <w:bCs w:val="0"/>
          <w:sz w:val="24"/>
          <w:szCs w:val="24"/>
          <w:lang w:eastAsia="zh-CN"/>
        </w:rPr>
        <w:t>整体项目技术方案</w:t>
      </w:r>
    </w:p>
    <w:p w14:paraId="3C6411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lang w:eastAsia="zh-CN"/>
        </w:rPr>
        <w:t>运输、安装及调试验收方案</w:t>
      </w:r>
    </w:p>
    <w:p w14:paraId="17802D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培训方案</w:t>
      </w:r>
    </w:p>
    <w:p w14:paraId="5323BB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售后服务方案</w:t>
      </w:r>
    </w:p>
    <w:p w14:paraId="755BDF75">
      <w:pPr>
        <w:keepNext w:val="0"/>
        <w:keepLines w:val="0"/>
        <w:pageBreakBefore w:val="0"/>
        <w:kinsoku/>
        <w:wordWrap w:val="0"/>
        <w:overflowPunct/>
        <w:topLinePunct w:val="0"/>
        <w:bidi w:val="0"/>
        <w:spacing w:line="360" w:lineRule="auto"/>
        <w:jc w:val="both"/>
        <w:rPr>
          <w:rFonts w:hint="default"/>
          <w:lang w:val="en-US"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合理化建议</w:t>
      </w:r>
    </w:p>
    <w:p w14:paraId="73D9371E">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42B90E7">
      <w:pPr>
        <w:pStyle w:val="4"/>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230E8D9">
      <w:pP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6C630A8">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7E0F04B">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89C89BB">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8F7FA9C">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1BEFBA7">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4872F939">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0D68047">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142A5204">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287CAA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0AC932ED">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4145997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37F2D9C">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2386CDFD">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08140C3D">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027D2BD8">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836845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1E55E3F2">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29F1795">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F6A6200">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6D9272E3">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375191A">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459ECB2C">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156893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2DA64F41">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pacing w:val="0"/>
          <w:w w:val="100"/>
          <w:kern w:val="0"/>
          <w:position w:val="0"/>
          <w:sz w:val="24"/>
          <w:szCs w:val="24"/>
          <w:lang w:val="en-US" w:eastAsia="zh-CN"/>
        </w:rPr>
      </w:pPr>
      <w:r>
        <w:rPr>
          <w:rFonts w:hint="eastAsia" w:asciiTheme="minorEastAsia" w:hAnsiTheme="minorEastAsia" w:eastAsiaTheme="minorEastAsia" w:cstheme="minorEastAsia"/>
          <w:spacing w:val="0"/>
          <w:w w:val="100"/>
          <w:kern w:val="0"/>
          <w:position w:val="0"/>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、商务技术文件格式</w:t>
      </w:r>
    </w:p>
    <w:p w14:paraId="6D00C4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14:textOutline w14:w="1537" w14:cap="flat" w14:cmpd="sng">
            <w14:solidFill>
              <w14:srgbClr w14:val="000000"/>
            </w14:solidFill>
            <w14:prstDash w14:val="solid"/>
            <w14:miter w14:val="0"/>
          </w14:textOutline>
        </w:rPr>
        <w:t>1.投标书格式</w:t>
      </w:r>
    </w:p>
    <w:p w14:paraId="0461EEF7">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bCs/>
          <w:spacing w:val="0"/>
          <w:w w:val="100"/>
          <w:kern w:val="0"/>
          <w:position w:val="0"/>
          <w:sz w:val="24"/>
          <w:szCs w:val="24"/>
          <w:lang w:eastAsia="zh-CN"/>
        </w:rPr>
        <w:t>投标书</w:t>
      </w:r>
    </w:p>
    <w:p w14:paraId="2A1B93F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p>
    <w:p w14:paraId="5BD9F06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致：</w:t>
      </w:r>
      <w:r>
        <w:rPr>
          <w:rFonts w:hint="eastAsia" w:asciiTheme="minorEastAsia" w:hAnsiTheme="minorEastAsia" w:eastAsiaTheme="minorEastAsia" w:cstheme="minorEastAsia"/>
          <w:b w:val="0"/>
          <w:bCs w:val="0"/>
          <w:spacing w:val="0"/>
          <w:w w:val="100"/>
          <w:kern w:val="0"/>
          <w:position w:val="0"/>
          <w:sz w:val="24"/>
          <w:szCs w:val="24"/>
          <w:u w:val="single"/>
          <w:lang w:eastAsia="zh-CN"/>
        </w:rPr>
        <w:t>采购人或采购代理机构</w:t>
      </w:r>
    </w:p>
    <w:p w14:paraId="3E3D98A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根据贵方招标编号为（</w:t>
      </w:r>
      <w:r>
        <w:rPr>
          <w:rFonts w:hint="eastAsia" w:asciiTheme="minorEastAsia" w:hAnsiTheme="minorEastAsia" w:eastAsiaTheme="minorEastAsia" w:cstheme="minorEastAsia"/>
          <w:b w:val="0"/>
          <w:bCs w:val="0"/>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pacing w:val="0"/>
          <w:w w:val="100"/>
          <w:kern w:val="0"/>
          <w:position w:val="0"/>
          <w:sz w:val="24"/>
          <w:szCs w:val="24"/>
          <w:lang w:eastAsia="zh-CN"/>
        </w:rPr>
        <w:t>）的公开招标公告，签字代表</w:t>
      </w:r>
      <w:r>
        <w:rPr>
          <w:rFonts w:hint="eastAsia" w:asciiTheme="minorEastAsia" w:hAnsiTheme="minorEastAsia" w:eastAsiaTheme="minorEastAsia" w:cstheme="minorEastAsia"/>
          <w:b w:val="0"/>
          <w:bCs w:val="0"/>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pacing w:val="0"/>
          <w:w w:val="100"/>
          <w:kern w:val="0"/>
          <w:position w:val="0"/>
          <w:sz w:val="24"/>
          <w:szCs w:val="24"/>
          <w:lang w:eastAsia="zh-CN"/>
        </w:rPr>
        <w:t>（全名、职务）经正式授权并代表投标人</w:t>
      </w:r>
      <w:r>
        <w:rPr>
          <w:rFonts w:hint="eastAsia" w:asciiTheme="minorEastAsia" w:hAnsiTheme="minorEastAsia" w:eastAsiaTheme="minorEastAsia" w:cstheme="minorEastAsia"/>
          <w:b w:val="0"/>
          <w:bCs w:val="0"/>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pacing w:val="0"/>
          <w:w w:val="100"/>
          <w:kern w:val="0"/>
          <w:position w:val="0"/>
          <w:sz w:val="24"/>
          <w:szCs w:val="24"/>
          <w:lang w:eastAsia="zh-CN"/>
        </w:rPr>
        <w:t>（投标人名称、地址）提交电子投标文件一份，并对之负法律责任。</w:t>
      </w:r>
    </w:p>
    <w:p w14:paraId="0BBEF3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投标文件组成资格证明文件第1至</w:t>
      </w:r>
      <w:r>
        <w:rPr>
          <w:rFonts w:hint="eastAsia" w:asciiTheme="minorEastAsia" w:hAnsiTheme="minorEastAsia" w:eastAsiaTheme="minorEastAsia" w:cstheme="minorEastAsia"/>
          <w:b w:val="0"/>
          <w:bCs w:val="0"/>
          <w:color w:val="auto"/>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color w:val="auto"/>
          <w:spacing w:val="0"/>
          <w:w w:val="100"/>
          <w:kern w:val="0"/>
          <w:position w:val="0"/>
          <w:sz w:val="24"/>
          <w:szCs w:val="24"/>
          <w:lang w:eastAsia="zh-CN"/>
        </w:rPr>
        <w:t>项</w:t>
      </w:r>
      <w:r>
        <w:rPr>
          <w:rFonts w:hint="eastAsia" w:asciiTheme="minorEastAsia" w:hAnsiTheme="minorEastAsia" w:eastAsiaTheme="minorEastAsia" w:cstheme="minorEastAsia"/>
          <w:b w:val="0"/>
          <w:bCs w:val="0"/>
          <w:spacing w:val="0"/>
          <w:w w:val="100"/>
          <w:kern w:val="0"/>
          <w:position w:val="0"/>
          <w:sz w:val="24"/>
          <w:szCs w:val="24"/>
          <w:lang w:eastAsia="zh-CN"/>
        </w:rPr>
        <w:t>，商务技术文件第1</w:t>
      </w:r>
      <w:r>
        <w:rPr>
          <w:rFonts w:hint="eastAsia" w:asciiTheme="minorEastAsia" w:hAnsiTheme="minorEastAsia" w:eastAsiaTheme="minorEastAsia" w:cstheme="minorEastAsia"/>
          <w:b w:val="0"/>
          <w:bCs w:val="0"/>
          <w:color w:val="auto"/>
          <w:spacing w:val="0"/>
          <w:w w:val="100"/>
          <w:kern w:val="0"/>
          <w:position w:val="0"/>
          <w:sz w:val="24"/>
          <w:szCs w:val="24"/>
          <w:lang w:eastAsia="zh-CN"/>
        </w:rPr>
        <w:t>至</w:t>
      </w:r>
      <w:r>
        <w:rPr>
          <w:rFonts w:hint="eastAsia" w:asciiTheme="minorEastAsia" w:hAnsiTheme="minorEastAsia" w:eastAsiaTheme="minorEastAsia" w:cstheme="minorEastAsia"/>
          <w:b w:val="0"/>
          <w:bCs w:val="0"/>
          <w:color w:val="auto"/>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color w:val="auto"/>
          <w:spacing w:val="0"/>
          <w:w w:val="100"/>
          <w:kern w:val="0"/>
          <w:position w:val="0"/>
          <w:sz w:val="24"/>
          <w:szCs w:val="24"/>
          <w:lang w:eastAsia="zh-CN"/>
        </w:rPr>
        <w:t>项</w:t>
      </w:r>
      <w:r>
        <w:rPr>
          <w:rFonts w:hint="eastAsia" w:asciiTheme="minorEastAsia" w:hAnsiTheme="minorEastAsia" w:eastAsiaTheme="minorEastAsia" w:cstheme="minorEastAsia"/>
          <w:b w:val="0"/>
          <w:bCs w:val="0"/>
          <w:spacing w:val="0"/>
          <w:w w:val="100"/>
          <w:kern w:val="0"/>
          <w:position w:val="0"/>
          <w:sz w:val="24"/>
          <w:szCs w:val="24"/>
          <w:lang w:eastAsia="zh-CN"/>
        </w:rPr>
        <w:t>。</w:t>
      </w:r>
    </w:p>
    <w:p w14:paraId="4B8314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据此函，签字代表宣布同意如下：</w:t>
      </w:r>
    </w:p>
    <w:p w14:paraId="521049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1、所附服务报价为以开标一览表为准。</w:t>
      </w:r>
    </w:p>
    <w:p w14:paraId="54A03C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2、如果我们的投标书被接受，我们将履行招标文件中规定的每一项要求，按期、按质、按量履行合同。</w:t>
      </w:r>
    </w:p>
    <w:p w14:paraId="38CE0F9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3、我方愿按《中华人民共和国政府采购法》和《中华人民共和国民法典》履行我方的全部责任。</w:t>
      </w:r>
    </w:p>
    <w:p w14:paraId="434901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4、我方已详细审查全部招标文件，包括修改文件以及全部参考资料和有关附件。我们完全理解并同意放弃对这方面有不明白及误解的权力。</w:t>
      </w:r>
    </w:p>
    <w:p w14:paraId="633BD1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5、本投标自开标之日起有效期为60天。</w:t>
      </w:r>
    </w:p>
    <w:p w14:paraId="6DAB540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地址：</w:t>
      </w:r>
    </w:p>
    <w:p w14:paraId="583E57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电话（传真）：</w:t>
      </w:r>
    </w:p>
    <w:p w14:paraId="42B193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法定代表人（负责人）或授权代表（签字）：</w:t>
      </w:r>
    </w:p>
    <w:p w14:paraId="22EBFF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投标人名称（公章）：</w:t>
      </w:r>
    </w:p>
    <w:p w14:paraId="7B018E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pacing w:val="0"/>
          <w:w w:val="100"/>
          <w:kern w:val="0"/>
          <w:position w:val="0"/>
          <w:sz w:val="24"/>
          <w:szCs w:val="24"/>
          <w:lang w:eastAsia="zh-CN"/>
        </w:rPr>
        <w:t>日期：</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36CC345C">
      <w:pPr>
        <w:keepNext w:val="0"/>
        <w:keepLines w:val="0"/>
        <w:pageBreakBefore w:val="0"/>
        <w:kinsoku/>
        <w:wordWrap w:val="0"/>
        <w:overflowPunct/>
        <w:topLinePunct w:val="0"/>
        <w:bidi w:val="0"/>
        <w:jc w:val="both"/>
        <w:rPr>
          <w:rFonts w:hint="eastAsia" w:ascii="宋体" w:hAnsi="宋体"/>
          <w:b/>
          <w:spacing w:val="0"/>
          <w:w w:val="100"/>
          <w:kern w:val="0"/>
          <w:position w:val="0"/>
          <w:sz w:val="24"/>
          <w:szCs w:val="24"/>
        </w:rPr>
      </w:pPr>
      <w:r>
        <w:rPr>
          <w:rFonts w:hint="eastAsia" w:ascii="宋体" w:hAnsi="宋体"/>
          <w:b/>
          <w:spacing w:val="0"/>
          <w:w w:val="100"/>
          <w:kern w:val="0"/>
          <w:position w:val="0"/>
          <w:sz w:val="24"/>
          <w:szCs w:val="24"/>
          <w:lang w:val="en-US" w:eastAsia="zh-CN"/>
        </w:rPr>
        <w:t>2</w:t>
      </w:r>
      <w:r>
        <w:rPr>
          <w:rFonts w:hint="eastAsia" w:ascii="宋体" w:hAnsi="宋体"/>
          <w:b/>
          <w:spacing w:val="0"/>
          <w:w w:val="100"/>
          <w:kern w:val="0"/>
          <w:position w:val="0"/>
          <w:sz w:val="24"/>
          <w:szCs w:val="24"/>
          <w:lang w:eastAsia="zh-CN"/>
        </w:rPr>
        <w:t>、投标分项报价一览表</w:t>
      </w:r>
    </w:p>
    <w:p w14:paraId="6C671FE4">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pacing w:val="0"/>
          <w:w w:val="100"/>
          <w:kern w:val="0"/>
          <w:position w:val="0"/>
          <w:sz w:val="28"/>
          <w:szCs w:val="28"/>
          <w:lang w:eastAsia="zh-CN"/>
        </w:rPr>
      </w:pPr>
      <w:r>
        <w:rPr>
          <w:rFonts w:hint="eastAsia" w:asciiTheme="minorEastAsia" w:hAnsiTheme="minorEastAsia" w:eastAsiaTheme="minorEastAsia" w:cstheme="minorEastAsia"/>
          <w:b/>
          <w:spacing w:val="0"/>
          <w:w w:val="100"/>
          <w:kern w:val="0"/>
          <w:position w:val="0"/>
          <w:sz w:val="24"/>
          <w:szCs w:val="24"/>
        </w:rPr>
        <w:t>投标</w:t>
      </w:r>
      <w:r>
        <w:rPr>
          <w:rFonts w:hint="eastAsia" w:asciiTheme="minorEastAsia" w:hAnsiTheme="minorEastAsia" w:eastAsiaTheme="minorEastAsia" w:cstheme="minorEastAsia"/>
          <w:b/>
          <w:spacing w:val="0"/>
          <w:w w:val="100"/>
          <w:kern w:val="0"/>
          <w:position w:val="0"/>
          <w:sz w:val="24"/>
          <w:szCs w:val="24"/>
          <w:lang w:eastAsia="zh-CN"/>
        </w:rPr>
        <w:t>分项</w:t>
      </w:r>
      <w:r>
        <w:rPr>
          <w:rFonts w:hint="eastAsia" w:asciiTheme="minorEastAsia" w:hAnsiTheme="minorEastAsia" w:eastAsiaTheme="minorEastAsia" w:cstheme="minorEastAsia"/>
          <w:b/>
          <w:spacing w:val="0"/>
          <w:w w:val="100"/>
          <w:kern w:val="0"/>
          <w:position w:val="0"/>
          <w:sz w:val="24"/>
          <w:szCs w:val="24"/>
        </w:rPr>
        <w:t>报价一览表</w:t>
      </w:r>
    </w:p>
    <w:tbl>
      <w:tblPr>
        <w:tblStyle w:val="16"/>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1DCA0542">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A1E1B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46E8B0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4"/>
                <w:szCs w:val="24"/>
                <w:lang w:eastAsia="zh-CN"/>
              </w:rPr>
            </w:pPr>
          </w:p>
        </w:tc>
        <w:tc>
          <w:tcPr>
            <w:tcW w:w="850" w:type="dxa"/>
            <w:tcBorders>
              <w:top w:val="nil"/>
              <w:left w:val="nil"/>
              <w:bottom w:val="single" w:color="auto" w:sz="4" w:space="0"/>
              <w:right w:val="nil"/>
            </w:tcBorders>
            <w:noWrap w:val="0"/>
            <w:vAlign w:val="center"/>
          </w:tcPr>
          <w:p w14:paraId="461DED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4"/>
                <w:szCs w:val="24"/>
                <w:lang w:eastAsia="zh-CN"/>
              </w:rPr>
            </w:pPr>
          </w:p>
        </w:tc>
        <w:tc>
          <w:tcPr>
            <w:tcW w:w="993" w:type="dxa"/>
            <w:tcBorders>
              <w:top w:val="nil"/>
              <w:left w:val="nil"/>
              <w:bottom w:val="single" w:color="auto" w:sz="4" w:space="0"/>
              <w:right w:val="nil"/>
            </w:tcBorders>
            <w:noWrap w:val="0"/>
            <w:vAlign w:val="center"/>
          </w:tcPr>
          <w:p w14:paraId="7564D8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4"/>
                <w:szCs w:val="24"/>
                <w:lang w:eastAsia="zh-CN"/>
              </w:rPr>
            </w:pPr>
          </w:p>
        </w:tc>
        <w:tc>
          <w:tcPr>
            <w:tcW w:w="2693" w:type="dxa"/>
            <w:gridSpan w:val="2"/>
            <w:tcBorders>
              <w:top w:val="nil"/>
              <w:left w:val="nil"/>
              <w:bottom w:val="single" w:color="auto" w:sz="4" w:space="0"/>
              <w:right w:val="nil"/>
            </w:tcBorders>
            <w:noWrap w:val="0"/>
            <w:vAlign w:val="center"/>
          </w:tcPr>
          <w:p w14:paraId="47758B4D">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项目编号：</w:t>
            </w:r>
          </w:p>
        </w:tc>
        <w:tc>
          <w:tcPr>
            <w:tcW w:w="1843" w:type="dxa"/>
            <w:tcBorders>
              <w:top w:val="nil"/>
              <w:left w:val="nil"/>
              <w:bottom w:val="single" w:color="auto" w:sz="4" w:space="0"/>
              <w:right w:val="nil"/>
            </w:tcBorders>
            <w:noWrap w:val="0"/>
            <w:vAlign w:val="center"/>
          </w:tcPr>
          <w:p w14:paraId="6749D6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p>
        </w:tc>
      </w:tr>
      <w:tr w14:paraId="28282DE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7E1AEB">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6026DBB">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B305A">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9A69B67">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338FDB7">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635C4D">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09B121">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58D4B0">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0E4501">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C8828E">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交货安装时间</w:t>
            </w:r>
          </w:p>
        </w:tc>
      </w:tr>
      <w:tr w14:paraId="7FAF22C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6B96C8C">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A2921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0BA81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163BE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85D83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FD731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2ED8D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8EBB5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BB7E1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3832F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4E0A46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3462F2D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575952E">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69D2F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0878D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C7BB9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D8B11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E83D8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EAE46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B4A2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78D9F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1DACA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7E03E2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13C03B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B82F64">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DEF0B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3F8E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9451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DAB7D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66CA4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87998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D6F7A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D2BF2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EF3B5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69EAAC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71358CB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91B053">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5AACC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79910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5E9D9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4BC3E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CE4BD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06273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5F9A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A502B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4F630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170319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5F7FD17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DEB66DE">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14B9C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CE3D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D5C7F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39C8C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0E34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46B50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8F3F3E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7B6C1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CED35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702E5A0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03FF56D">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4CE13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92C81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7089B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DF9BC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CFF9D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D4D8C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C25F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C1E6F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4A821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5E5A53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47D551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86C3975">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4C4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40AD4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1B3FC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7662F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94E49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88BB8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920FC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A442C0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D1BD1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497C6D77">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5D1A194B">
            <w:pPr>
              <w:keepNext w:val="0"/>
              <w:keepLines w:val="0"/>
              <w:pageBreakBefore w:val="0"/>
              <w:kinsoku/>
              <w:wordWrap w:val="0"/>
              <w:overflowPunct/>
              <w:topLinePunct w:val="0"/>
              <w:bidi w:val="0"/>
              <w:spacing w:line="24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投标报价金额合计（大写）：</w:t>
            </w:r>
          </w:p>
        </w:tc>
      </w:tr>
    </w:tbl>
    <w:p w14:paraId="480F92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p>
    <w:p w14:paraId="303EC57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法定代表人（负责人）或授权代表（签字）：</w:t>
      </w:r>
    </w:p>
    <w:p w14:paraId="519D59B2">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val="en-US" w:eastAsia="zh-CN"/>
        </w:rPr>
        <w:t>日期</w:t>
      </w:r>
      <w:r>
        <w:rPr>
          <w:rFonts w:hint="eastAsia" w:asciiTheme="minorEastAsia" w:hAnsiTheme="minorEastAsia" w:eastAsiaTheme="minorEastAsia" w:cstheme="minorEastAsia"/>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6C6DE0E9">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pPr>
    </w:p>
    <w:p w14:paraId="4A6D4D59">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35A2D3FE">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pacing w:val="0"/>
          <w:w w:val="100"/>
          <w:kern w:val="0"/>
          <w:position w:val="0"/>
          <w:sz w:val="24"/>
          <w:szCs w:val="24"/>
          <w:lang w:val="en-US" w:eastAsia="zh-CN"/>
        </w:rPr>
      </w:pPr>
    </w:p>
    <w:p w14:paraId="1BC877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pacing w:val="0"/>
          <w:w w:val="100"/>
          <w:kern w:val="0"/>
          <w:position w:val="0"/>
          <w:sz w:val="24"/>
          <w:szCs w:val="24"/>
          <w:lang w:eastAsia="zh-CN"/>
        </w:rPr>
      </w:pPr>
      <w:r>
        <w:rPr>
          <w:rFonts w:hint="eastAsia" w:asciiTheme="minorEastAsia" w:hAnsiTheme="minorEastAsia" w:eastAsiaTheme="minorEastAsia" w:cstheme="minorEastAsia"/>
          <w:b/>
          <w:bCs w:val="0"/>
          <w:spacing w:val="0"/>
          <w:w w:val="100"/>
          <w:kern w:val="0"/>
          <w:position w:val="0"/>
          <w:sz w:val="24"/>
          <w:szCs w:val="24"/>
          <w:lang w:val="en-US" w:eastAsia="zh-CN"/>
        </w:rPr>
        <w:t>3.</w:t>
      </w:r>
      <w:r>
        <w:rPr>
          <w:rFonts w:hint="eastAsia" w:asciiTheme="minorEastAsia" w:hAnsiTheme="minorEastAsia" w:eastAsiaTheme="minorEastAsia" w:cstheme="minorEastAsia"/>
          <w:b/>
          <w:bCs w:val="0"/>
          <w:spacing w:val="0"/>
          <w:w w:val="100"/>
          <w:kern w:val="0"/>
          <w:position w:val="0"/>
          <w:sz w:val="24"/>
          <w:szCs w:val="24"/>
          <w:lang w:eastAsia="zh-CN"/>
        </w:rPr>
        <w:t>主要设备技术指标及技术性能说明</w:t>
      </w:r>
    </w:p>
    <w:p w14:paraId="2DF395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b/>
          <w:bCs w:val="0"/>
          <w:color w:val="000000"/>
          <w:spacing w:val="0"/>
          <w:w w:val="100"/>
          <w:kern w:val="0"/>
          <w:position w:val="0"/>
          <w:sz w:val="24"/>
          <w:szCs w:val="24"/>
          <w:lang w:val="en-US" w:eastAsia="zh-CN"/>
        </w:rPr>
        <w:t>4.</w:t>
      </w:r>
      <w:r>
        <w:rPr>
          <w:rFonts w:hint="eastAsia" w:asciiTheme="minorEastAsia" w:hAnsiTheme="minorEastAsia" w:eastAsiaTheme="minorEastAsia" w:cstheme="minorEastAsia"/>
          <w:b/>
          <w:bCs w:val="0"/>
          <w:spacing w:val="0"/>
          <w:w w:val="100"/>
          <w:kern w:val="0"/>
          <w:position w:val="0"/>
          <w:sz w:val="24"/>
          <w:szCs w:val="24"/>
          <w:lang w:eastAsia="zh-CN"/>
        </w:rPr>
        <w:t>技术偏差情况</w:t>
      </w:r>
    </w:p>
    <w:p w14:paraId="264B20AC">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lang w:bidi="en-US"/>
        </w:rPr>
      </w:pPr>
    </w:p>
    <w:p w14:paraId="666F108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pacing w:val="0"/>
          <w:w w:val="100"/>
          <w:kern w:val="0"/>
          <w:position w:val="0"/>
          <w:sz w:val="24"/>
          <w:szCs w:val="24"/>
          <w:lang w:eastAsia="zh-CN"/>
        </w:rPr>
      </w:pPr>
    </w:p>
    <w:p w14:paraId="6FB1E15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b/>
          <w:bCs/>
          <w:spacing w:val="0"/>
          <w:w w:val="100"/>
          <w:kern w:val="0"/>
          <w:position w:val="0"/>
          <w:sz w:val="24"/>
          <w:szCs w:val="24"/>
          <w:lang w:eastAsia="zh-CN"/>
        </w:rPr>
        <w:t>技术规格偏离表</w:t>
      </w:r>
    </w:p>
    <w:p w14:paraId="031570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p w14:paraId="1727F6C1">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项目名称:</w:t>
      </w:r>
      <w:r>
        <w:rPr>
          <w:rFonts w:hint="eastAsia" w:asciiTheme="minorEastAsia" w:hAnsiTheme="minorEastAsia" w:eastAsiaTheme="minorEastAsia" w:cstheme="minorEastAsia"/>
          <w:spacing w:val="0"/>
          <w:w w:val="100"/>
          <w:kern w:val="0"/>
          <w:position w:val="0"/>
          <w:sz w:val="24"/>
          <w:szCs w:val="24"/>
          <w:lang w:val="en-US" w:eastAsia="zh-CN"/>
        </w:rPr>
        <w:t xml:space="preserve">                                  </w:t>
      </w:r>
      <w:r>
        <w:rPr>
          <w:rFonts w:hint="eastAsia" w:asciiTheme="minorEastAsia" w:hAnsiTheme="minorEastAsia" w:eastAsiaTheme="minorEastAsia" w:cstheme="minorEastAsia"/>
          <w:spacing w:val="0"/>
          <w:w w:val="100"/>
          <w:kern w:val="0"/>
          <w:position w:val="0"/>
          <w:sz w:val="24"/>
          <w:szCs w:val="24"/>
          <w:lang w:eastAsia="zh-CN"/>
        </w:rPr>
        <w:t>项目编号:</w:t>
      </w:r>
    </w:p>
    <w:tbl>
      <w:tblPr>
        <w:tblStyle w:val="1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74BB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45954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AE30C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9A79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DBA51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90D1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055D5C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说明</w:t>
            </w:r>
          </w:p>
        </w:tc>
      </w:tr>
      <w:tr w14:paraId="696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57AC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74125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B3D2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043EB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8FD58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D2A0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D06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C496A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9DB3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3DBD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C109F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3B87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0F50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1B82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C4FA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FB32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2863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510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3DD4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7E3B8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873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0AD4F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9D6F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3D22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E52D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BDF6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2C03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0EDD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1A433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6CD57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CC9C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FF6E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AEE3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627B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77D1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406D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95D58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FFBEC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B16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B0B2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3C376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214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F1BE2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E6FFBE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5929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49866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5BEA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5CE6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5D58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729E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1064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E3399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A501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10D6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830E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1952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651D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EAD5C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FC65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01995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0089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CC038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C4A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AA9B6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B28C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12BF0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2BC6B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C476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D580D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3AB0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6852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5197E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35FF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E710DF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A57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9830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4E25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A03D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9CD1C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6D3A2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7DC3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17D0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A0A91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01B9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D856E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167D9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62DD1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47EED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C0C6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2313A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07A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AF0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553E4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CDC5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572E8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BB8D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A875D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5516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27E63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C8897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59B4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D1D4C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AE30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A35E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bl>
    <w:p w14:paraId="11C634F5">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投标人（公章）：</w:t>
      </w:r>
    </w:p>
    <w:p w14:paraId="2B181380">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法定代表人（负责人）或授权代表（签字）：</w:t>
      </w:r>
    </w:p>
    <w:p w14:paraId="71DFAEF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日期</w:t>
      </w:r>
      <w:r>
        <w:rPr>
          <w:rFonts w:hint="eastAsia" w:asciiTheme="minorEastAsia" w:hAnsiTheme="minorEastAsia" w:eastAsiaTheme="minorEastAsia" w:cstheme="minorEastAsia"/>
          <w:b/>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日</w:t>
      </w:r>
    </w:p>
    <w:p w14:paraId="77CC13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709A7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7DFDF72C">
      <w:pPr>
        <w:pStyle w:val="20"/>
        <w:rPr>
          <w:rFonts w:hint="eastAsia"/>
          <w:lang w:val="en-US" w:eastAsia="zh-CN"/>
        </w:rPr>
      </w:pPr>
    </w:p>
    <w:p w14:paraId="5B2B18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5.</w:t>
      </w:r>
      <w:r>
        <w:rPr>
          <w:rFonts w:hint="eastAsia" w:asciiTheme="minorEastAsia" w:hAnsiTheme="minorEastAsia" w:eastAsiaTheme="minorEastAsia" w:cstheme="minorEastAsia"/>
          <w:b/>
          <w:spacing w:val="0"/>
          <w:w w:val="100"/>
          <w:kern w:val="0"/>
          <w:position w:val="0"/>
          <w:sz w:val="24"/>
          <w:szCs w:val="24"/>
          <w:lang w:eastAsia="zh-CN"/>
        </w:rPr>
        <w:t>商务偏差表格式</w:t>
      </w:r>
    </w:p>
    <w:p w14:paraId="0BDE3582">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pacing w:val="0"/>
          <w:w w:val="100"/>
          <w:kern w:val="0"/>
          <w:position w:val="0"/>
          <w:sz w:val="24"/>
          <w:szCs w:val="24"/>
          <w:lang w:eastAsia="zh-CN"/>
        </w:rPr>
      </w:pPr>
    </w:p>
    <w:p w14:paraId="2AFF2E3C">
      <w:pPr>
        <w:keepNext w:val="0"/>
        <w:keepLines w:val="0"/>
        <w:pageBreakBefore w:val="0"/>
        <w:kinsoku/>
        <w:wordWrap w:val="0"/>
        <w:overflowPunct/>
        <w:topLinePunct w:val="0"/>
        <w:bidi w:val="0"/>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商务偏差表</w:t>
      </w:r>
    </w:p>
    <w:p w14:paraId="1751A7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p>
    <w:p w14:paraId="5B99DD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项目名称：</w:t>
      </w:r>
      <w:r>
        <w:rPr>
          <w:rFonts w:hint="eastAsia" w:asciiTheme="minorEastAsia" w:hAnsiTheme="minorEastAsia" w:eastAsiaTheme="minorEastAsia" w:cstheme="minorEastAsia"/>
          <w:spacing w:val="0"/>
          <w:w w:val="100"/>
          <w:kern w:val="0"/>
          <w:position w:val="0"/>
          <w:sz w:val="24"/>
          <w:szCs w:val="24"/>
          <w:lang w:val="en-US" w:eastAsia="zh-CN"/>
        </w:rPr>
        <w:t xml:space="preserve">                              </w:t>
      </w:r>
      <w:r>
        <w:rPr>
          <w:rFonts w:hint="eastAsia" w:asciiTheme="minorEastAsia" w:hAnsiTheme="minorEastAsia" w:eastAsiaTheme="minorEastAsia" w:cstheme="minorEastAsia"/>
          <w:spacing w:val="0"/>
          <w:w w:val="100"/>
          <w:kern w:val="0"/>
          <w:position w:val="0"/>
          <w:sz w:val="24"/>
          <w:szCs w:val="24"/>
          <w:lang w:eastAsia="zh-CN"/>
        </w:rPr>
        <w:t>项目编号：</w:t>
      </w:r>
    </w:p>
    <w:tbl>
      <w:tblPr>
        <w:tblStyle w:val="16"/>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4CC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7B21F2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1302DB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招标文件</w:t>
            </w:r>
          </w:p>
          <w:p w14:paraId="4800817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21742D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1931E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54D54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结论</w:t>
            </w:r>
          </w:p>
        </w:tc>
      </w:tr>
      <w:tr w14:paraId="5CC6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CE8343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DC91A8C">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B6B7F8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9D251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83BC6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4548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C49843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9F26916">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8644B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1D7931">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17DCB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6E89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A90107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5E74E1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A0E474">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FD5779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7E8E09">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5F0F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D8FC67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EC8881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77341F8">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C59161">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2C933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2427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04179E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D51C78">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891F761">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F678E34">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1D47D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084F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DD304B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8DCD1A">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4AD021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6B418C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3A3AEC">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02E4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DB8EB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B329E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581CA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4FF793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D6379C">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0CF1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0AB229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3BD82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937463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86DC1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C8AD6A">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6841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58F648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41C2DB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285F5F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AA92B7">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2DBD3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2D70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6A99C5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2912084">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FE5B1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45DC48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CA3A9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2A2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EB3BC3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56FE458">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B5BE67">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A02819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4A73D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bl>
    <w:p w14:paraId="1ED5CB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投标人（公章）：</w:t>
      </w:r>
    </w:p>
    <w:p w14:paraId="7286F1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法定代表人（负责人）或授权代表（签字）：</w:t>
      </w:r>
    </w:p>
    <w:p w14:paraId="0A72DC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日期</w:t>
      </w:r>
      <w:r>
        <w:rPr>
          <w:rFonts w:hint="eastAsia" w:asciiTheme="minorEastAsia" w:hAnsiTheme="minorEastAsia" w:eastAsiaTheme="minorEastAsia" w:cstheme="minorEastAsia"/>
          <w:b/>
          <w:spacing w:val="0"/>
          <w:w w:val="100"/>
          <w:kern w:val="0"/>
          <w:position w:val="0"/>
          <w:sz w:val="24"/>
          <w:szCs w:val="24"/>
          <w:lang w:eastAsia="zh-CN"/>
        </w:rPr>
        <w:t>：</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日</w:t>
      </w:r>
    </w:p>
    <w:p w14:paraId="22A0BE2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C753D2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0DA1E9B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CEAF45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F5D8FD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0EFD96B">
      <w:pPr>
        <w:rPr>
          <w:rFonts w:hint="eastAsia" w:asciiTheme="minorEastAsia" w:hAnsiTheme="minorEastAsia" w:eastAsiaTheme="minorEastAsia" w:cstheme="minorEastAsia"/>
          <w:b/>
          <w:spacing w:val="0"/>
          <w:w w:val="100"/>
          <w:kern w:val="0"/>
          <w:position w:val="0"/>
          <w:sz w:val="24"/>
          <w:szCs w:val="24"/>
          <w:lang w:val="en-US" w:eastAsia="zh-CN"/>
        </w:rPr>
      </w:pPr>
      <w:r>
        <w:rPr>
          <w:rFonts w:hint="eastAsia" w:asciiTheme="minorEastAsia" w:hAnsiTheme="minorEastAsia" w:eastAsiaTheme="minorEastAsia" w:cstheme="minorEastAsia"/>
          <w:b/>
          <w:spacing w:val="0"/>
          <w:w w:val="100"/>
          <w:kern w:val="0"/>
          <w:position w:val="0"/>
          <w:sz w:val="24"/>
          <w:szCs w:val="24"/>
          <w:lang w:val="en-US" w:eastAsia="zh-CN"/>
        </w:rPr>
        <w:br w:type="page"/>
      </w:r>
    </w:p>
    <w:p w14:paraId="56591300">
      <w:pPr>
        <w:keepNext w:val="0"/>
        <w:keepLines w:val="0"/>
        <w:pageBreakBefore w:val="0"/>
        <w:numPr>
          <w:ilvl w:val="0"/>
          <w:numId w:val="0"/>
        </w:numPr>
        <w:kinsoku/>
        <w:wordWrap w:val="0"/>
        <w:overflowPunct/>
        <w:topLinePunct w:val="0"/>
        <w:bidi w:val="0"/>
        <w:spacing w:line="360" w:lineRule="auto"/>
        <w:jc w:val="both"/>
        <w:rPr>
          <w:rFonts w:hint="default" w:ascii="宋体" w:hAnsi="宋体"/>
          <w:b/>
          <w:spacing w:val="0"/>
          <w:w w:val="100"/>
          <w:kern w:val="0"/>
          <w:position w:val="0"/>
          <w:sz w:val="24"/>
          <w:szCs w:val="24"/>
          <w:lang w:val="en-US" w:eastAsia="zh-CN"/>
        </w:rPr>
      </w:pPr>
      <w:r>
        <w:rPr>
          <w:rFonts w:hint="eastAsia" w:asciiTheme="minorEastAsia" w:hAnsiTheme="minorEastAsia" w:eastAsiaTheme="minorEastAsia" w:cstheme="minorEastAsia"/>
          <w:b/>
          <w:spacing w:val="0"/>
          <w:w w:val="100"/>
          <w:kern w:val="0"/>
          <w:position w:val="0"/>
          <w:sz w:val="24"/>
          <w:szCs w:val="24"/>
          <w:lang w:val="en-US" w:eastAsia="zh-CN"/>
        </w:rPr>
        <w:t>7.服务承诺、人员配备等</w:t>
      </w:r>
    </w:p>
    <w:p w14:paraId="116E9B1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r>
        <w:rPr>
          <w:rFonts w:hint="eastAsia" w:ascii="宋体" w:hAnsi="宋体"/>
          <w:b/>
          <w:spacing w:val="0"/>
          <w:w w:val="100"/>
          <w:kern w:val="0"/>
          <w:position w:val="0"/>
          <w:sz w:val="24"/>
          <w:szCs w:val="24"/>
          <w:lang w:val="en-US" w:eastAsia="zh-CN"/>
        </w:rPr>
        <w:t>8.</w:t>
      </w:r>
      <w:r>
        <w:rPr>
          <w:rFonts w:hint="eastAsia" w:asciiTheme="minorEastAsia" w:hAnsiTheme="minorEastAsia" w:eastAsiaTheme="minorEastAsia" w:cstheme="minorEastAsia"/>
          <w:b/>
          <w:spacing w:val="0"/>
          <w:w w:val="100"/>
          <w:kern w:val="0"/>
          <w:position w:val="0"/>
          <w:sz w:val="24"/>
          <w:szCs w:val="24"/>
          <w:lang w:eastAsia="zh-CN"/>
        </w:rPr>
        <w:t>投标人业绩</w:t>
      </w:r>
    </w:p>
    <w:p w14:paraId="2D9AD18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9.</w:t>
      </w:r>
      <w:r>
        <w:rPr>
          <w:rFonts w:hint="eastAsia" w:asciiTheme="minorEastAsia" w:hAnsiTheme="minorEastAsia" w:eastAsiaTheme="minorEastAsia" w:cstheme="minorEastAsia"/>
          <w:b/>
          <w:spacing w:val="0"/>
          <w:w w:val="100"/>
          <w:kern w:val="0"/>
          <w:position w:val="0"/>
          <w:sz w:val="24"/>
          <w:szCs w:val="24"/>
          <w:lang w:eastAsia="zh-CN"/>
        </w:rPr>
        <w:t>节能产品、环境标志产品明细表</w:t>
      </w:r>
    </w:p>
    <w:p w14:paraId="024ADF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节能产品明细表</w:t>
      </w:r>
    </w:p>
    <w:p w14:paraId="5B0172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tbl>
      <w:tblPr>
        <w:tblStyle w:val="16"/>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266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64A47E1B">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6DD63C">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E104FF4">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品牌</w:t>
            </w:r>
          </w:p>
          <w:p w14:paraId="74D7C88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89205A">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制造商</w:t>
            </w:r>
          </w:p>
          <w:p w14:paraId="3D18E455">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74516E0">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节字标</w:t>
            </w:r>
          </w:p>
          <w:p w14:paraId="742036B7">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志认证</w:t>
            </w:r>
          </w:p>
          <w:p w14:paraId="150371F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501FB8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1921969">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310996">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04A3E0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总价</w:t>
            </w:r>
          </w:p>
        </w:tc>
      </w:tr>
      <w:tr w14:paraId="3CA5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E7F6D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84FB8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1093E2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600FC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CC162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02EB9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5B9D17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93E1DD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BA6AB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3B1F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3ED6E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95CCF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647DD1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A6CC9A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BCF44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0857B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CF986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88D65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61497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444E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6AB96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D4437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7761A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1600F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8A031E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61D5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5EC50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0DCB0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AFBCAE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bl>
    <w:p w14:paraId="0310CE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法定代表人（负责人）或被授权人（签字或盖章）：</w:t>
      </w:r>
    </w:p>
    <w:p w14:paraId="15DC19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投标人（盖章）：</w:t>
      </w:r>
    </w:p>
    <w:p w14:paraId="43A567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3DDF6D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E840D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72C85A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5FB01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7917E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B6763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01DC75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7D6EF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74F37C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00345E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611D40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D1C79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31CBD8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06C00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07B4F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5D066B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D0102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3E6F3E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86B784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环境标志产品明细表</w:t>
      </w:r>
    </w:p>
    <w:p w14:paraId="4F696F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tbl>
      <w:tblPr>
        <w:tblStyle w:val="16"/>
        <w:tblW w:w="8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4901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5337C4B">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34951F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C4BB431">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品牌</w:t>
            </w:r>
          </w:p>
          <w:p w14:paraId="0242DBE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2965CF">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制造商</w:t>
            </w:r>
          </w:p>
          <w:p w14:paraId="5184F7A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87CCB6B">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7EF4EA6">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27FE06">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60AF52">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EB7FFC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总价</w:t>
            </w:r>
          </w:p>
        </w:tc>
      </w:tr>
      <w:tr w14:paraId="6CE5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A7A16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51190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BDD92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2685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79551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DB155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D46BF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1305A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BD978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0518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6EC1A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812D6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87DF49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61B48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BEA1B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5D066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ABD1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8B6D80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B5DCF1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4B37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7894F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D9605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50B1C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8D6A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51CC2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F7B48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EA3981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33221A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F37A2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bl>
    <w:p w14:paraId="2B21CE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法定代表人（负责人）或授权代表（签字）：</w:t>
      </w:r>
    </w:p>
    <w:p w14:paraId="76A6E4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投标人（盖章）：</w:t>
      </w:r>
    </w:p>
    <w:p w14:paraId="6327F3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4DA1C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填报要求：</w:t>
      </w:r>
    </w:p>
    <w:p w14:paraId="7ED20C5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1.本表的设备名称、品牌型号、金额应与货物分项报价一览表一致。</w:t>
      </w:r>
    </w:p>
    <w:p w14:paraId="518BF2C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0A8B817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3.环境标志产品是指财政部、生态环境部发布的《环境标志产品政府采购品目清单》中的产品。投标人须在投标文件中附该产品环保证书，否则评委委员会有权不予认可。</w:t>
      </w:r>
    </w:p>
    <w:p w14:paraId="5968298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4.请投标人正确填写本表，所填内容将作为评审的依据。其内容或数据应与对应的证明资料相符。</w:t>
      </w:r>
    </w:p>
    <w:p w14:paraId="019CB63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pacing w:val="0"/>
          <w:w w:val="100"/>
          <w:kern w:val="0"/>
          <w:position w:val="0"/>
          <w:sz w:val="24"/>
          <w:szCs w:val="24"/>
          <w:lang w:eastAsia="zh-CN"/>
        </w:rPr>
        <w:t>5.没有相关产品可不提供本表。</w:t>
      </w:r>
    </w:p>
    <w:p w14:paraId="6176806C">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pPr>
    </w:p>
    <w:p w14:paraId="560A33EF">
      <w:pPr>
        <w:rPr>
          <w:rFonts w:hint="eastAsia" w:eastAsia="Arial" w:cs="Arial"/>
          <w:b/>
          <w:snapToGrid w:val="0"/>
          <w:color w:val="000000"/>
          <w:spacing w:val="0"/>
          <w:w w:val="100"/>
          <w:kern w:val="0"/>
          <w:position w:val="0"/>
          <w:sz w:val="24"/>
          <w:szCs w:val="24"/>
          <w:lang w:val="en-US" w:eastAsia="zh-CN" w:bidi="ar-SA"/>
        </w:rPr>
      </w:pPr>
      <w:r>
        <w:rPr>
          <w:rFonts w:hint="eastAsia" w:eastAsia="Arial" w:cs="Arial"/>
          <w:b/>
          <w:snapToGrid w:val="0"/>
          <w:color w:val="000000"/>
          <w:spacing w:val="0"/>
          <w:w w:val="100"/>
          <w:kern w:val="0"/>
          <w:position w:val="0"/>
          <w:sz w:val="24"/>
          <w:szCs w:val="24"/>
          <w:lang w:val="en-US" w:eastAsia="zh-CN" w:bidi="ar-SA"/>
        </w:rPr>
        <w:br w:type="page"/>
      </w:r>
    </w:p>
    <w:p w14:paraId="220ED2A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spacing w:val="0"/>
          <w:w w:val="100"/>
          <w:kern w:val="0"/>
          <w:position w:val="0"/>
          <w:sz w:val="24"/>
          <w:szCs w:val="24"/>
          <w:lang w:val="en-US" w:eastAsia="zh-CN" w:bidi="ar-SA"/>
        </w:rPr>
        <w:t>10</w:t>
      </w:r>
      <w:r>
        <w:rPr>
          <w:rFonts w:hint="eastAsia" w:ascii="宋体" w:hAnsi="宋体" w:eastAsia="Arial" w:cs="Arial"/>
          <w:b/>
          <w:snapToGrid w:val="0"/>
          <w:color w:val="000000"/>
          <w:spacing w:val="0"/>
          <w:w w:val="100"/>
          <w:kern w:val="0"/>
          <w:position w:val="0"/>
          <w:sz w:val="24"/>
          <w:szCs w:val="24"/>
          <w:lang w:val="en-US" w:eastAsia="zh-CN" w:bidi="ar-SA"/>
        </w:rPr>
        <w:t>.中小企业、监狱企业或残疾人福利性单位声明函</w:t>
      </w:r>
      <w:r>
        <w:rPr>
          <w:rFonts w:hint="eastAsia" w:eastAsia="Arial" w:cs="Arial"/>
          <w:b/>
          <w:snapToGrid w:val="0"/>
          <w:color w:val="000000"/>
          <w:spacing w:val="0"/>
          <w:w w:val="100"/>
          <w:kern w:val="0"/>
          <w:position w:val="0"/>
          <w:sz w:val="24"/>
          <w:szCs w:val="24"/>
          <w:lang w:val="en-US" w:eastAsia="zh-CN" w:bidi="ar-SA"/>
        </w:rPr>
        <w:t>（对于专门面向中小企业采购的项目必须提供，不专门面向的项目可选择提供）</w:t>
      </w:r>
    </w:p>
    <w:p w14:paraId="5FD973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0"/>
          <w:w w:val="100"/>
          <w:kern w:val="0"/>
          <w:position w:val="0"/>
          <w:sz w:val="36"/>
          <w:szCs w:val="36"/>
        </w:rPr>
      </w:pPr>
      <w:r>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t>中小企业声明函（货物）格式</w:t>
      </w:r>
    </w:p>
    <w:p w14:paraId="6AE690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45E48C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本公司（联合体）郑重声明，根据《政府采购促进中小企业发展管理办法》（财库﹝2020﹞46号）的规定，本公司（联合体）参加（单位名称）的（项目名称）采购活动，</w:t>
      </w:r>
      <w:r>
        <w:rPr>
          <w:rFonts w:hint="eastAsia" w:asciiTheme="minorEastAsia" w:hAnsiTheme="minorEastAsia" w:eastAsiaTheme="minorEastAsia" w:cstheme="minorEastAsia"/>
          <w:spacing w:val="0"/>
          <w:w w:val="100"/>
          <w:kern w:val="0"/>
          <w:position w:val="0"/>
          <w:sz w:val="24"/>
          <w:szCs w:val="24"/>
          <w:lang w:val="en-US" w:eastAsia="zh-CN"/>
        </w:rPr>
        <w:t>提</w:t>
      </w:r>
      <w:r>
        <w:rPr>
          <w:rFonts w:hint="eastAsia" w:asciiTheme="minorEastAsia" w:hAnsiTheme="minorEastAsia" w:eastAsiaTheme="minorEastAsia" w:cstheme="minorEastAsia"/>
          <w:spacing w:val="0"/>
          <w:w w:val="100"/>
          <w:kern w:val="0"/>
          <w:position w:val="0"/>
          <w:sz w:val="24"/>
          <w:szCs w:val="24"/>
        </w:rPr>
        <w:t>供的货物全部由符合政策要求的中小企业制造。相关企业（含联合体中的中小企业、签订分包意向协议的中小企业）的具体情况如下：</w:t>
      </w:r>
    </w:p>
    <w:p w14:paraId="51EC09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1.</w:t>
      </w:r>
      <w:r>
        <w:rPr>
          <w:rFonts w:hint="eastAsia" w:asciiTheme="minorEastAsia" w:hAnsiTheme="minorEastAsia" w:eastAsiaTheme="minorEastAsia" w:cstheme="minorEastAsia"/>
          <w:spacing w:val="0"/>
          <w:w w:val="100"/>
          <w:kern w:val="0"/>
          <w:position w:val="0"/>
          <w:sz w:val="24"/>
          <w:szCs w:val="24"/>
          <w:u w:val="single" w:color="auto"/>
        </w:rPr>
        <w:t>（标的名称）</w:t>
      </w:r>
      <w:r>
        <w:rPr>
          <w:rFonts w:hint="eastAsia" w:asciiTheme="minorEastAsia" w:hAnsiTheme="minorEastAsia" w:eastAsiaTheme="minorEastAsia" w:cstheme="minorEastAsia"/>
          <w:spacing w:val="0"/>
          <w:w w:val="100"/>
          <w:kern w:val="0"/>
          <w:position w:val="0"/>
          <w:sz w:val="24"/>
          <w:szCs w:val="24"/>
        </w:rPr>
        <w:t>，属于</w:t>
      </w:r>
      <w:r>
        <w:rPr>
          <w:rFonts w:hint="eastAsia" w:asciiTheme="minorEastAsia" w:hAnsiTheme="minorEastAsia" w:eastAsiaTheme="minorEastAsia" w:cstheme="minorEastAsia"/>
          <w:spacing w:val="0"/>
          <w:w w:val="100"/>
          <w:kern w:val="0"/>
          <w:position w:val="0"/>
          <w:sz w:val="24"/>
          <w:szCs w:val="24"/>
          <w:u w:val="single" w:color="auto"/>
        </w:rPr>
        <w:t>（采购文件中明确的所属行业）</w:t>
      </w:r>
      <w:r>
        <w:rPr>
          <w:rFonts w:hint="eastAsia" w:asciiTheme="minorEastAsia" w:hAnsiTheme="minorEastAsia" w:eastAsiaTheme="minorEastAsia" w:cstheme="minorEastAsia"/>
          <w:spacing w:val="0"/>
          <w:w w:val="100"/>
          <w:kern w:val="0"/>
          <w:position w:val="0"/>
          <w:sz w:val="24"/>
          <w:szCs w:val="24"/>
        </w:rPr>
        <w:t>行业；制造商为</w:t>
      </w:r>
      <w:r>
        <w:rPr>
          <w:rFonts w:hint="eastAsia" w:asciiTheme="minorEastAsia" w:hAnsiTheme="minorEastAsia" w:eastAsiaTheme="minorEastAsia" w:cstheme="minorEastAsia"/>
          <w:spacing w:val="0"/>
          <w:w w:val="100"/>
          <w:kern w:val="0"/>
          <w:position w:val="0"/>
          <w:sz w:val="24"/>
          <w:szCs w:val="24"/>
          <w:u w:val="single" w:color="auto"/>
        </w:rPr>
        <w:t>（企业名称）</w:t>
      </w:r>
      <w:r>
        <w:rPr>
          <w:rFonts w:hint="eastAsia" w:asciiTheme="minorEastAsia" w:hAnsiTheme="minorEastAsia" w:eastAsiaTheme="minorEastAsia" w:cstheme="minorEastAsia"/>
          <w:spacing w:val="0"/>
          <w:w w:val="100"/>
          <w:kern w:val="0"/>
          <w:position w:val="0"/>
          <w:sz w:val="24"/>
          <w:szCs w:val="24"/>
        </w:rPr>
        <w:t xml:space="preserve">，从业人员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人，营业收入为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 万元，资产总额为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，属于</w:t>
      </w:r>
      <w:r>
        <w:rPr>
          <w:rFonts w:hint="eastAsia" w:asciiTheme="minorEastAsia" w:hAnsiTheme="minorEastAsia" w:eastAsiaTheme="minorEastAsia" w:cstheme="minorEastAsia"/>
          <w:spacing w:val="0"/>
          <w:w w:val="100"/>
          <w:kern w:val="0"/>
          <w:position w:val="0"/>
          <w:sz w:val="24"/>
          <w:szCs w:val="24"/>
          <w:u w:val="single" w:color="auto"/>
        </w:rPr>
        <w:t>（中型企业、小型企业、微型企业）</w:t>
      </w:r>
      <w:r>
        <w:rPr>
          <w:rFonts w:hint="eastAsia" w:asciiTheme="minorEastAsia" w:hAnsiTheme="minorEastAsia" w:eastAsiaTheme="minorEastAsia" w:cstheme="minorEastAsia"/>
          <w:spacing w:val="0"/>
          <w:w w:val="100"/>
          <w:kern w:val="0"/>
          <w:position w:val="0"/>
          <w:sz w:val="24"/>
          <w:szCs w:val="24"/>
        </w:rPr>
        <w:t>；</w:t>
      </w:r>
    </w:p>
    <w:p w14:paraId="05FDA1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2.</w:t>
      </w:r>
      <w:r>
        <w:rPr>
          <w:rFonts w:hint="eastAsia" w:asciiTheme="minorEastAsia" w:hAnsiTheme="minorEastAsia" w:eastAsiaTheme="minorEastAsia" w:cstheme="minorEastAsia"/>
          <w:spacing w:val="0"/>
          <w:w w:val="100"/>
          <w:kern w:val="0"/>
          <w:position w:val="0"/>
          <w:sz w:val="24"/>
          <w:szCs w:val="24"/>
          <w:u w:val="single" w:color="auto"/>
        </w:rPr>
        <w:t>（标的名称）</w:t>
      </w:r>
      <w:r>
        <w:rPr>
          <w:rFonts w:hint="eastAsia" w:asciiTheme="minorEastAsia" w:hAnsiTheme="minorEastAsia" w:eastAsiaTheme="minorEastAsia" w:cstheme="minorEastAsia"/>
          <w:spacing w:val="0"/>
          <w:w w:val="100"/>
          <w:kern w:val="0"/>
          <w:position w:val="0"/>
          <w:sz w:val="24"/>
          <w:szCs w:val="24"/>
        </w:rPr>
        <w:t>，属于</w:t>
      </w:r>
      <w:r>
        <w:rPr>
          <w:rFonts w:hint="eastAsia" w:asciiTheme="minorEastAsia" w:hAnsiTheme="minorEastAsia" w:eastAsiaTheme="minorEastAsia" w:cstheme="minorEastAsia"/>
          <w:spacing w:val="0"/>
          <w:w w:val="100"/>
          <w:kern w:val="0"/>
          <w:position w:val="0"/>
          <w:sz w:val="24"/>
          <w:szCs w:val="24"/>
          <w:u w:val="single" w:color="auto"/>
        </w:rPr>
        <w:t>（采购文件中明确的所属行业）</w:t>
      </w:r>
      <w:r>
        <w:rPr>
          <w:rFonts w:hint="eastAsia" w:asciiTheme="minorEastAsia" w:hAnsiTheme="minorEastAsia" w:eastAsiaTheme="minorEastAsia" w:cstheme="minorEastAsia"/>
          <w:spacing w:val="0"/>
          <w:w w:val="100"/>
          <w:kern w:val="0"/>
          <w:position w:val="0"/>
          <w:sz w:val="24"/>
          <w:szCs w:val="24"/>
        </w:rPr>
        <w:t>行业；制造商为</w:t>
      </w:r>
      <w:r>
        <w:rPr>
          <w:rFonts w:hint="eastAsia" w:asciiTheme="minorEastAsia" w:hAnsiTheme="minorEastAsia" w:eastAsiaTheme="minorEastAsia" w:cstheme="minorEastAsia"/>
          <w:spacing w:val="0"/>
          <w:w w:val="100"/>
          <w:kern w:val="0"/>
          <w:position w:val="0"/>
          <w:sz w:val="24"/>
          <w:szCs w:val="24"/>
          <w:u w:val="single" w:color="auto"/>
        </w:rPr>
        <w:t>（企业名称）</w:t>
      </w:r>
      <w:r>
        <w:rPr>
          <w:rFonts w:hint="eastAsia" w:asciiTheme="minorEastAsia" w:hAnsiTheme="minorEastAsia" w:eastAsiaTheme="minorEastAsia" w:cstheme="minorEastAsia"/>
          <w:spacing w:val="0"/>
          <w:w w:val="100"/>
          <w:kern w:val="0"/>
          <w:position w:val="0"/>
          <w:sz w:val="24"/>
          <w:szCs w:val="24"/>
        </w:rPr>
        <w:t xml:space="preserve">，从业人员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人，营业收入为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 万元，资产总额为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 万元，属于</w:t>
      </w:r>
      <w:r>
        <w:rPr>
          <w:rFonts w:hint="eastAsia" w:asciiTheme="minorEastAsia" w:hAnsiTheme="minorEastAsia" w:eastAsiaTheme="minorEastAsia" w:cstheme="minorEastAsia"/>
          <w:spacing w:val="0"/>
          <w:w w:val="100"/>
          <w:kern w:val="0"/>
          <w:position w:val="0"/>
          <w:sz w:val="24"/>
          <w:szCs w:val="24"/>
          <w:u w:val="single" w:color="auto"/>
        </w:rPr>
        <w:t>（中型企业、小型企业、微型企业）</w:t>
      </w:r>
      <w:r>
        <w:rPr>
          <w:rFonts w:hint="eastAsia" w:asciiTheme="minorEastAsia" w:hAnsiTheme="minorEastAsia" w:eastAsiaTheme="minorEastAsia" w:cstheme="minorEastAsia"/>
          <w:spacing w:val="0"/>
          <w:w w:val="100"/>
          <w:kern w:val="0"/>
          <w:position w:val="0"/>
          <w:sz w:val="24"/>
          <w:szCs w:val="24"/>
        </w:rPr>
        <w:t>；</w:t>
      </w:r>
    </w:p>
    <w:p w14:paraId="718A2F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361BD9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w:t>
      </w:r>
    </w:p>
    <w:p w14:paraId="79B198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以上企业，不属于大企业的分支机构，不存在控股股东为大企业的情形，也不存在与大企业的负责人为同一人的情形。</w:t>
      </w:r>
    </w:p>
    <w:p w14:paraId="7BC2E7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本企业对上述声明内容的真实性负责。如有虚假，将依法承担相应责任。</w:t>
      </w:r>
    </w:p>
    <w:p w14:paraId="0F3360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p>
    <w:p w14:paraId="438CF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0EC62D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60" w:firstLineChars="19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企业名称（盖章）：</w:t>
      </w:r>
    </w:p>
    <w:p w14:paraId="1370FD6C">
      <w:pPr>
        <w:keepNext w:val="0"/>
        <w:keepLines w:val="0"/>
        <w:pageBreakBefore w:val="0"/>
        <w:kinsoku/>
        <w:wordWrap w:val="0"/>
        <w:overflowPunct/>
        <w:topLinePunct w:val="0"/>
        <w:bidi w:val="0"/>
        <w:spacing w:line="360" w:lineRule="auto"/>
        <w:ind w:firstLine="4560" w:firstLineChars="19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 w:val="0"/>
          <w:bCs/>
          <w:spacing w:val="0"/>
          <w:w w:val="100"/>
          <w:kern w:val="0"/>
          <w:position w:val="0"/>
          <w:sz w:val="24"/>
          <w:szCs w:val="24"/>
          <w:u w:val="none"/>
          <w:lang w:val="en-US"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6194E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pacing w:val="0"/>
          <w:w w:val="100"/>
          <w:kern w:val="0"/>
          <w:position w:val="0"/>
          <w:sz w:val="24"/>
          <w:szCs w:val="24"/>
        </w:rPr>
      </w:pPr>
    </w:p>
    <w:p w14:paraId="69CE6D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1D3679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0"/>
          <w:w w:val="100"/>
          <w:kern w:val="0"/>
          <w:position w:val="0"/>
          <w:sz w:val="24"/>
          <w:szCs w:val="24"/>
          <w:lang w:val="en-US" w:eastAsia="zh-CN"/>
        </w:rPr>
        <w:t>备注：</w:t>
      </w:r>
      <w:r>
        <w:rPr>
          <w:rFonts w:hint="eastAsia" w:asciiTheme="minorEastAsia" w:hAnsiTheme="minorEastAsia" w:eastAsiaTheme="minorEastAsia" w:cstheme="minorEastAsia"/>
          <w:spacing w:val="0"/>
          <w:w w:val="100"/>
          <w:kern w:val="0"/>
          <w:position w:val="0"/>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0"/>
          <w:w w:val="100"/>
          <w:kern w:val="0"/>
          <w:position w:val="0"/>
          <w:sz w:val="24"/>
          <w:szCs w:val="24"/>
          <w:lang w:eastAsia="zh-CN"/>
        </w:rPr>
        <w:t>。</w:t>
      </w:r>
    </w:p>
    <w:p w14:paraId="6B8028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0"/>
          <w:w w:val="100"/>
          <w:kern w:val="0"/>
          <w:position w:val="0"/>
          <w:sz w:val="32"/>
          <w:szCs w:val="32"/>
        </w:rPr>
      </w:pPr>
      <w:r>
        <w:rPr>
          <w:rFonts w:hint="eastAsia" w:asciiTheme="minorEastAsia" w:hAnsiTheme="minorEastAsia" w:eastAsiaTheme="minorEastAsia" w:cstheme="minorEastAsia"/>
          <w:spacing w:val="0"/>
          <w:w w:val="100"/>
          <w:kern w:val="0"/>
          <w:position w:val="0"/>
          <w:sz w:val="32"/>
          <w:szCs w:val="32"/>
          <w14:textOutline w14:w="2306" w14:cap="flat" w14:cmpd="sng">
            <w14:solidFill>
              <w14:srgbClr w14:val="000000"/>
            </w14:solidFill>
            <w14:prstDash w14:val="solid"/>
            <w14:miter w14:val="0"/>
          </w14:textOutline>
        </w:rPr>
        <w:t>残疾人福利性单位声明函格式</w:t>
      </w:r>
    </w:p>
    <w:p w14:paraId="435838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06B5AD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本单位郑重声明，根据《财政部民政部中国残疾人联合会关于促进残疾人就</w:t>
      </w:r>
    </w:p>
    <w:p w14:paraId="31AF5F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业政府采购政策的通知》（财库〔2017〕141号）的规定，本单位</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0"/>
          <w:w w:val="100"/>
          <w:kern w:val="0"/>
          <w:position w:val="0"/>
          <w:sz w:val="24"/>
          <w:szCs w:val="24"/>
        </w:rPr>
        <w:t>：</w:t>
      </w:r>
    </w:p>
    <w:p w14:paraId="4C3CDE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不属于符合条件的残疾人福利性单位。</w:t>
      </w:r>
    </w:p>
    <w:p w14:paraId="4AA4BE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0"/>
          <w:w w:val="100"/>
          <w:kern w:val="0"/>
          <w:position w:val="0"/>
          <w:sz w:val="24"/>
          <w:szCs w:val="24"/>
        </w:rPr>
        <w:t>且本单位参加单位的项目采购活动</w:t>
      </w:r>
      <w:r>
        <w:rPr>
          <w:rFonts w:hint="eastAsia" w:asciiTheme="minorEastAsia" w:hAnsiTheme="minorEastAsia" w:eastAsiaTheme="minorEastAsia" w:cstheme="minorEastAsia"/>
          <w:spacing w:val="0"/>
          <w:w w:val="100"/>
          <w:kern w:val="0"/>
          <w:position w:val="0"/>
          <w:sz w:val="24"/>
          <w:szCs w:val="24"/>
          <w:lang w:val="en-US" w:eastAsia="zh-CN"/>
        </w:rPr>
        <w:t>提</w:t>
      </w:r>
      <w:r>
        <w:rPr>
          <w:rFonts w:hint="eastAsia" w:asciiTheme="minorEastAsia" w:hAnsiTheme="minorEastAsia" w:eastAsiaTheme="minorEastAsia" w:cstheme="minorEastAsia"/>
          <w:spacing w:val="0"/>
          <w:w w:val="100"/>
          <w:kern w:val="0"/>
          <w:position w:val="0"/>
          <w:sz w:val="24"/>
          <w:szCs w:val="24"/>
        </w:rPr>
        <w:t>供本单位制造的货物（由本单位承担工程/</w:t>
      </w:r>
      <w:r>
        <w:rPr>
          <w:rFonts w:hint="eastAsia" w:asciiTheme="minorEastAsia" w:hAnsiTheme="minorEastAsia" w:eastAsiaTheme="minorEastAsia" w:cstheme="minorEastAsia"/>
          <w:spacing w:val="0"/>
          <w:w w:val="100"/>
          <w:kern w:val="0"/>
          <w:position w:val="0"/>
          <w:sz w:val="24"/>
          <w:szCs w:val="24"/>
          <w:lang w:eastAsia="zh-CN"/>
        </w:rPr>
        <w:t>提</w:t>
      </w:r>
      <w:r>
        <w:rPr>
          <w:rFonts w:hint="eastAsia" w:asciiTheme="minorEastAsia" w:hAnsiTheme="minorEastAsia" w:eastAsiaTheme="minorEastAsia" w:cstheme="minorEastAsia"/>
          <w:spacing w:val="0"/>
          <w:w w:val="100"/>
          <w:kern w:val="0"/>
          <w:position w:val="0"/>
          <w:sz w:val="24"/>
          <w:szCs w:val="24"/>
        </w:rPr>
        <w:t>供服务），或者</w:t>
      </w:r>
      <w:r>
        <w:rPr>
          <w:rFonts w:hint="eastAsia" w:asciiTheme="minorEastAsia" w:hAnsiTheme="minorEastAsia" w:eastAsiaTheme="minorEastAsia" w:cstheme="minorEastAsia"/>
          <w:spacing w:val="0"/>
          <w:w w:val="100"/>
          <w:kern w:val="0"/>
          <w:position w:val="0"/>
          <w:sz w:val="24"/>
          <w:szCs w:val="24"/>
          <w:lang w:eastAsia="zh-CN"/>
        </w:rPr>
        <w:t>提</w:t>
      </w:r>
      <w:r>
        <w:rPr>
          <w:rFonts w:hint="eastAsia" w:asciiTheme="minorEastAsia" w:hAnsiTheme="minorEastAsia" w:eastAsiaTheme="minorEastAsia" w:cstheme="minorEastAsia"/>
          <w:spacing w:val="0"/>
          <w:w w:val="100"/>
          <w:kern w:val="0"/>
          <w:position w:val="0"/>
          <w:sz w:val="24"/>
          <w:szCs w:val="24"/>
        </w:rPr>
        <w:t>供其他残疾人福利性单位制造的货物（不包括使用非残疾人福利性单位注册商标的货物）。</w:t>
      </w:r>
    </w:p>
    <w:p w14:paraId="5AB6D2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本单位对上述声明的真实性负责。如有虚假，将依法承担相应责任。</w:t>
      </w:r>
    </w:p>
    <w:p w14:paraId="09D9E69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136B76A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0920D7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0" w:firstLineChars="20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单位名称（盖章）：</w:t>
      </w:r>
    </w:p>
    <w:p w14:paraId="0EDAA061">
      <w:pPr>
        <w:keepNext w:val="0"/>
        <w:keepLines w:val="0"/>
        <w:pageBreakBefore w:val="0"/>
        <w:widowControl w:val="0"/>
        <w:kinsoku/>
        <w:wordWrap w:val="0"/>
        <w:overflowPunct/>
        <w:topLinePunct w:val="0"/>
        <w:autoSpaceDE w:val="0"/>
        <w:autoSpaceDN w:val="0"/>
        <w:bidi w:val="0"/>
        <w:adjustRightInd w:val="0"/>
        <w:spacing w:line="360" w:lineRule="auto"/>
        <w:ind w:firstLine="4800" w:firstLineChars="20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0"/>
          <w:w w:val="10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0"/>
          <w:w w:val="10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0"/>
          <w:w w:val="10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00089C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p>
    <w:p w14:paraId="3D2B5A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pacing w:val="0"/>
          <w:w w:val="100"/>
          <w:kern w:val="0"/>
          <w:position w:val="0"/>
          <w:sz w:val="28"/>
          <w:szCs w:val="28"/>
          <w:lang w:val="en-US" w:eastAsia="zh-CN"/>
        </w:rPr>
      </w:pPr>
      <w:r>
        <w:rPr>
          <w:rFonts w:hint="eastAsia" w:asciiTheme="minorEastAsia" w:hAnsiTheme="minorEastAsia" w:eastAsiaTheme="minorEastAsia" w:cstheme="minorEastAsia"/>
          <w:snapToGrid w:val="0"/>
          <w:color w:val="000000"/>
          <w:spacing w:val="0"/>
          <w:w w:val="100"/>
          <w:kern w:val="0"/>
          <w:position w:val="0"/>
          <w:sz w:val="36"/>
          <w:szCs w:val="36"/>
          <w:lang w:val="en-US" w:eastAsia="zh-CN" w:bidi="ar-SA"/>
          <w14:textOutline w14:w="2306" w14:cap="flat" w14:cmpd="sng">
            <w14:solidFill>
              <w14:srgbClr w14:val="000000"/>
            </w14:solidFill>
            <w14:prstDash w14:val="solid"/>
            <w14:miter w14:val="0"/>
          </w14:textOutline>
        </w:rPr>
        <w:t>监狱企业声明函格式</w:t>
      </w:r>
    </w:p>
    <w:p w14:paraId="2FD679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pacing w:val="0"/>
          <w:w w:val="100"/>
          <w:kern w:val="0"/>
          <w:position w:val="0"/>
          <w:sz w:val="28"/>
          <w:szCs w:val="28"/>
          <w:lang w:eastAsia="zh-CN"/>
        </w:rPr>
      </w:pPr>
    </w:p>
    <w:p w14:paraId="762B3C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769FB6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本企业对上述声明的真实性负责。如有虚假，将依法承担相应责任。</w:t>
      </w:r>
    </w:p>
    <w:p w14:paraId="3A83A76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 xml:space="preserve">                         </w:t>
      </w:r>
    </w:p>
    <w:p w14:paraId="1907C360">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 xml:space="preserve">                                企业名称（盖章）： </w:t>
      </w:r>
    </w:p>
    <w:p w14:paraId="32334450">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b w:val="0"/>
          <w:bCs/>
          <w:spacing w:val="0"/>
          <w:w w:val="100"/>
          <w:kern w:val="0"/>
          <w:position w:val="0"/>
          <w:sz w:val="24"/>
          <w:szCs w:val="24"/>
          <w:u w:val="none"/>
          <w:lang w:val="en-US"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6CB24B5E">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2E76E72F">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69C5EF1A">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1FC28FA8">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00A54859">
      <w:pP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br w:type="page"/>
      </w:r>
    </w:p>
    <w:p w14:paraId="390657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0"/>
          <w:w w:val="100"/>
          <w:kern w:val="0"/>
          <w:position w:val="0"/>
          <w:sz w:val="24"/>
          <w:szCs w:val="24"/>
          <w:lang w:val="en-US" w:eastAsia="en-US" w:bidi="ar-SA"/>
        </w:rPr>
      </w:pP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11.招标文件要求的其它材料及投标人认为有必要提供的材料</w:t>
      </w:r>
    </w:p>
    <w:p w14:paraId="24DA4591"/>
    <w:sectPr>
      <w:headerReference r:id="rId16" w:type="default"/>
      <w:footerReference r:id="rId17" w:type="default"/>
      <w:pgSz w:w="11907" w:h="16840"/>
      <w:pgMar w:top="1440" w:right="1800" w:bottom="1440" w:left="18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FDF0">
    <w:pPr>
      <w:spacing w:line="189" w:lineRule="auto"/>
      <w:ind w:left="4547"/>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CA40">
    <w:pPr>
      <w:spacing w:line="189" w:lineRule="auto"/>
      <w:ind w:left="4547"/>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EEE4">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D40FB">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6D40FB">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F1F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1F4A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91F4A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475D">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F53FB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11F53FB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4EE6F">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A200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379A200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E925">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816BC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57816BC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88A4">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45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D345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7BA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8B541">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C8B541">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9F00">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CF4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2C3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672D">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D0A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B97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4BDD6"/>
    <w:multiLevelType w:val="singleLevel"/>
    <w:tmpl w:val="8204BDD6"/>
    <w:lvl w:ilvl="0" w:tentative="0">
      <w:start w:val="1"/>
      <w:numFmt w:val="decimal"/>
      <w:suff w:val="nothing"/>
      <w:lvlText w:val="%1、"/>
      <w:lvlJc w:val="left"/>
    </w:lvl>
  </w:abstractNum>
  <w:abstractNum w:abstractNumId="1">
    <w:nsid w:val="8D974C8D"/>
    <w:multiLevelType w:val="singleLevel"/>
    <w:tmpl w:val="8D974C8D"/>
    <w:lvl w:ilvl="0" w:tentative="0">
      <w:start w:val="1"/>
      <w:numFmt w:val="decimal"/>
      <w:suff w:val="nothing"/>
      <w:lvlText w:val="%1、"/>
      <w:lvlJc w:val="left"/>
    </w:lvl>
  </w:abstractNum>
  <w:abstractNum w:abstractNumId="2">
    <w:nsid w:val="8FF32DC0"/>
    <w:multiLevelType w:val="singleLevel"/>
    <w:tmpl w:val="8FF32DC0"/>
    <w:lvl w:ilvl="0" w:tentative="0">
      <w:start w:val="1"/>
      <w:numFmt w:val="decimal"/>
      <w:suff w:val="nothing"/>
      <w:lvlText w:val="%1、"/>
      <w:lvlJc w:val="left"/>
    </w:lvl>
  </w:abstractNum>
  <w:abstractNum w:abstractNumId="3">
    <w:nsid w:val="94740334"/>
    <w:multiLevelType w:val="singleLevel"/>
    <w:tmpl w:val="94740334"/>
    <w:lvl w:ilvl="0" w:tentative="0">
      <w:start w:val="1"/>
      <w:numFmt w:val="decimal"/>
      <w:suff w:val="nothing"/>
      <w:lvlText w:val="%1、"/>
      <w:lvlJc w:val="left"/>
    </w:lvl>
  </w:abstractNum>
  <w:abstractNum w:abstractNumId="4">
    <w:nsid w:val="955449A4"/>
    <w:multiLevelType w:val="singleLevel"/>
    <w:tmpl w:val="955449A4"/>
    <w:lvl w:ilvl="0" w:tentative="0">
      <w:start w:val="1"/>
      <w:numFmt w:val="decimal"/>
      <w:suff w:val="space"/>
      <w:lvlText w:val="%1、"/>
      <w:lvlJc w:val="left"/>
      <w:pPr>
        <w:ind w:left="240" w:firstLine="600"/>
      </w:pPr>
    </w:lvl>
  </w:abstractNum>
  <w:abstractNum w:abstractNumId="5">
    <w:nsid w:val="9910D868"/>
    <w:multiLevelType w:val="singleLevel"/>
    <w:tmpl w:val="9910D868"/>
    <w:lvl w:ilvl="0" w:tentative="0">
      <w:start w:val="2"/>
      <w:numFmt w:val="chineseCounting"/>
      <w:suff w:val="nothing"/>
      <w:lvlText w:val="%1、"/>
      <w:lvlJc w:val="left"/>
      <w:pPr>
        <w:tabs>
          <w:tab w:val="left" w:pos="0"/>
        </w:tabs>
      </w:pPr>
      <w:rPr>
        <w:rFonts w:hint="eastAsia"/>
      </w:rPr>
    </w:lvl>
  </w:abstractNum>
  <w:abstractNum w:abstractNumId="6">
    <w:nsid w:val="A3C8999A"/>
    <w:multiLevelType w:val="singleLevel"/>
    <w:tmpl w:val="A3C8999A"/>
    <w:lvl w:ilvl="0" w:tentative="0">
      <w:start w:val="1"/>
      <w:numFmt w:val="decimal"/>
      <w:suff w:val="nothing"/>
      <w:lvlText w:val="（%1）"/>
      <w:lvlJc w:val="left"/>
    </w:lvl>
  </w:abstractNum>
  <w:abstractNum w:abstractNumId="7">
    <w:nsid w:val="B33B213D"/>
    <w:multiLevelType w:val="singleLevel"/>
    <w:tmpl w:val="B33B213D"/>
    <w:lvl w:ilvl="0" w:tentative="0">
      <w:start w:val="1"/>
      <w:numFmt w:val="decimal"/>
      <w:lvlText w:val="%1."/>
      <w:lvlJc w:val="left"/>
      <w:pPr>
        <w:ind w:left="425" w:hanging="425"/>
      </w:pPr>
      <w:rPr>
        <w:rFonts w:hint="default"/>
      </w:rPr>
    </w:lvl>
  </w:abstractNum>
  <w:abstractNum w:abstractNumId="8">
    <w:nsid w:val="B60C7254"/>
    <w:multiLevelType w:val="singleLevel"/>
    <w:tmpl w:val="B60C7254"/>
    <w:lvl w:ilvl="0" w:tentative="0">
      <w:start w:val="1"/>
      <w:numFmt w:val="decimal"/>
      <w:suff w:val="nothing"/>
      <w:lvlText w:val="（%1）"/>
      <w:lvlJc w:val="left"/>
    </w:lvl>
  </w:abstractNum>
  <w:abstractNum w:abstractNumId="9">
    <w:nsid w:val="BADFCB7C"/>
    <w:multiLevelType w:val="singleLevel"/>
    <w:tmpl w:val="BADFCB7C"/>
    <w:lvl w:ilvl="0" w:tentative="0">
      <w:start w:val="1"/>
      <w:numFmt w:val="decimal"/>
      <w:suff w:val="nothing"/>
      <w:lvlText w:val="%1、"/>
      <w:lvlJc w:val="left"/>
    </w:lvl>
  </w:abstractNum>
  <w:abstractNum w:abstractNumId="10">
    <w:nsid w:val="E0347536"/>
    <w:multiLevelType w:val="singleLevel"/>
    <w:tmpl w:val="E0347536"/>
    <w:lvl w:ilvl="0" w:tentative="0">
      <w:start w:val="1"/>
      <w:numFmt w:val="decimal"/>
      <w:suff w:val="nothing"/>
      <w:lvlText w:val="（%1）"/>
      <w:lvlJc w:val="left"/>
    </w:lvl>
  </w:abstractNum>
  <w:abstractNum w:abstractNumId="11">
    <w:nsid w:val="ED8CD006"/>
    <w:multiLevelType w:val="singleLevel"/>
    <w:tmpl w:val="ED8CD006"/>
    <w:lvl w:ilvl="0" w:tentative="0">
      <w:start w:val="1"/>
      <w:numFmt w:val="decimal"/>
      <w:suff w:val="nothing"/>
      <w:lvlText w:val="%1、"/>
      <w:lvlJc w:val="left"/>
    </w:lvl>
  </w:abstractNum>
  <w:abstractNum w:abstractNumId="12">
    <w:nsid w:val="085EE279"/>
    <w:multiLevelType w:val="singleLevel"/>
    <w:tmpl w:val="085EE279"/>
    <w:lvl w:ilvl="0" w:tentative="0">
      <w:start w:val="1"/>
      <w:numFmt w:val="decimal"/>
      <w:suff w:val="nothing"/>
      <w:lvlText w:val="%1、"/>
      <w:lvlJc w:val="left"/>
    </w:lvl>
  </w:abstractNum>
  <w:abstractNum w:abstractNumId="13">
    <w:nsid w:val="1C0685EE"/>
    <w:multiLevelType w:val="singleLevel"/>
    <w:tmpl w:val="1C0685EE"/>
    <w:lvl w:ilvl="0" w:tentative="0">
      <w:start w:val="1"/>
      <w:numFmt w:val="decimal"/>
      <w:suff w:val="nothing"/>
      <w:lvlText w:val="%1、"/>
      <w:lvlJc w:val="left"/>
    </w:lvl>
  </w:abstractNum>
  <w:abstractNum w:abstractNumId="14">
    <w:nsid w:val="1CF23A52"/>
    <w:multiLevelType w:val="singleLevel"/>
    <w:tmpl w:val="1CF23A52"/>
    <w:lvl w:ilvl="0" w:tentative="0">
      <w:start w:val="1"/>
      <w:numFmt w:val="decimal"/>
      <w:suff w:val="nothing"/>
      <w:lvlText w:val="%1、"/>
      <w:lvlJc w:val="left"/>
    </w:lvl>
  </w:abstractNum>
  <w:abstractNum w:abstractNumId="15">
    <w:nsid w:val="3874BDC6"/>
    <w:multiLevelType w:val="singleLevel"/>
    <w:tmpl w:val="3874BDC6"/>
    <w:lvl w:ilvl="0" w:tentative="0">
      <w:start w:val="1"/>
      <w:numFmt w:val="decimal"/>
      <w:suff w:val="nothing"/>
      <w:lvlText w:val="（%1）"/>
      <w:lvlJc w:val="left"/>
    </w:lvl>
  </w:abstractNum>
  <w:abstractNum w:abstractNumId="16">
    <w:nsid w:val="38A14620"/>
    <w:multiLevelType w:val="singleLevel"/>
    <w:tmpl w:val="38A14620"/>
    <w:lvl w:ilvl="0" w:tentative="0">
      <w:start w:val="1"/>
      <w:numFmt w:val="decimal"/>
      <w:lvlText w:val="%1."/>
      <w:lvlJc w:val="left"/>
      <w:pPr>
        <w:tabs>
          <w:tab w:val="left" w:pos="312"/>
        </w:tabs>
      </w:pPr>
    </w:lvl>
  </w:abstractNum>
  <w:abstractNum w:abstractNumId="17">
    <w:nsid w:val="49BE5DAD"/>
    <w:multiLevelType w:val="singleLevel"/>
    <w:tmpl w:val="49BE5DAD"/>
    <w:lvl w:ilvl="0" w:tentative="0">
      <w:start w:val="1"/>
      <w:numFmt w:val="decimal"/>
      <w:suff w:val="nothing"/>
      <w:lvlText w:val="%1、"/>
      <w:lvlJc w:val="left"/>
    </w:lvl>
  </w:abstractNum>
  <w:abstractNum w:abstractNumId="18">
    <w:nsid w:val="535EFEC7"/>
    <w:multiLevelType w:val="singleLevel"/>
    <w:tmpl w:val="535EFEC7"/>
    <w:lvl w:ilvl="0" w:tentative="0">
      <w:start w:val="6"/>
      <w:numFmt w:val="chineseCounting"/>
      <w:suff w:val="space"/>
      <w:lvlText w:val="第%1章"/>
      <w:lvlJc w:val="left"/>
      <w:rPr>
        <w:rFonts w:hint="eastAsia"/>
      </w:rPr>
    </w:lvl>
  </w:abstractNum>
  <w:abstractNum w:abstractNumId="19">
    <w:nsid w:val="69F97925"/>
    <w:multiLevelType w:val="singleLevel"/>
    <w:tmpl w:val="69F97925"/>
    <w:lvl w:ilvl="0" w:tentative="0">
      <w:start w:val="1"/>
      <w:numFmt w:val="decimal"/>
      <w:suff w:val="nothing"/>
      <w:lvlText w:val="%1、"/>
      <w:lvlJc w:val="left"/>
    </w:lvl>
  </w:abstractNum>
  <w:num w:numId="1">
    <w:abstractNumId w:val="2"/>
  </w:num>
  <w:num w:numId="2">
    <w:abstractNumId w:val="0"/>
  </w:num>
  <w:num w:numId="3">
    <w:abstractNumId w:val="10"/>
  </w:num>
  <w:num w:numId="4">
    <w:abstractNumId w:val="15"/>
  </w:num>
  <w:num w:numId="5">
    <w:abstractNumId w:val="14"/>
  </w:num>
  <w:num w:numId="6">
    <w:abstractNumId w:val="3"/>
  </w:num>
  <w:num w:numId="7">
    <w:abstractNumId w:val="13"/>
  </w:num>
  <w:num w:numId="8">
    <w:abstractNumId w:val="11"/>
  </w:num>
  <w:num w:numId="9">
    <w:abstractNumId w:val="17"/>
  </w:num>
  <w:num w:numId="10">
    <w:abstractNumId w:val="19"/>
  </w:num>
  <w:num w:numId="11">
    <w:abstractNumId w:val="6"/>
  </w:num>
  <w:num w:numId="12">
    <w:abstractNumId w:val="1"/>
  </w:num>
  <w:num w:numId="13">
    <w:abstractNumId w:val="8"/>
  </w:num>
  <w:num w:numId="14">
    <w:abstractNumId w:val="9"/>
  </w:num>
  <w:num w:numId="15">
    <w:abstractNumId w:val="12"/>
  </w:num>
  <w:num w:numId="16">
    <w:abstractNumId w:val="5"/>
  </w:num>
  <w:num w:numId="17">
    <w:abstractNumId w:val="7"/>
  </w:num>
  <w:num w:numId="18">
    <w:abstractNumId w:val="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402E1"/>
    <w:rsid w:val="00D03357"/>
    <w:rsid w:val="016C0228"/>
    <w:rsid w:val="03190CB5"/>
    <w:rsid w:val="039402E1"/>
    <w:rsid w:val="07610170"/>
    <w:rsid w:val="07E63876"/>
    <w:rsid w:val="09925D5A"/>
    <w:rsid w:val="0D72286E"/>
    <w:rsid w:val="0ECD6FC4"/>
    <w:rsid w:val="10B169D0"/>
    <w:rsid w:val="12A10A10"/>
    <w:rsid w:val="13466924"/>
    <w:rsid w:val="166D339A"/>
    <w:rsid w:val="167F3338"/>
    <w:rsid w:val="16E3540A"/>
    <w:rsid w:val="17005FBC"/>
    <w:rsid w:val="18475E6C"/>
    <w:rsid w:val="1E25784B"/>
    <w:rsid w:val="29867A14"/>
    <w:rsid w:val="2D8B679C"/>
    <w:rsid w:val="2E182512"/>
    <w:rsid w:val="2FF35F07"/>
    <w:rsid w:val="304D2ECC"/>
    <w:rsid w:val="32595E50"/>
    <w:rsid w:val="33656146"/>
    <w:rsid w:val="343B642D"/>
    <w:rsid w:val="35E97B71"/>
    <w:rsid w:val="36965B9D"/>
    <w:rsid w:val="384D5FBB"/>
    <w:rsid w:val="3B3159B2"/>
    <w:rsid w:val="3BF95A62"/>
    <w:rsid w:val="3D69124B"/>
    <w:rsid w:val="3DE75827"/>
    <w:rsid w:val="3E62283F"/>
    <w:rsid w:val="3EB15AAA"/>
    <w:rsid w:val="407C452F"/>
    <w:rsid w:val="40915F4D"/>
    <w:rsid w:val="42DE3C4A"/>
    <w:rsid w:val="431762B8"/>
    <w:rsid w:val="455664BA"/>
    <w:rsid w:val="45F37CBC"/>
    <w:rsid w:val="4792415F"/>
    <w:rsid w:val="49417BEA"/>
    <w:rsid w:val="4B9009B5"/>
    <w:rsid w:val="4D501AEA"/>
    <w:rsid w:val="4FF97471"/>
    <w:rsid w:val="53FD1B38"/>
    <w:rsid w:val="59CA65CA"/>
    <w:rsid w:val="5ABE5967"/>
    <w:rsid w:val="63B721FF"/>
    <w:rsid w:val="64C3036A"/>
    <w:rsid w:val="6AE21B23"/>
    <w:rsid w:val="6D4735EF"/>
    <w:rsid w:val="6EA463A2"/>
    <w:rsid w:val="6EBA7B79"/>
    <w:rsid w:val="744748F9"/>
    <w:rsid w:val="74F00E91"/>
    <w:rsid w:val="75AE3376"/>
    <w:rsid w:val="7BDF12B4"/>
    <w:rsid w:val="7BFA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outlineLvl w:val="0"/>
    </w:pPr>
    <w:rPr>
      <w:rFonts w:hint="eastAsia" w:ascii="宋体" w:hAnsi="宋体" w:eastAsia="宋体" w:cs="Times New Roman"/>
      <w:b/>
      <w:bCs/>
      <w:kern w:val="44"/>
      <w:sz w:val="33"/>
      <w:szCs w:val="33"/>
      <w:lang w:eastAsia="zh-CN"/>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annotation text"/>
    <w:basedOn w:val="1"/>
    <w:qFormat/>
    <w:uiPriority w:val="0"/>
  </w:style>
  <w:style w:type="paragraph" w:styleId="6">
    <w:name w:val="Body Text"/>
    <w:basedOn w:val="1"/>
    <w:next w:val="4"/>
    <w:qFormat/>
    <w:uiPriority w:val="0"/>
    <w:rPr>
      <w:rFonts w:ascii="宋体" w:hAnsi="宋体" w:eastAsia="宋体" w:cs="宋体"/>
      <w:sz w:val="31"/>
      <w:szCs w:val="31"/>
    </w:rPr>
  </w:style>
  <w:style w:type="paragraph" w:styleId="7">
    <w:name w:val="Body Text Indent"/>
    <w:basedOn w:val="1"/>
    <w:next w:val="1"/>
    <w:qFormat/>
    <w:uiPriority w:val="99"/>
    <w:pPr>
      <w:ind w:left="420" w:leftChars="200"/>
    </w:pPr>
    <w:rPr>
      <w:kern w:val="2"/>
      <w:lang w:eastAsia="zh-CN"/>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style>
  <w:style w:type="paragraph" w:styleId="12">
    <w:name w:val="footnote text"/>
    <w:basedOn w:val="1"/>
    <w:qFormat/>
    <w:uiPriority w:val="0"/>
    <w:rPr>
      <w:sz w:val="18"/>
      <w:szCs w:val="18"/>
    </w:rPr>
  </w:style>
  <w:style w:type="paragraph" w:styleId="13">
    <w:name w:val="Normal (Web)"/>
    <w:basedOn w:val="1"/>
    <w:qFormat/>
    <w:uiPriority w:val="0"/>
    <w:pPr>
      <w:spacing w:beforeAutospacing="1" w:afterAutospacing="1"/>
    </w:pPr>
    <w:rPr>
      <w:rFonts w:cs="Times New Roman"/>
      <w:sz w:val="24"/>
      <w:lang w:eastAsia="zh-CN"/>
    </w:rPr>
  </w:style>
  <w:style w:type="paragraph" w:styleId="14">
    <w:name w:val="Body Text First Indent"/>
    <w:basedOn w:val="6"/>
    <w:unhideWhenUsed/>
    <w:qFormat/>
    <w:uiPriority w:val="99"/>
    <w:pPr>
      <w:ind w:firstLine="420" w:firstLineChars="100"/>
    </w:pPr>
  </w:style>
  <w:style w:type="paragraph" w:styleId="15">
    <w:name w:val="Body Text First Indent 2"/>
    <w:basedOn w:val="7"/>
    <w:qFormat/>
    <w:uiPriority w:val="0"/>
    <w:pPr>
      <w:ind w:firstLine="200" w:firstLineChars="200"/>
    </w:pPr>
    <w:rPr>
      <w:sz w:val="2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pPr>
      <w:widowControl w:val="0"/>
      <w:kinsoku/>
      <w:wordWrap w:val="0"/>
      <w:spacing w:line="440" w:lineRule="exact"/>
      <w:jc w:val="center"/>
    </w:pPr>
    <w:rPr>
      <w:rFonts w:ascii="宋体" w:hAnsi="宋体" w:eastAsia="宋体" w:cs="宋体"/>
      <w:color w:val="000000" w:themeColor="text1"/>
      <w:sz w:val="24"/>
      <w:szCs w:val="24"/>
      <w:lang w:eastAsia="zh-CN"/>
      <w14:textFill>
        <w14:solidFill>
          <w14:schemeClr w14:val="tx1"/>
        </w14:solidFill>
      </w14:textFill>
    </w:rPr>
  </w:style>
  <w:style w:type="paragraph" w:customStyle="1" w:styleId="24">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5">
    <w:name w:val="样式1"/>
    <w:basedOn w:val="1"/>
    <w:qFormat/>
    <w:uiPriority w:val="0"/>
    <w:pPr>
      <w:jc w:val="both"/>
    </w:pPr>
    <w:rPr>
      <w:rFonts w:ascii="宋体"/>
    </w:rPr>
  </w:style>
  <w:style w:type="paragraph" w:customStyle="1" w:styleId="26">
    <w:name w:val="列出表格"/>
    <w:basedOn w:val="1"/>
    <w:qFormat/>
    <w:uiPriority w:val="0"/>
    <w:pPr>
      <w:spacing w:beforeLines="20" w:line="288" w:lineRule="auto"/>
      <w:ind w:firstLine="200" w:firstLineChars="200"/>
      <w:jc w:val="center"/>
    </w:pPr>
    <w:rPr>
      <w:sz w:val="22"/>
      <w:szCs w:val="20"/>
    </w:rPr>
  </w:style>
  <w:style w:type="paragraph" w:customStyle="1" w:styleId="27">
    <w:name w:val="列出段落1"/>
    <w:basedOn w:val="1"/>
    <w:qFormat/>
    <w:uiPriority w:val="0"/>
    <w:pPr>
      <w:ind w:firstLine="420" w:firstLineChars="200"/>
    </w:pPr>
    <w:rPr>
      <w:szCs w:val="21"/>
    </w:rPr>
  </w:style>
  <w:style w:type="character" w:customStyle="1" w:styleId="28">
    <w:name w:val="font141"/>
    <w:basedOn w:val="18"/>
    <w:qFormat/>
    <w:uiPriority w:val="0"/>
    <w:rPr>
      <w:rFonts w:ascii="Calibri" w:hAnsi="Calibri" w:cs="Calibri"/>
      <w:color w:val="000000"/>
      <w:sz w:val="16"/>
      <w:szCs w:val="16"/>
      <w:u w:val="none"/>
    </w:rPr>
  </w:style>
  <w:style w:type="character" w:customStyle="1" w:styleId="29">
    <w:name w:val="font61"/>
    <w:basedOn w:val="18"/>
    <w:qFormat/>
    <w:uiPriority w:val="0"/>
    <w:rPr>
      <w:rFonts w:hint="eastAsia" w:ascii="宋体" w:hAnsi="宋体" w:eastAsia="宋体" w:cs="宋体"/>
      <w:color w:val="000000"/>
      <w:sz w:val="16"/>
      <w:szCs w:val="16"/>
      <w:u w:val="none"/>
    </w:rPr>
  </w:style>
  <w:style w:type="character" w:customStyle="1" w:styleId="30">
    <w:name w:val="font101"/>
    <w:basedOn w:val="18"/>
    <w:qFormat/>
    <w:uiPriority w:val="0"/>
    <w:rPr>
      <w:rFonts w:ascii="Calibri" w:hAnsi="Calibri" w:cs="Calibri"/>
      <w:color w:val="000000"/>
      <w:sz w:val="16"/>
      <w:szCs w:val="16"/>
      <w:u w:val="none"/>
    </w:rPr>
  </w:style>
  <w:style w:type="character" w:customStyle="1" w:styleId="31">
    <w:name w:val="font5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15199</Words>
  <Characters>17893</Characters>
  <Lines>0</Lines>
  <Paragraphs>0</Paragraphs>
  <TotalTime>6</TotalTime>
  <ScaleCrop>false</ScaleCrop>
  <LinksUpToDate>false</LinksUpToDate>
  <CharactersWithSpaces>18301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2025-07-25T07:23:00Z</dcterms:created>
  <dc:creator>黑土君1</dc:creator>
  <cp:lastModifiedBy>NTKO</cp:lastModifiedBy>
  <dcterms:modified xsi:type="dcterms:W3CDTF">2025-12-12T02:01:31Z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655BF782058346D1ACA3932B3EDB6386_13</vt:lpwstr>
  </property>
  <property fmtid="{D5CDD505-2E9C-101B-9397-08002B2CF9AE}" pid="4" name="KSOTemplateDocerSaveRecord">
    <vt:lpwstr>eyJoZGlkIjoiYTUyM2UwYjBmYzc3YmM3ZjI1ODg2NTk3ZGJhZGNiNGIiLCJ1c2VySWQiOiI0MTY3MTE2MDgifQ==</vt:lpwstr>
  </property>
</Properties>
</file>