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8" w:lineRule="auto"/>
        <w:jc w:val="center"/>
        <w:outlineLvl w:val="0"/>
        <w:rPr>
          <w:rFonts w:ascii="Arial"/>
          <w:sz w:val="21"/>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南阳市鸭河口水库运行保障中心信息化平台建设项目</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r>
        <w:drawing>
          <wp:anchor distT="0" distB="0" distL="114300" distR="114300" simplePos="0" relativeHeight="251662336" behindDoc="0" locked="0" layoutInCell="1" allowOverlap="1">
            <wp:simplePos x="0" y="0"/>
            <wp:positionH relativeFrom="column">
              <wp:posOffset>1397635</wp:posOffset>
            </wp:positionH>
            <wp:positionV relativeFrom="paragraph">
              <wp:posOffset>332740</wp:posOffset>
            </wp:positionV>
            <wp:extent cx="1883410" cy="1699260"/>
            <wp:effectExtent l="0" t="0" r="2540" b="15240"/>
            <wp:wrapTopAndBottom/>
            <wp:docPr id="3" name="图片 5" descr="09c9abfbd61f82249f1988d588f679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09c9abfbd61f82249f1988d588f679b7"/>
                    <pic:cNvPicPr>
                      <a:picLocks noChangeAspect="1"/>
                    </pic:cNvPicPr>
                  </pic:nvPicPr>
                  <pic:blipFill>
                    <a:blip r:embed="rId16"/>
                    <a:stretch>
                      <a:fillRect/>
                    </a:stretch>
                  </pic:blipFill>
                  <pic:spPr>
                    <a:xfrm>
                      <a:off x="0" y="0"/>
                      <a:ext cx="1883410" cy="1699260"/>
                    </a:xfrm>
                    <a:prstGeom prst="rect">
                      <a:avLst/>
                    </a:prstGeom>
                    <a:noFill/>
                    <a:ln>
                      <a:noFill/>
                    </a:ln>
                  </pic:spPr>
                </pic:pic>
              </a:graphicData>
            </a:graphic>
          </wp:anchor>
        </w:drawing>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 xml:space="preserve">项目名称：南阳市鸭河口水库运行保障中心信息化平台建设项目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：南阳政采磋商</w:t>
      </w:r>
      <w:r>
        <w:rPr>
          <w:rFonts w:hint="eastAsia" w:asciiTheme="minorEastAsia" w:hAnsiTheme="minorEastAsia" w:eastAsiaTheme="minorEastAsia" w:cstheme="minorEastAsia"/>
          <w:b/>
          <w:bCs/>
          <w:spacing w:val="-17"/>
          <w:sz w:val="32"/>
          <w:szCs w:val="32"/>
          <w:lang w:val="en-US" w:eastAsia="zh-CN"/>
        </w:rPr>
        <w:t>-2024-2</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lang w:eastAsia="zh-CN"/>
        </w:rPr>
        <w:t>南阳政采磋商</w:t>
      </w:r>
      <w:r>
        <w:rPr>
          <w:rFonts w:hint="eastAsia" w:asciiTheme="minorEastAsia" w:hAnsiTheme="minorEastAsia" w:eastAsiaTheme="minorEastAsia" w:cstheme="minorEastAsia"/>
          <w:b/>
          <w:bCs/>
          <w:spacing w:val="-17"/>
          <w:sz w:val="32"/>
          <w:szCs w:val="32"/>
          <w:lang w:val="en-US" w:eastAsia="zh-CN"/>
        </w:rPr>
        <w:t>-2024-2</w:t>
      </w:r>
      <w:r>
        <w:rPr>
          <w:rFonts w:hint="eastAsia" w:asciiTheme="minorEastAsia" w:hAnsiTheme="minorEastAsia" w:eastAsiaTheme="minorEastAsia" w:cstheme="minorEastAsia"/>
          <w:b/>
          <w:bCs/>
          <w:spacing w:val="-17"/>
          <w:sz w:val="32"/>
          <w:szCs w:val="32"/>
        </w:rPr>
        <w:t xml:space="preserve"> </w:t>
      </w:r>
      <w:r>
        <w:rPr>
          <w:rFonts w:hint="eastAsia" w:asciiTheme="minorEastAsia" w:hAnsiTheme="minorEastAsia" w:eastAsiaTheme="minorEastAsia" w:cstheme="minorEastAsia"/>
          <w:b/>
          <w:bCs/>
          <w:spacing w:val="-17"/>
          <w:sz w:val="32"/>
          <w:szCs w:val="32"/>
          <w:lang w:val="en-US" w:eastAsia="zh-CN"/>
        </w:rPr>
        <w:t>-01</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0"/>
        <w:rPr>
          <w:rFonts w:hint="eastAsia" w:asciiTheme="minorEastAsia" w:hAnsiTheme="minorEastAsia" w:eastAsiaTheme="minorEastAsia" w:cstheme="minorEastAsia"/>
          <w:b/>
          <w:bCs/>
          <w:spacing w:val="-17"/>
          <w:sz w:val="32"/>
          <w:szCs w:val="32"/>
        </w:rPr>
      </w:pPr>
      <w:bookmarkStart w:id="0" w:name="_Toc11623"/>
      <w:bookmarkStart w:id="1" w:name="_Toc11079"/>
      <w:r>
        <w:rPr>
          <w:rFonts w:hint="eastAsia" w:asciiTheme="minorEastAsia" w:hAnsiTheme="minorEastAsia" w:eastAsiaTheme="minorEastAsia" w:cstheme="minorEastAsia"/>
          <w:b/>
          <w:bCs/>
          <w:spacing w:val="-17"/>
          <w:sz w:val="32"/>
          <w:szCs w:val="32"/>
        </w:rPr>
        <w:t>采 购 人：</w:t>
      </w:r>
      <w:r>
        <w:rPr>
          <w:rFonts w:hint="eastAsia"/>
          <w:b/>
          <w:sz w:val="32"/>
        </w:rPr>
        <w:t>南阳市鸭河口水库运行保障中心</w:t>
      </w:r>
      <w:bookmarkEnd w:id="0"/>
      <w:bookmarkEnd w:id="1"/>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采购代理机构：河南首招建设管理有限公司</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宋体" w:hAnsi="宋体" w:eastAsia="宋体" w:cs="宋体"/>
          <w:sz w:val="36"/>
          <w:szCs w:val="36"/>
          <w:u w:val="none"/>
        </w:rPr>
        <w:sectPr>
          <w:pgSz w:w="11906" w:h="16839"/>
          <w:pgMar w:top="1403" w:right="1785" w:bottom="0" w:left="1785" w:header="0" w:footer="0" w:gutter="0"/>
          <w:pgNumType w:fmt="decimal" w:start="1"/>
          <w:cols w:space="720" w:num="1"/>
        </w:sectPr>
      </w:pPr>
      <w:r>
        <w:rPr>
          <w:rFonts w:hint="eastAsia" w:asciiTheme="minorEastAsia" w:hAnsiTheme="minorEastAsia" w:eastAsiaTheme="minorEastAsia" w:cstheme="minorEastAsia"/>
          <w:b/>
          <w:bCs/>
          <w:spacing w:val="-17"/>
          <w:sz w:val="32"/>
          <w:szCs w:val="32"/>
          <w:u w:val="none"/>
          <w:lang w:val="en-US" w:eastAsia="zh-CN"/>
        </w:rPr>
        <w:t>2024年3月</w:t>
      </w:r>
    </w:p>
    <w:p>
      <w:pPr>
        <w:spacing w:line="276" w:lineRule="auto"/>
        <w:rPr>
          <w:rFonts w:ascii="Arial"/>
          <w:sz w:val="21"/>
        </w:rPr>
      </w:pPr>
    </w:p>
    <w:p>
      <w:pPr>
        <w:spacing w:line="326" w:lineRule="auto"/>
        <w:rPr>
          <w:rFonts w:ascii="Arial"/>
          <w:sz w:val="21"/>
        </w:rPr>
      </w:pPr>
    </w:p>
    <w:p>
      <w:pPr>
        <w:spacing w:line="326" w:lineRule="auto"/>
        <w:rPr>
          <w:rFonts w:ascii="Arial"/>
          <w:sz w:val="21"/>
        </w:rPr>
      </w:pPr>
    </w:p>
    <w:sdt>
      <w:sdtPr>
        <w:rPr>
          <w:rFonts w:ascii="宋体" w:hAnsi="宋体" w:eastAsia="宋体" w:cs="宋体"/>
          <w:sz w:val="36"/>
          <w:szCs w:val="36"/>
        </w:rPr>
        <w:id w:val="1"/>
        <w:docPartObj>
          <w:docPartGallery w:val="Table of Contents"/>
          <w:docPartUnique/>
        </w:docPartObj>
      </w:sdtPr>
      <w:sdtEndPr>
        <w:rPr>
          <w:rFonts w:ascii="Arial" w:hAnsi="Arial" w:eastAsia="Arial" w:cs="Arial"/>
          <w:sz w:val="24"/>
          <w:szCs w:val="24"/>
        </w:rPr>
      </w:sdtEndPr>
      <w:sdtContent>
        <w:p>
          <w:pPr>
            <w:pStyle w:val="4"/>
            <w:spacing w:before="117" w:line="222" w:lineRule="auto"/>
            <w:ind w:left="3716"/>
            <w:rPr>
              <w:sz w:val="36"/>
              <w:szCs w:val="36"/>
            </w:rPr>
          </w:pPr>
          <w:bookmarkStart w:id="2" w:name="bookmark1"/>
          <w:bookmarkEnd w:id="2"/>
          <w:r>
            <w:rPr>
              <w:spacing w:val="-42"/>
              <w:sz w:val="36"/>
              <w:szCs w:val="36"/>
              <w14:textOutline w14:w="2306" w14:cap="flat" w14:cmpd="sng">
                <w14:solidFill>
                  <w14:srgbClr w14:val="000000"/>
                </w14:solidFill>
                <w14:prstDash w14:val="solid"/>
                <w14:miter w14:val="0"/>
              </w14:textOutline>
            </w:rPr>
            <w:t>目</w:t>
          </w:r>
          <w:r>
            <w:rPr>
              <w:spacing w:val="3"/>
              <w:sz w:val="36"/>
              <w:szCs w:val="36"/>
            </w:rPr>
            <w:t xml:space="preserve">      </w:t>
          </w:r>
          <w:r>
            <w:rPr>
              <w:spacing w:val="-42"/>
              <w:sz w:val="36"/>
              <w:szCs w:val="36"/>
              <w14:textOutline w14:w="2306" w14:cap="flat" w14:cmpd="sng">
                <w14:solidFill>
                  <w14:srgbClr w14:val="000000"/>
                </w14:solidFill>
                <w14:prstDash w14:val="solid"/>
                <w14:miter w14:val="0"/>
              </w14:textOutline>
            </w:rPr>
            <w:t>录</w:t>
          </w: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4"/>
            <w:spacing w:before="78" w:line="186" w:lineRule="auto"/>
            <w:ind w:left="9"/>
            <w:rPr>
              <w:rFonts w:ascii="Arial" w:hAnsi="Arial" w:eastAsia="Arial" w:cs="Arial"/>
              <w:sz w:val="24"/>
              <w:szCs w:val="24"/>
            </w:rPr>
          </w:pPr>
          <w:r>
            <w:fldChar w:fldCharType="begin"/>
          </w:r>
          <w:r>
            <w:instrText xml:space="preserve"> HYPERLINK \l "bookmark1" </w:instrText>
          </w:r>
          <w:r>
            <w:fldChar w:fldCharType="separate"/>
          </w:r>
          <w:r>
            <w:rPr>
              <w:sz w:val="24"/>
              <w:szCs w:val="24"/>
              <w14:textOutline w14:w="1537" w14:cap="flat" w14:cmpd="sng">
                <w14:solidFill>
                  <w14:srgbClr w14:val="000000"/>
                </w14:solidFill>
                <w14:prstDash w14:val="solid"/>
                <w14:miter w14:val="0"/>
              </w14:textOutline>
            </w:rPr>
            <w:t>第一章</w:t>
          </w:r>
          <w:r>
            <w:rPr>
              <w:sz w:val="24"/>
              <w:szCs w:val="24"/>
            </w:rPr>
            <w:t xml:space="preserve">   </w:t>
          </w:r>
          <w:r>
            <w:rPr>
              <w:rFonts w:hint="eastAsia"/>
              <w:sz w:val="24"/>
              <w:szCs w:val="24"/>
              <w:lang w:eastAsia="zh-CN"/>
              <w14:textOutline w14:w="1537" w14:cap="flat" w14:cmpd="sng">
                <w14:solidFill>
                  <w14:srgbClr w14:val="000000"/>
                </w14:solidFill>
                <w14:prstDash w14:val="solid"/>
                <w14:miter w14:val="0"/>
              </w14:textOutline>
            </w:rPr>
            <w:t>竞争性磋商公告</w:t>
          </w:r>
          <w:r>
            <w:rPr>
              <w:spacing w:val="-106"/>
              <w:sz w:val="24"/>
              <w:szCs w:val="24"/>
            </w:rPr>
            <w:t xml:space="preserve"> </w:t>
          </w:r>
          <w:r>
            <w:rPr>
              <w:rFonts w:ascii="Arial" w:hAnsi="Arial" w:eastAsia="Arial" w:cs="Arial"/>
              <w:b/>
              <w:bCs/>
              <w:sz w:val="24"/>
              <w:szCs w:val="24"/>
            </w:rPr>
            <w:fldChar w:fldCharType="end"/>
          </w:r>
        </w:p>
        <w:p>
          <w:pPr>
            <w:pStyle w:val="4"/>
            <w:spacing w:before="223" w:line="186" w:lineRule="auto"/>
            <w:ind w:left="9"/>
            <w:rPr>
              <w:rFonts w:hint="eastAsia" w:ascii="Arial" w:hAnsi="Arial" w:eastAsia="宋体" w:cs="Arial"/>
              <w:sz w:val="24"/>
              <w:szCs w:val="24"/>
              <w:lang w:eastAsia="zh-CN"/>
            </w:rPr>
          </w:pPr>
          <w:r>
            <w:rPr>
              <w:spacing w:val="1"/>
              <w:sz w:val="24"/>
              <w:szCs w:val="24"/>
              <w14:textOutline w14:w="1537" w14:cap="flat" w14:cmpd="sng">
                <w14:solidFill>
                  <w14:srgbClr w14:val="000000"/>
                </w14:solidFill>
                <w14:prstDash w14:val="solid"/>
                <w14:miter w14:val="0"/>
              </w14:textOutline>
            </w:rPr>
            <w:t>第二章</w:t>
          </w:r>
          <w:r>
            <w:rPr>
              <w:spacing w:val="1"/>
              <w:sz w:val="24"/>
              <w:szCs w:val="24"/>
            </w:rPr>
            <w:t xml:space="preserve">   </w:t>
          </w:r>
          <w:r>
            <w:rPr>
              <w:spacing w:val="3"/>
              <w:sz w:val="24"/>
              <w:szCs w:val="24"/>
              <w14:textOutline w14:w="1537" w14:cap="flat" w14:cmpd="sng">
                <w14:solidFill>
                  <w14:srgbClr w14:val="000000"/>
                </w14:solidFill>
                <w14:prstDash w14:val="solid"/>
                <w14:miter w14:val="0"/>
              </w14:textOutline>
            </w:rPr>
            <w:t>采购需求</w:t>
          </w:r>
        </w:p>
        <w:p>
          <w:pPr>
            <w:pStyle w:val="4"/>
            <w:spacing w:before="224" w:line="186" w:lineRule="auto"/>
            <w:ind w:left="9"/>
            <w:rPr>
              <w:rFonts w:hint="eastAsia" w:ascii="Arial" w:hAnsi="Arial" w:eastAsia="宋体" w:cs="Arial"/>
              <w:sz w:val="24"/>
              <w:szCs w:val="24"/>
              <w:lang w:eastAsia="zh-CN"/>
            </w:rPr>
          </w:pPr>
          <w:r>
            <w:rPr>
              <w:spacing w:val="2"/>
              <w:sz w:val="24"/>
              <w:szCs w:val="24"/>
              <w14:textOutline w14:w="1537" w14:cap="flat" w14:cmpd="sng">
                <w14:solidFill>
                  <w14:srgbClr w14:val="000000"/>
                </w14:solidFill>
                <w14:prstDash w14:val="solid"/>
                <w14:miter w14:val="0"/>
              </w14:textOutline>
            </w:rPr>
            <w:t>第三章</w:t>
          </w:r>
          <w:r>
            <w:rPr>
              <w:spacing w:val="2"/>
              <w:sz w:val="24"/>
              <w:szCs w:val="24"/>
            </w:rPr>
            <w:t xml:space="preserve">   </w:t>
          </w:r>
          <w:r>
            <w:rPr>
              <w:spacing w:val="1"/>
              <w:sz w:val="24"/>
              <w:szCs w:val="24"/>
              <w14:textOutline w14:w="1537" w14:cap="flat" w14:cmpd="sng">
                <w14:solidFill>
                  <w14:srgbClr w14:val="000000"/>
                </w14:solidFill>
                <w14:prstDash w14:val="solid"/>
                <w14:miter w14:val="0"/>
              </w14:textOutline>
            </w:rPr>
            <w:t>供应商须知</w:t>
          </w:r>
          <w:r>
            <w:rPr>
              <w:spacing w:val="-107"/>
              <w:sz w:val="24"/>
              <w:szCs w:val="24"/>
            </w:rPr>
            <w:t xml:space="preserve"> </w:t>
          </w:r>
        </w:p>
        <w:p>
          <w:pPr>
            <w:pStyle w:val="4"/>
            <w:spacing w:before="224" w:line="186" w:lineRule="auto"/>
            <w:ind w:left="9"/>
            <w:rPr>
              <w:rFonts w:hint="default" w:ascii="Arial" w:hAnsi="Arial" w:eastAsia="宋体" w:cs="Arial"/>
              <w:sz w:val="24"/>
              <w:szCs w:val="24"/>
              <w:lang w:val="en-US" w:eastAsia="zh-CN"/>
            </w:rPr>
          </w:pPr>
          <w:r>
            <w:rPr>
              <w:spacing w:val="3"/>
              <w:sz w:val="24"/>
              <w:szCs w:val="24"/>
              <w14:textOutline w14:w="1537" w14:cap="flat" w14:cmpd="sng">
                <w14:solidFill>
                  <w14:srgbClr w14:val="000000"/>
                </w14:solidFill>
                <w14:prstDash w14:val="solid"/>
                <w14:miter w14:val="0"/>
              </w14:textOutline>
            </w:rPr>
            <w:t>第四章</w:t>
          </w:r>
          <w:r>
            <w:rPr>
              <w:spacing w:val="3"/>
              <w:sz w:val="24"/>
              <w:szCs w:val="24"/>
            </w:rPr>
            <w:t xml:space="preserve">   </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审</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程序、</w:t>
          </w:r>
          <w:r>
            <w:rPr>
              <w:spacing w:val="2"/>
              <w:sz w:val="24"/>
              <w:szCs w:val="24"/>
              <w14:textOutline w14:w="1537" w14:cap="flat" w14:cmpd="sng">
                <w14:solidFill>
                  <w14:srgbClr w14:val="000000"/>
                </w14:solidFill>
                <w14:prstDash w14:val="solid"/>
                <w14:miter w14:val="0"/>
              </w14:textOutline>
            </w:rPr>
            <w:t>评审方法和评审标准</w:t>
          </w:r>
        </w:p>
        <w:p>
          <w:pPr>
            <w:pStyle w:val="4"/>
            <w:spacing w:before="226" w:line="186" w:lineRule="auto"/>
            <w:ind w:left="9"/>
            <w:rPr>
              <w:rFonts w:hint="default" w:ascii="Arial" w:hAnsi="Arial" w:eastAsia="宋体" w:cs="Arial"/>
              <w:sz w:val="24"/>
              <w:szCs w:val="24"/>
              <w:lang w:val="en-US" w:eastAsia="zh-CN"/>
            </w:rPr>
          </w:pPr>
          <w:r>
            <w:rPr>
              <w:spacing w:val="3"/>
              <w:sz w:val="24"/>
              <w:szCs w:val="24"/>
              <w14:textOutline w14:w="1537" w14:cap="flat" w14:cmpd="sng">
                <w14:solidFill>
                  <w14:srgbClr w14:val="000000"/>
                </w14:solidFill>
                <w14:prstDash w14:val="solid"/>
                <w14:miter w14:val="0"/>
              </w14:textOutline>
            </w:rPr>
            <w:t>第五章</w:t>
          </w:r>
          <w:r>
            <w:rPr>
              <w:spacing w:val="3"/>
              <w:sz w:val="24"/>
              <w:szCs w:val="24"/>
            </w:rPr>
            <w:t xml:space="preserve">   </w:t>
          </w:r>
          <w:r>
            <w:rPr>
              <w:rFonts w:hint="eastAsia" w:asciiTheme="minorEastAsia" w:hAnsiTheme="minorEastAsia" w:eastAsiaTheme="minorEastAsia" w:cstheme="minorEastAsia"/>
              <w:spacing w:val="3"/>
              <w:sz w:val="24"/>
              <w:szCs w:val="24"/>
              <w:lang w:eastAsia="zh-CN"/>
              <w14:textOutline w14:w="1537" w14:cap="flat" w14:cmpd="sng">
                <w14:solidFill>
                  <w14:srgbClr w14:val="000000"/>
                </w14:solidFill>
                <w14:prstDash w14:val="solid"/>
                <w14:miter w14:val="0"/>
              </w14:textOutline>
            </w:rPr>
            <w:t>政府采购合同（草案）</w:t>
          </w:r>
        </w:p>
        <w:p>
          <w:pPr>
            <w:pStyle w:val="4"/>
            <w:spacing w:before="225" w:line="219" w:lineRule="auto"/>
            <w:ind w:left="9"/>
            <w:rPr>
              <w:rFonts w:ascii="Arial" w:hAnsi="Arial" w:eastAsia="Arial" w:cs="Arial"/>
              <w:sz w:val="24"/>
              <w:szCs w:val="24"/>
            </w:rPr>
          </w:pPr>
          <w:r>
            <w:rPr>
              <w:spacing w:val="3"/>
              <w:sz w:val="24"/>
              <w:szCs w:val="24"/>
              <w14:textOutline w14:w="1537" w14:cap="flat" w14:cmpd="sng">
                <w14:solidFill>
                  <w14:srgbClr w14:val="000000"/>
                </w14:solidFill>
                <w14:prstDash w14:val="solid"/>
                <w14:miter w14:val="0"/>
              </w14:textOutline>
            </w:rPr>
            <w:t>第六章</w:t>
          </w:r>
          <w:r>
            <w:rPr>
              <w:spacing w:val="3"/>
              <w:sz w:val="24"/>
              <w:szCs w:val="24"/>
            </w:rPr>
            <w:t xml:space="preserve">   </w:t>
          </w:r>
          <w:r>
            <w:rPr>
              <w:spacing w:val="3"/>
              <w:sz w:val="24"/>
              <w:szCs w:val="24"/>
              <w14:textOutline w14:w="1537" w14:cap="flat" w14:cmpd="sng">
                <w14:solidFill>
                  <w14:srgbClr w14:val="000000"/>
                </w14:solidFill>
                <w14:prstDash w14:val="solid"/>
                <w14:miter w14:val="0"/>
              </w14:textOutline>
            </w:rPr>
            <w:t>响应文件格式</w:t>
          </w:r>
        </w:p>
      </w:sdtContent>
    </w:sdt>
    <w:p>
      <w:pPr>
        <w:spacing w:line="219" w:lineRule="auto"/>
        <w:rPr>
          <w:rFonts w:ascii="Arial" w:hAnsi="Arial" w:eastAsia="Arial" w:cs="Arial"/>
          <w:sz w:val="24"/>
          <w:szCs w:val="24"/>
        </w:rPr>
        <w:sectPr>
          <w:headerReference r:id="rId5" w:type="default"/>
          <w:footerReference r:id="rId6" w:type="default"/>
          <w:pgSz w:w="11907" w:h="16840"/>
          <w:pgMar w:top="1117" w:right="1133" w:bottom="0" w:left="1700" w:header="878" w:footer="0" w:gutter="0"/>
          <w:pgNumType w:fmt="decimal"/>
          <w:cols w:space="720" w:num="1"/>
        </w:sectPr>
      </w:pPr>
    </w:p>
    <w:p>
      <w:pPr>
        <w:pStyle w:val="4"/>
        <w:spacing w:before="358" w:line="219" w:lineRule="auto"/>
        <w:jc w:val="center"/>
        <w:rPr>
          <w:rFonts w:hint="eastAsia" w:eastAsia="宋体"/>
          <w:sz w:val="36"/>
          <w:szCs w:val="36"/>
          <w:lang w:eastAsia="zh-CN"/>
        </w:rPr>
      </w:pPr>
      <w:r>
        <w:rPr>
          <w:spacing w:val="-1"/>
          <w:sz w:val="36"/>
          <w:szCs w:val="36"/>
          <w14:textOutline w14:w="2306" w14:cap="flat" w14:cmpd="sng">
            <w14:solidFill>
              <w14:srgbClr w14:val="000000"/>
            </w14:solidFill>
            <w14:prstDash w14:val="solid"/>
            <w14:miter w14:val="0"/>
          </w14:textOutline>
        </w:rPr>
        <w:t>第一章</w:t>
      </w:r>
      <w:r>
        <w:rPr>
          <w:spacing w:val="-1"/>
          <w:sz w:val="36"/>
          <w:szCs w:val="36"/>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竞争性磋商公告</w:t>
      </w:r>
    </w:p>
    <w:p>
      <w:pPr>
        <w:spacing w:line="296" w:lineRule="auto"/>
        <w:rPr>
          <w:rFonts w:ascii="Arial"/>
          <w:sz w:val="21"/>
        </w:rPr>
      </w:pPr>
    </w:p>
    <w:p>
      <w:pPr>
        <w:spacing w:line="296" w:lineRule="auto"/>
        <w:rPr>
          <w:rFonts w:ascii="Arial"/>
          <w:sz w:val="21"/>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竞争性磋商</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磋商</w:t>
      </w:r>
      <w:r>
        <w:rPr>
          <w:spacing w:val="-6"/>
          <w:sz w:val="24"/>
          <w:szCs w:val="24"/>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pacing w:val="53"/>
          <w:sz w:val="24"/>
          <w:szCs w:val="24"/>
        </w:rPr>
        <w:t xml:space="preserve"> </w:t>
      </w:r>
      <w:r>
        <w:rPr>
          <w:rFonts w:hint="eastAsia" w:asciiTheme="minorEastAsia" w:hAnsiTheme="minorEastAsia" w:eastAsiaTheme="minorEastAsia" w:cstheme="minorEastAsia"/>
          <w:sz w:val="24"/>
          <w:szCs w:val="24"/>
          <w:u w:val="single" w:color="auto"/>
        </w:rPr>
        <w:t>南阳政采磋商-2024-2</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z w:val="24"/>
          <w:szCs w:val="24"/>
          <w:u w:val="single" w:color="auto"/>
        </w:rPr>
        <w:t>南阳市鸭河口水库运行保障中心信息化平台建设项目</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color w:val="FF0000"/>
          <w:sz w:val="24"/>
          <w:szCs w:val="24"/>
          <w:u w:val="single" w:color="auto"/>
        </w:rPr>
        <w:t xml:space="preserve"> </w:t>
      </w:r>
      <w:r>
        <w:rPr>
          <w:rFonts w:hint="eastAsia" w:asciiTheme="minorEastAsia" w:hAnsiTheme="minorEastAsia" w:eastAsiaTheme="minorEastAsia" w:cstheme="minorEastAsia"/>
          <w:color w:val="FF0000"/>
          <w:sz w:val="24"/>
          <w:szCs w:val="24"/>
          <w:u w:val="single" w:color="auto"/>
          <w:lang w:val="en-US" w:eastAsia="zh-CN"/>
        </w:rPr>
        <w:t>85.951407</w:t>
      </w:r>
      <w:r>
        <w:rPr>
          <w:rFonts w:hint="eastAsia" w:asciiTheme="minorEastAsia" w:hAnsiTheme="minorEastAsia" w:eastAsiaTheme="minorEastAsia" w:cstheme="minorEastAsia"/>
          <w:color w:val="FF0000"/>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3"/>
          <w:sz w:val="24"/>
          <w:szCs w:val="24"/>
        </w:rPr>
        <w:t xml:space="preserve">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color w:val="FF0000"/>
          <w:sz w:val="24"/>
          <w:szCs w:val="24"/>
          <w:u w:val="single" w:color="auto"/>
        </w:rPr>
        <w:t xml:space="preserve"> </w:t>
      </w:r>
      <w:r>
        <w:rPr>
          <w:rFonts w:hint="eastAsia" w:asciiTheme="minorEastAsia" w:hAnsiTheme="minorEastAsia" w:eastAsiaTheme="minorEastAsia" w:cstheme="minorEastAsia"/>
          <w:color w:val="FF0000"/>
          <w:sz w:val="24"/>
          <w:szCs w:val="24"/>
          <w:u w:val="single" w:color="auto"/>
          <w:lang w:val="en-US" w:eastAsia="zh-CN"/>
        </w:rPr>
        <w:t>85.951407</w:t>
      </w:r>
      <w:r>
        <w:rPr>
          <w:rFonts w:hint="eastAsia" w:asciiTheme="minorEastAsia" w:hAnsiTheme="minorEastAsia" w:eastAsiaTheme="minorEastAsia" w:cstheme="minorEastAsia"/>
          <w:color w:val="FF0000"/>
          <w:sz w:val="24"/>
          <w:szCs w:val="24"/>
          <w:u w:val="single" w:color="auto"/>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14"/>
          <w:sz w:val="24"/>
          <w:szCs w:val="24"/>
        </w:rPr>
        <w:t>万元</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13"/>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pacing w:val="14"/>
                <w:sz w:val="24"/>
                <w:szCs w:val="24"/>
                <w:lang w:val="en-US" w:eastAsia="zh-CN"/>
              </w:rPr>
              <w:t>南阳政采磋商-2024-2-0</w:t>
            </w:r>
            <w:r>
              <w:rPr>
                <w:rFonts w:hint="eastAsia" w:asciiTheme="minorEastAsia" w:hAnsiTheme="minorEastAsia" w:eastAsiaTheme="minorEastAsia" w:cstheme="minorEastAsia"/>
                <w:color w:val="auto"/>
                <w:spacing w:val="14"/>
                <w:sz w:val="24"/>
                <w:szCs w:val="24"/>
              </w:rPr>
              <w:t>1</w:t>
            </w:r>
          </w:p>
        </w:tc>
        <w:tc>
          <w:tcPr>
            <w:tcW w:w="4215"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南阳市鸭河口水库运行保障中心信息化平台建设项目</w:t>
            </w:r>
          </w:p>
        </w:tc>
        <w:tc>
          <w:tcPr>
            <w:tcW w:w="2321" w:type="dxa"/>
            <w:vAlign w:val="center"/>
          </w:tcPr>
          <w:p>
            <w:pPr>
              <w:pStyle w:val="1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FF0000"/>
                <w:sz w:val="24"/>
                <w:szCs w:val="24"/>
                <w:u w:val="none" w:color="auto"/>
                <w:lang w:val="en-US" w:eastAsia="zh-CN"/>
              </w:rPr>
              <w:t>85.951407</w:t>
            </w:r>
          </w:p>
        </w:tc>
      </w:tr>
    </w:tbl>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5.采购清单或服务要求</w:t>
      </w:r>
    </w:p>
    <w:tbl>
      <w:tblPr>
        <w:tblStyle w:val="10"/>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CellMar>
            <w:top w:w="0" w:type="dxa"/>
            <w:left w:w="108" w:type="dxa"/>
            <w:bottom w:w="0" w:type="dxa"/>
            <w:right w:w="108" w:type="dxa"/>
          </w:tblCellMar>
        </w:tblPrEx>
        <w:trPr>
          <w:trHeight w:val="454" w:hRule="exact"/>
        </w:trPr>
        <w:tc>
          <w:tcPr>
            <w:tcW w:w="1632" w:type="dxa"/>
            <w:shd w:val="clear" w:color="000000" w:fill="FFFFFF"/>
            <w:noWrap w:val="0"/>
            <w:vAlign w:val="center"/>
          </w:tcPr>
          <w:p>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exact"/>
        </w:trPr>
        <w:tc>
          <w:tcPr>
            <w:tcW w:w="1632" w:type="dxa"/>
            <w:shd w:val="clear" w:color="000000" w:fill="FFFFFF"/>
            <w:noWrap w:val="0"/>
            <w:vAlign w:val="center"/>
          </w:tcPr>
          <w:p>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Theme="minorEastAsia" w:hAnsiTheme="minorEastAsia" w:eastAsiaTheme="minorEastAsia" w:cstheme="minorEastAsia"/>
                <w:color w:val="auto"/>
                <w:sz w:val="24"/>
                <w:szCs w:val="24"/>
              </w:rPr>
              <w:t>南阳市鸭河口水库运行保障中心信息化平台建设项目</w:t>
            </w:r>
          </w:p>
        </w:tc>
        <w:tc>
          <w:tcPr>
            <w:tcW w:w="1365" w:type="dxa"/>
            <w:shd w:val="clear" w:color="000000" w:fill="FFFFFF"/>
            <w:noWrap w:val="0"/>
            <w:vAlign w:val="center"/>
          </w:tcPr>
          <w:p>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323" w:type="dxa"/>
            <w:shd w:val="clear" w:color="000000" w:fill="FFFFFF"/>
            <w:noWrap w:val="0"/>
            <w:vAlign w:val="center"/>
          </w:tcPr>
          <w:p>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清单中关于强制节能产品的要求。</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single" w:color="auto"/>
          <w:lang w:val="en-US" w:eastAsia="zh-CN"/>
        </w:rPr>
        <w:t>/</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5"/>
          <w:sz w:val="24"/>
          <w:szCs w:val="24"/>
          <w:lang w:val="en-US" w:eastAsia="zh-CN"/>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 xml:space="preserve">是  </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pPr>
        <w:pStyle w:val="4"/>
        <w:keepNext w:val="0"/>
        <w:keepLines w:val="0"/>
        <w:pageBreakBefore w:val="0"/>
        <w:widowControl/>
        <w:wordWrap/>
        <w:overflowPunct/>
        <w:topLinePunct w:val="0"/>
        <w:bidi w:val="0"/>
        <w:spacing w:line="360" w:lineRule="auto"/>
        <w:outlineLvl w:val="1"/>
        <w:rPr>
          <w:spacing w:val="-1"/>
          <w:sz w:val="24"/>
          <w:szCs w:val="24"/>
          <w14:textOutline w14:w="1537" w14:cap="flat" w14:cmpd="sng">
            <w14:solidFill>
              <w14:srgbClr w14:val="000000"/>
            </w14:solidFill>
            <w14:prstDash w14:val="solid"/>
            <w14:miter w14:val="0"/>
          </w14:textOutline>
        </w:rPr>
      </w:pPr>
    </w:p>
    <w:p>
      <w:pPr>
        <w:pStyle w:val="4"/>
        <w:keepNext w:val="0"/>
        <w:keepLines w:val="0"/>
        <w:pageBreakBefore w:val="0"/>
        <w:widowControl/>
        <w:wordWrap/>
        <w:overflowPunct/>
        <w:topLinePunct w:val="0"/>
        <w:bidi w:val="0"/>
        <w:spacing w:line="360" w:lineRule="auto"/>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w:t>
      </w:r>
      <w:r>
        <w:rPr>
          <w:rFonts w:hint="eastAsia" w:asciiTheme="minorEastAsia" w:hAnsiTheme="minorEastAsia" w:eastAsiaTheme="minorEastAsia" w:cstheme="minorEastAsia"/>
          <w:snapToGrid w:val="0"/>
          <w:color w:val="FF0000"/>
          <w:spacing w:val="-14"/>
          <w:kern w:val="0"/>
          <w:sz w:val="24"/>
          <w:szCs w:val="24"/>
          <w:lang w:val="en-US" w:eastAsia="zh-CN" w:bidi="ar-SA"/>
        </w:rPr>
        <w:t>2021</w:t>
      </w:r>
      <w:r>
        <w:rPr>
          <w:rFonts w:hint="eastAsia" w:asciiTheme="minorEastAsia" w:hAnsiTheme="minorEastAsia" w:eastAsiaTheme="minorEastAsia" w:cstheme="minorEastAsia"/>
          <w:snapToGrid w:val="0"/>
          <w:color w:val="000000"/>
          <w:spacing w:val="-14"/>
          <w:kern w:val="0"/>
          <w:sz w:val="24"/>
          <w:szCs w:val="24"/>
          <w:lang w:val="en-US" w:eastAsia="zh-CN" w:bidi="ar-SA"/>
        </w:rPr>
        <w:t>年以来在经营活动中没有重大违法记录；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u w:val="single"/>
          <w:lang w:val="en-US" w:eastAsia="zh-CN"/>
        </w:rPr>
        <w:t>预留金额    万元或预留    %份额</w:t>
      </w:r>
      <w:r>
        <w:rPr>
          <w:rFonts w:hint="eastAsia" w:asciiTheme="minorEastAsia" w:hAnsiTheme="minorEastAsia" w:eastAsiaTheme="minorEastAsia" w:cstheme="minorEastAsia"/>
          <w:spacing w:val="-2"/>
          <w:position w:val="17"/>
          <w:sz w:val="24"/>
          <w:szCs w:val="24"/>
          <w:u w:val="single"/>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pPr>
        <w:spacing w:line="259" w:lineRule="auto"/>
        <w:rPr>
          <w:rFonts w:ascii="Arial"/>
          <w:sz w:val="21"/>
        </w:rPr>
      </w:pP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2"/>
          <w:sz w:val="24"/>
          <w:szCs w:val="24"/>
        </w:rPr>
        <w:t>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pPr>
        <w:spacing w:line="259" w:lineRule="auto"/>
        <w:rPr>
          <w:rFonts w:ascii="Arial"/>
          <w:sz w:val="21"/>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u w:val="none" w:color="auto"/>
        </w:rPr>
        <w:t xml:space="preserve">1.时间： </w:t>
      </w:r>
      <w:r>
        <w:rPr>
          <w:rFonts w:hint="eastAsia" w:asciiTheme="minorEastAsia" w:hAnsiTheme="minorEastAsia" w:eastAsiaTheme="minorEastAsia" w:cstheme="minorEastAsia"/>
          <w:color w:val="FF0000"/>
          <w:spacing w:val="-13"/>
          <w:sz w:val="24"/>
          <w:szCs w:val="24"/>
          <w:u w:val="none" w:color="auto"/>
        </w:rPr>
        <w:t xml:space="preserve"> </w:t>
      </w:r>
      <w:r>
        <w:rPr>
          <w:rFonts w:hint="eastAsia" w:asciiTheme="minorEastAsia" w:hAnsiTheme="minorEastAsia" w:eastAsiaTheme="minorEastAsia" w:cstheme="minorEastAsia"/>
          <w:color w:val="FF0000"/>
          <w:spacing w:val="-13"/>
          <w:sz w:val="24"/>
          <w:szCs w:val="24"/>
          <w:u w:val="none" w:color="auto"/>
          <w:lang w:val="en-US" w:eastAsia="zh-CN"/>
        </w:rPr>
        <w:t>2024</w:t>
      </w:r>
      <w:r>
        <w:rPr>
          <w:rFonts w:hint="eastAsia" w:asciiTheme="minorEastAsia" w:hAnsiTheme="minorEastAsia" w:eastAsiaTheme="minorEastAsia" w:cstheme="minorEastAsia"/>
          <w:color w:val="FF0000"/>
          <w:spacing w:val="-13"/>
          <w:sz w:val="24"/>
          <w:szCs w:val="24"/>
          <w:u w:val="none" w:color="auto"/>
        </w:rPr>
        <w:t>年</w:t>
      </w:r>
      <w:r>
        <w:rPr>
          <w:rFonts w:hint="eastAsia" w:asciiTheme="minorEastAsia" w:hAnsiTheme="minorEastAsia" w:eastAsiaTheme="minorEastAsia" w:cstheme="minorEastAsia"/>
          <w:color w:val="FF0000"/>
          <w:spacing w:val="-13"/>
          <w:sz w:val="24"/>
          <w:szCs w:val="24"/>
          <w:u w:val="none" w:color="auto"/>
          <w:lang w:val="en-US" w:eastAsia="zh-CN"/>
        </w:rPr>
        <w:t>3</w:t>
      </w:r>
      <w:r>
        <w:rPr>
          <w:rFonts w:hint="eastAsia" w:asciiTheme="minorEastAsia" w:hAnsiTheme="minorEastAsia" w:eastAsiaTheme="minorEastAsia" w:cstheme="minorEastAsia"/>
          <w:color w:val="FF0000"/>
          <w:spacing w:val="-13"/>
          <w:sz w:val="24"/>
          <w:szCs w:val="24"/>
          <w:u w:val="none" w:color="auto"/>
        </w:rPr>
        <w:t>月</w:t>
      </w:r>
      <w:r>
        <w:rPr>
          <w:rFonts w:hint="eastAsia" w:asciiTheme="minorEastAsia" w:hAnsiTheme="minorEastAsia" w:eastAsiaTheme="minorEastAsia" w:cstheme="minorEastAsia"/>
          <w:color w:val="FF0000"/>
          <w:spacing w:val="-13"/>
          <w:sz w:val="24"/>
          <w:szCs w:val="24"/>
          <w:u w:val="none" w:color="auto"/>
          <w:lang w:val="en-US" w:eastAsia="zh-CN"/>
        </w:rPr>
        <w:t>22</w:t>
      </w:r>
      <w:r>
        <w:rPr>
          <w:rFonts w:hint="eastAsia" w:asciiTheme="minorEastAsia" w:hAnsiTheme="minorEastAsia" w:eastAsiaTheme="minorEastAsia" w:cstheme="minorEastAsia"/>
          <w:color w:val="FF0000"/>
          <w:spacing w:val="-16"/>
          <w:sz w:val="24"/>
          <w:szCs w:val="24"/>
          <w:u w:val="none" w:color="auto"/>
        </w:rPr>
        <w:t xml:space="preserve"> </w:t>
      </w:r>
      <w:r>
        <w:rPr>
          <w:rFonts w:hint="eastAsia" w:asciiTheme="minorEastAsia" w:hAnsiTheme="minorEastAsia" w:eastAsiaTheme="minorEastAsia" w:cstheme="minorEastAsia"/>
          <w:color w:val="FF0000"/>
          <w:spacing w:val="-13"/>
          <w:sz w:val="24"/>
          <w:szCs w:val="24"/>
          <w:u w:val="none" w:color="auto"/>
        </w:rPr>
        <w:t>日至</w:t>
      </w:r>
      <w:r>
        <w:rPr>
          <w:rFonts w:hint="eastAsia" w:asciiTheme="minorEastAsia" w:hAnsiTheme="minorEastAsia" w:eastAsiaTheme="minorEastAsia" w:cstheme="minorEastAsia"/>
          <w:color w:val="FF0000"/>
          <w:spacing w:val="-120"/>
          <w:sz w:val="24"/>
          <w:szCs w:val="24"/>
          <w:u w:val="none" w:color="auto"/>
        </w:rPr>
        <w:t xml:space="preserve"> </w:t>
      </w:r>
      <w:r>
        <w:rPr>
          <w:rFonts w:hint="eastAsia" w:asciiTheme="minorEastAsia" w:hAnsiTheme="minorEastAsia" w:eastAsiaTheme="minorEastAsia" w:cstheme="minorEastAsia"/>
          <w:color w:val="FF0000"/>
          <w:sz w:val="24"/>
          <w:szCs w:val="24"/>
          <w:u w:val="none" w:color="auto"/>
        </w:rPr>
        <w:t xml:space="preserve"> </w:t>
      </w:r>
      <w:r>
        <w:rPr>
          <w:rFonts w:hint="eastAsia" w:asciiTheme="minorEastAsia" w:hAnsiTheme="minorEastAsia" w:eastAsiaTheme="minorEastAsia" w:cstheme="minorEastAsia"/>
          <w:color w:val="FF0000"/>
          <w:sz w:val="24"/>
          <w:szCs w:val="24"/>
          <w:u w:val="none" w:color="auto"/>
          <w:lang w:val="en-US" w:eastAsia="zh-CN"/>
        </w:rPr>
        <w:t>2024</w:t>
      </w:r>
      <w:r>
        <w:rPr>
          <w:rFonts w:hint="eastAsia" w:asciiTheme="minorEastAsia" w:hAnsiTheme="minorEastAsia" w:eastAsiaTheme="minorEastAsia" w:cstheme="minorEastAsia"/>
          <w:color w:val="FF0000"/>
          <w:spacing w:val="-13"/>
          <w:sz w:val="24"/>
          <w:szCs w:val="24"/>
          <w:u w:val="none" w:color="auto"/>
        </w:rPr>
        <w:t>年</w:t>
      </w:r>
      <w:r>
        <w:rPr>
          <w:rFonts w:hint="eastAsia" w:asciiTheme="minorEastAsia" w:hAnsiTheme="minorEastAsia" w:eastAsiaTheme="minorEastAsia" w:cstheme="minorEastAsia"/>
          <w:color w:val="FF0000"/>
          <w:spacing w:val="-13"/>
          <w:sz w:val="24"/>
          <w:szCs w:val="24"/>
          <w:u w:val="none" w:color="auto"/>
          <w:lang w:val="en-US" w:eastAsia="zh-CN"/>
        </w:rPr>
        <w:t>3</w:t>
      </w:r>
      <w:r>
        <w:rPr>
          <w:rFonts w:hint="eastAsia" w:asciiTheme="minorEastAsia" w:hAnsiTheme="minorEastAsia" w:eastAsiaTheme="minorEastAsia" w:cstheme="minorEastAsia"/>
          <w:color w:val="FF0000"/>
          <w:spacing w:val="-13"/>
          <w:sz w:val="24"/>
          <w:szCs w:val="24"/>
          <w:u w:val="none" w:color="auto"/>
        </w:rPr>
        <w:t>月</w:t>
      </w:r>
      <w:r>
        <w:rPr>
          <w:rFonts w:hint="eastAsia" w:asciiTheme="minorEastAsia" w:hAnsiTheme="minorEastAsia" w:eastAsiaTheme="minorEastAsia" w:cstheme="minorEastAsia"/>
          <w:color w:val="FF0000"/>
          <w:spacing w:val="-13"/>
          <w:sz w:val="24"/>
          <w:szCs w:val="24"/>
          <w:u w:val="none" w:color="auto"/>
          <w:lang w:val="en-US" w:eastAsia="zh-CN"/>
        </w:rPr>
        <w:t>28</w:t>
      </w:r>
      <w:r>
        <w:rPr>
          <w:rFonts w:hint="eastAsia" w:asciiTheme="minorEastAsia" w:hAnsiTheme="minorEastAsia" w:eastAsiaTheme="minorEastAsia" w:cstheme="minorEastAsia"/>
          <w:color w:val="FF0000"/>
          <w:spacing w:val="-13"/>
          <w:sz w:val="24"/>
          <w:szCs w:val="24"/>
          <w:u w:val="none" w:color="auto"/>
        </w:rPr>
        <w:t>日，</w:t>
      </w:r>
      <w:r>
        <w:rPr>
          <w:rFonts w:hint="eastAsia" w:asciiTheme="minorEastAsia" w:hAnsiTheme="minorEastAsia" w:eastAsiaTheme="minorEastAsia" w:cstheme="minorEastAsia"/>
          <w:color w:val="FF0000"/>
          <w:spacing w:val="-59"/>
          <w:sz w:val="24"/>
          <w:szCs w:val="24"/>
          <w:u w:val="none" w:color="auto"/>
        </w:rPr>
        <w:t xml:space="preserve"> </w:t>
      </w:r>
      <w:r>
        <w:rPr>
          <w:rFonts w:hint="eastAsia" w:asciiTheme="minorEastAsia" w:hAnsiTheme="minorEastAsia" w:eastAsiaTheme="minorEastAsia" w:cstheme="minorEastAsia"/>
          <w:color w:val="FF0000"/>
          <w:spacing w:val="-14"/>
          <w:sz w:val="24"/>
          <w:szCs w:val="24"/>
          <w:u w:val="none" w:color="auto"/>
        </w:rPr>
        <w:t>每天上午</w:t>
      </w:r>
      <w:r>
        <w:rPr>
          <w:rFonts w:hint="eastAsia" w:asciiTheme="minorEastAsia" w:hAnsiTheme="minorEastAsia" w:eastAsiaTheme="minorEastAsia" w:cstheme="minorEastAsia"/>
          <w:color w:val="FF0000"/>
          <w:spacing w:val="-14"/>
          <w:sz w:val="24"/>
          <w:szCs w:val="24"/>
          <w:u w:val="none" w:color="auto"/>
          <w:lang w:val="en-US" w:eastAsia="zh-CN"/>
        </w:rPr>
        <w:t>8;00</w:t>
      </w:r>
      <w:r>
        <w:rPr>
          <w:rFonts w:hint="eastAsia" w:asciiTheme="minorEastAsia" w:hAnsiTheme="minorEastAsia" w:eastAsiaTheme="minorEastAsia" w:cstheme="minorEastAsia"/>
          <w:color w:val="FF0000"/>
          <w:spacing w:val="-14"/>
          <w:sz w:val="24"/>
          <w:szCs w:val="24"/>
          <w:u w:val="none" w:color="auto"/>
        </w:rPr>
        <w:t>至</w:t>
      </w:r>
      <w:r>
        <w:rPr>
          <w:rFonts w:hint="eastAsia" w:asciiTheme="minorEastAsia" w:hAnsiTheme="minorEastAsia" w:eastAsiaTheme="minorEastAsia" w:cstheme="minorEastAsia"/>
          <w:color w:val="FF0000"/>
          <w:spacing w:val="-14"/>
          <w:sz w:val="24"/>
          <w:szCs w:val="24"/>
          <w:u w:val="none" w:color="auto"/>
          <w:lang w:val="en-US" w:eastAsia="zh-CN"/>
        </w:rPr>
        <w:t>12:00</w:t>
      </w:r>
      <w:r>
        <w:rPr>
          <w:rFonts w:hint="eastAsia" w:asciiTheme="minorEastAsia" w:hAnsiTheme="minorEastAsia" w:eastAsiaTheme="minorEastAsia" w:cstheme="minorEastAsia"/>
          <w:color w:val="FF0000"/>
          <w:spacing w:val="-14"/>
          <w:sz w:val="24"/>
          <w:szCs w:val="24"/>
          <w:u w:val="none" w:color="auto"/>
        </w:rPr>
        <w:t>，下午</w:t>
      </w:r>
      <w:r>
        <w:rPr>
          <w:rFonts w:hint="eastAsia" w:asciiTheme="minorEastAsia" w:hAnsiTheme="minorEastAsia" w:eastAsiaTheme="minorEastAsia" w:cstheme="minorEastAsia"/>
          <w:color w:val="FF0000"/>
          <w:spacing w:val="-14"/>
          <w:sz w:val="24"/>
          <w:szCs w:val="24"/>
          <w:u w:val="none" w:color="auto"/>
          <w:lang w:val="en-US" w:eastAsia="zh-CN"/>
        </w:rPr>
        <w:t>12:00</w:t>
      </w:r>
      <w:r>
        <w:rPr>
          <w:rFonts w:hint="eastAsia" w:asciiTheme="minorEastAsia" w:hAnsiTheme="minorEastAsia" w:eastAsiaTheme="minorEastAsia" w:cstheme="minorEastAsia"/>
          <w:color w:val="FF0000"/>
          <w:spacing w:val="-14"/>
          <w:sz w:val="24"/>
          <w:szCs w:val="24"/>
          <w:u w:val="none" w:color="auto"/>
        </w:rPr>
        <w:t>至</w:t>
      </w:r>
      <w:r>
        <w:rPr>
          <w:rFonts w:hint="eastAsia" w:asciiTheme="minorEastAsia" w:hAnsiTheme="minorEastAsia" w:eastAsiaTheme="minorEastAsia" w:cstheme="minorEastAsia"/>
          <w:color w:val="FF0000"/>
          <w:spacing w:val="-14"/>
          <w:sz w:val="24"/>
          <w:szCs w:val="24"/>
          <w:u w:val="none" w:color="auto"/>
          <w:lang w:val="en-US" w:eastAsia="zh-CN"/>
        </w:rPr>
        <w:t>18:00</w:t>
      </w:r>
      <w:r>
        <w:rPr>
          <w:rFonts w:hint="eastAsia" w:asciiTheme="minorEastAsia" w:hAnsiTheme="minorEastAsia" w:eastAsiaTheme="minorEastAsia" w:cstheme="minorEastAsia"/>
          <w:color w:val="FF0000"/>
          <w:spacing w:val="22"/>
          <w:sz w:val="24"/>
          <w:szCs w:val="24"/>
        </w:rPr>
        <w:t xml:space="preserve">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pPr>
        <w:spacing w:line="360" w:lineRule="auto"/>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pPr>
        <w:widowControl w:val="0"/>
        <w:spacing w:after="0" w:line="360" w:lineRule="auto"/>
        <w:ind w:firstLine="600"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使用电子营业执照系统的，</w:t>
      </w:r>
      <w:r>
        <w:rPr>
          <w:rFonts w:hint="eastAsia" w:asciiTheme="minorEastAsia" w:hAnsiTheme="minorEastAsia" w:eastAsiaTheme="minorEastAsia" w:cstheme="minorEastAsia"/>
          <w:spacing w:val="-4"/>
          <w:sz w:val="24"/>
          <w:szCs w:val="24"/>
          <w:lang w:eastAsia="zh-CN"/>
        </w:rPr>
        <w:t>未入库的供应商请及时办理入库手续。</w:t>
      </w:r>
      <w:bookmarkStart w:id="3" w:name="_Hlk117077716"/>
      <w:r>
        <w:rPr>
          <w:rFonts w:hint="eastAsia" w:asciiTheme="minorEastAsia" w:hAnsiTheme="minorEastAsia" w:eastAsiaTheme="minorEastAsia" w:cstheme="minorEastAsia"/>
          <w:spacing w:val="-4"/>
          <w:sz w:val="24"/>
          <w:szCs w:val="24"/>
          <w:lang w:eastAsia="zh-CN"/>
        </w:rPr>
        <w:t>入库办理请参见南阳市公共资源交易中心网https://ggzyjy.nanyang.gov.cn下载专区《诚信库申报操作手册》</w:t>
      </w:r>
      <w:bookmarkEnd w:id="3"/>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完成企业诚信库注册后可申领电子营业执照，申领电子营业执照请参见南阳市公共资源交易中心下载专区《电子营业执照应用平台系统操作手册-投标单位》。</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使用电子营业执照扫码登</w:t>
      </w:r>
      <w:r>
        <w:rPr>
          <w:rFonts w:hint="eastAsia" w:asciiTheme="minorEastAsia" w:hAnsiTheme="minorEastAsia" w:eastAsiaTheme="minorEastAsia" w:cstheme="minorEastAsia"/>
          <w:spacing w:val="-4"/>
          <w:sz w:val="24"/>
          <w:szCs w:val="24"/>
          <w:lang w:val="en-US" w:eastAsia="zh-CN"/>
        </w:rPr>
        <w:t>录</w:t>
      </w:r>
      <w:r>
        <w:rPr>
          <w:rFonts w:hint="eastAsia" w:asciiTheme="minorEastAsia" w:hAnsiTheme="minorEastAsia" w:eastAsiaTheme="minorEastAsia" w:cstheme="minorEastAsia"/>
          <w:spacing w:val="-4"/>
          <w:sz w:val="24"/>
          <w:szCs w:val="24"/>
          <w:lang w:eastAsia="zh-CN"/>
        </w:rPr>
        <w:t>南阳市公共资源电子营业执照应用平台系统（http://</w:t>
      </w:r>
      <w:bookmarkStart w:id="4" w:name="_Hlk117068952"/>
      <w:r>
        <w:rPr>
          <w:rFonts w:hint="eastAsia" w:asciiTheme="minorEastAsia" w:hAnsiTheme="minorEastAsia" w:eastAsiaTheme="minorEastAsia" w:cstheme="minorEastAsia"/>
          <w:spacing w:val="-4"/>
          <w:sz w:val="24"/>
          <w:szCs w:val="24"/>
          <w:lang w:eastAsia="zh-CN"/>
        </w:rPr>
        <w:t>111.6.77.187:8081</w:t>
      </w:r>
      <w:bookmarkEnd w:id="4"/>
      <w:r>
        <w:rPr>
          <w:rFonts w:hint="eastAsia" w:asciiTheme="minorEastAsia" w:hAnsiTheme="minorEastAsia" w:eastAsiaTheme="minorEastAsia" w:cstheme="minorEastAsia"/>
          <w:spacing w:val="-4"/>
          <w:sz w:val="24"/>
          <w:szCs w:val="24"/>
          <w:lang w:eastAsia="zh-CN"/>
        </w:rPr>
        <w:t>/ggzy/）免费下载</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文件。电子营业执照申领技术支持电话：17269580661、17269580657，电子营业执照应用平台技术支持电话：17719857571</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 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pPr>
        <w:shd w:val="clear" w:color="auto" w:fill="FFFFFF"/>
        <w:spacing w:line="360" w:lineRule="auto"/>
        <w:ind w:firstLine="600"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竞争性磋商</w:t>
      </w:r>
      <w:r>
        <w:rPr>
          <w:rFonts w:hint="eastAsia" w:asciiTheme="minorEastAsia" w:hAnsiTheme="minorEastAsia" w:eastAsiaTheme="minorEastAsia" w:cstheme="minorEastAsia"/>
          <w:spacing w:val="-4"/>
          <w:sz w:val="24"/>
          <w:szCs w:val="24"/>
          <w:lang w:eastAsia="zh-CN"/>
        </w:rPr>
        <w:t>文件规定的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磋商</w:t>
      </w:r>
      <w:r>
        <w:rPr>
          <w:rFonts w:hint="eastAsia" w:asciiTheme="minorEastAsia" w:hAnsiTheme="minorEastAsia" w:eastAsiaTheme="minorEastAsia" w:cstheme="minorEastAsia"/>
          <w:spacing w:val="-4"/>
          <w:sz w:val="24"/>
          <w:szCs w:val="24"/>
          <w:lang w:eastAsia="zh-CN"/>
        </w:rPr>
        <w:t>。</w:t>
      </w:r>
    </w:p>
    <w:p>
      <w:pPr>
        <w:shd w:val="clear" w:color="auto" w:fill="FFFFFF"/>
        <w:spacing w:line="360" w:lineRule="auto"/>
        <w:ind w:firstLine="464" w:firstLineChars="200"/>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文件”。电子交易系统技术支持电话：400-998-0000</w:t>
      </w:r>
      <w:r>
        <w:rPr>
          <w:rFonts w:hint="eastAsia" w:asciiTheme="minorEastAsia" w:hAnsiTheme="minorEastAsia" w:eastAsiaTheme="minorEastAsia" w:cstheme="minorEastAsia"/>
          <w:spacing w:val="-4"/>
          <w:sz w:val="24"/>
          <w:szCs w:val="24"/>
          <w:lang w:val="en-US" w:eastAsia="zh-CN"/>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4"/>
          <w:sz w:val="24"/>
          <w:szCs w:val="24"/>
          <w:lang w:val="en-US" w:eastAsia="zh-CN"/>
        </w:rPr>
        <w:t>使用电子营业执照系统的</w:t>
      </w:r>
      <w:r>
        <w:rPr>
          <w:rFonts w:hint="eastAsia" w:asciiTheme="minorEastAsia" w:hAnsiTheme="minorEastAsia" w:eastAsiaTheme="minorEastAsia" w:cstheme="minorEastAsia"/>
          <w:spacing w:val="30"/>
          <w:sz w:val="24"/>
          <w:szCs w:val="24"/>
          <w:lang w:val="en-US" w:eastAsia="zh-CN"/>
        </w:rPr>
        <w:t>。</w:t>
      </w:r>
      <w:r>
        <w:rPr>
          <w:rFonts w:hint="eastAsia" w:asciiTheme="minorEastAsia" w:hAnsiTheme="minorEastAsia" w:eastAsiaTheme="minorEastAsia" w:cstheme="minorEastAsia"/>
          <w:spacing w:val="-4"/>
          <w:sz w:val="24"/>
          <w:szCs w:val="24"/>
          <w:lang w:val="en-US" w:eastAsia="zh-CN"/>
        </w:rPr>
        <w:t>供应商须上传加密电子响应文件。电子响应文件需要使用“电子营业执照应用平台投标文件制作工具（南阳版）”制作，制作工具及操作手册可在南阳市公共资源电子营业执照应用平台系统“系统功能”-“组件下载”处下载。</w:t>
      </w:r>
      <w:r>
        <w:rPr>
          <w:rFonts w:hint="eastAsia" w:asciiTheme="minorEastAsia" w:hAnsiTheme="minorEastAsia" w:eastAsiaTheme="minorEastAsia" w:cstheme="minorEastAsia"/>
          <w:spacing w:val="-4"/>
          <w:sz w:val="24"/>
          <w:szCs w:val="24"/>
          <w:lang w:eastAsia="zh-CN"/>
        </w:rPr>
        <w:t>加密电子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文件（格式后缀为:.file）应在</w:t>
      </w:r>
      <w:r>
        <w:rPr>
          <w:rFonts w:hint="eastAsia" w:asciiTheme="minorEastAsia" w:hAnsiTheme="minorEastAsia" w:eastAsiaTheme="minorEastAsia" w:cstheme="minorEastAsia"/>
          <w:spacing w:val="-4"/>
          <w:sz w:val="24"/>
          <w:szCs w:val="24"/>
          <w:lang w:val="en-US" w:eastAsia="zh-CN"/>
        </w:rPr>
        <w:t>竞争性磋商</w:t>
      </w:r>
      <w:r>
        <w:rPr>
          <w:rFonts w:hint="eastAsia" w:asciiTheme="minorEastAsia" w:hAnsiTheme="minorEastAsia" w:eastAsiaTheme="minorEastAsia" w:cstheme="minorEastAsia"/>
          <w:spacing w:val="-4"/>
          <w:sz w:val="24"/>
          <w:szCs w:val="24"/>
          <w:lang w:eastAsia="zh-CN"/>
        </w:rPr>
        <w:t>文件规定的上传截止时间前上传至电子营业执照应用平台系统（http://111.6.77.187:8081/ggzy/）。逾期上传至电子营业执照应用平台系统的电子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文件视为无效文件。</w:t>
      </w:r>
    </w:p>
    <w:p>
      <w:pPr>
        <w:widowControl w:val="0"/>
        <w:spacing w:after="0" w:line="360" w:lineRule="auto"/>
        <w:ind w:left="9" w:firstLine="424" w:firstLineChars="183"/>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本项目采用全流程电子化，供应商应在开标时间前登录电子营业执照应用平台系统不见面开标大厅；在响应文件解密过程中，</w:t>
      </w:r>
      <w:r>
        <w:rPr>
          <w:rFonts w:hint="eastAsia" w:asciiTheme="minorEastAsia" w:hAnsiTheme="minorEastAsia" w:eastAsiaTheme="minorEastAsia" w:cstheme="minorEastAsia"/>
          <w:spacing w:val="-4"/>
          <w:sz w:val="24"/>
          <w:szCs w:val="24"/>
          <w:lang w:eastAsia="zh-CN"/>
        </w:rPr>
        <w:t>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w:t>
      </w:r>
      <w:r>
        <w:rPr>
          <w:rFonts w:hint="eastAsia" w:asciiTheme="minorEastAsia" w:hAnsiTheme="minorEastAsia" w:eastAsiaTheme="minorEastAsia" w:cstheme="minorEastAsia"/>
          <w:snapToGrid w:val="0"/>
          <w:color w:val="000000"/>
          <w:spacing w:val="-4"/>
          <w:kern w:val="0"/>
          <w:sz w:val="24"/>
          <w:szCs w:val="24"/>
          <w:lang w:val="en-US" w:eastAsia="zh-CN" w:bidi="ar-SA"/>
        </w:rPr>
        <w:t>解密过程中遇到紧急事项，可在不见面开标大厅中提出异议或者文字交流，严重问题可拨打技术支持电话17719857571。</w:t>
      </w:r>
    </w:p>
    <w:p>
      <w:pPr>
        <w:pStyle w:val="4"/>
        <w:spacing w:before="79" w:line="222" w:lineRule="auto"/>
        <w:ind w:left="15"/>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pPr>
        <w:pStyle w:val="4"/>
        <w:spacing w:before="79" w:line="222" w:lineRule="auto"/>
        <w:ind w:left="15"/>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pPr>
        <w:pStyle w:val="4"/>
        <w:keepNext w:val="0"/>
        <w:keepLines w:val="0"/>
        <w:pageBreakBefore w:val="0"/>
        <w:widowControl/>
        <w:kinsoku w:val="0"/>
        <w:wordWrap/>
        <w:overflowPunct/>
        <w:topLinePunct w:val="0"/>
        <w:autoSpaceDE w:val="0"/>
        <w:autoSpaceDN w:val="0"/>
        <w:bidi w:val="0"/>
        <w:adjustRightInd w:val="0"/>
        <w:snapToGrid w:val="0"/>
        <w:spacing w:before="181" w:line="360" w:lineRule="auto"/>
        <w:textAlignment w:val="baseline"/>
        <w:rPr>
          <w:color w:val="FF0000"/>
          <w:sz w:val="24"/>
          <w:szCs w:val="24"/>
        </w:rPr>
      </w:pPr>
      <w:r>
        <w:rPr>
          <w:color w:val="FF0000"/>
          <w:spacing w:val="-25"/>
          <w:sz w:val="24"/>
          <w:szCs w:val="24"/>
        </w:rPr>
        <w:t xml:space="preserve">时间： </w:t>
      </w:r>
      <w:r>
        <w:rPr>
          <w:rFonts w:hint="eastAsia"/>
          <w:color w:val="FF0000"/>
          <w:spacing w:val="5"/>
          <w:sz w:val="24"/>
          <w:szCs w:val="24"/>
          <w:u w:val="single" w:color="auto"/>
          <w:lang w:val="en-US" w:eastAsia="zh-CN"/>
        </w:rPr>
        <w:t>2024</w:t>
      </w:r>
      <w:r>
        <w:rPr>
          <w:color w:val="FF0000"/>
          <w:spacing w:val="-109"/>
          <w:sz w:val="24"/>
          <w:szCs w:val="24"/>
        </w:rPr>
        <w:t xml:space="preserve"> </w:t>
      </w:r>
      <w:r>
        <w:rPr>
          <w:color w:val="FF0000"/>
          <w:spacing w:val="-25"/>
          <w:sz w:val="24"/>
          <w:szCs w:val="24"/>
        </w:rPr>
        <w:t>年</w:t>
      </w:r>
      <w:r>
        <w:rPr>
          <w:rFonts w:hint="eastAsia"/>
          <w:color w:val="FF0000"/>
          <w:sz w:val="24"/>
          <w:szCs w:val="24"/>
          <w:u w:val="single" w:color="auto"/>
          <w:lang w:val="en-US" w:eastAsia="zh-CN"/>
        </w:rPr>
        <w:t>4</w:t>
      </w:r>
      <w:r>
        <w:rPr>
          <w:color w:val="FF0000"/>
          <w:spacing w:val="-105"/>
          <w:sz w:val="24"/>
          <w:szCs w:val="24"/>
        </w:rPr>
        <w:t xml:space="preserve"> </w:t>
      </w:r>
      <w:r>
        <w:rPr>
          <w:color w:val="FF0000"/>
          <w:spacing w:val="-25"/>
          <w:sz w:val="24"/>
          <w:szCs w:val="24"/>
        </w:rPr>
        <w:t>月</w:t>
      </w:r>
      <w:r>
        <w:rPr>
          <w:rFonts w:hint="eastAsia"/>
          <w:color w:val="FF0000"/>
          <w:sz w:val="24"/>
          <w:szCs w:val="24"/>
          <w:u w:val="single" w:color="auto"/>
          <w:lang w:val="en-US" w:eastAsia="zh-CN"/>
        </w:rPr>
        <w:t>2</w:t>
      </w:r>
      <w:r>
        <w:rPr>
          <w:color w:val="FF0000"/>
          <w:spacing w:val="-69"/>
          <w:sz w:val="24"/>
          <w:szCs w:val="24"/>
        </w:rPr>
        <w:t xml:space="preserve"> </w:t>
      </w:r>
      <w:r>
        <w:rPr>
          <w:color w:val="FF0000"/>
          <w:spacing w:val="-25"/>
          <w:sz w:val="24"/>
          <w:szCs w:val="24"/>
        </w:rPr>
        <w:t>日</w:t>
      </w:r>
      <w:r>
        <w:rPr>
          <w:rFonts w:hint="eastAsia"/>
          <w:color w:val="FF0000"/>
          <w:sz w:val="24"/>
          <w:szCs w:val="24"/>
          <w:u w:val="single" w:color="auto"/>
          <w:lang w:val="en-US" w:eastAsia="zh-CN"/>
        </w:rPr>
        <w:t>9</w:t>
      </w:r>
      <w:r>
        <w:rPr>
          <w:color w:val="FF0000"/>
          <w:spacing w:val="-25"/>
          <w:sz w:val="24"/>
          <w:szCs w:val="24"/>
        </w:rPr>
        <w:t>点</w:t>
      </w:r>
      <w:r>
        <w:rPr>
          <w:color w:val="FF0000"/>
          <w:sz w:val="24"/>
          <w:szCs w:val="24"/>
          <w:u w:val="single" w:color="auto"/>
        </w:rPr>
        <w:t xml:space="preserve"> </w:t>
      </w:r>
      <w:r>
        <w:rPr>
          <w:rFonts w:hint="eastAsia"/>
          <w:color w:val="FF0000"/>
          <w:sz w:val="24"/>
          <w:szCs w:val="24"/>
          <w:u w:val="single" w:color="auto"/>
          <w:lang w:val="en-US" w:eastAsia="zh-CN"/>
        </w:rPr>
        <w:t>0</w:t>
      </w:r>
      <w:r>
        <w:rPr>
          <w:color w:val="FF0000"/>
          <w:sz w:val="24"/>
          <w:szCs w:val="24"/>
          <w:u w:val="single" w:color="auto"/>
        </w:rPr>
        <w:t xml:space="preserve"> </w:t>
      </w:r>
      <w:r>
        <w:rPr>
          <w:color w:val="FF0000"/>
          <w:spacing w:val="-25"/>
          <w:sz w:val="24"/>
          <w:szCs w:val="24"/>
        </w:rPr>
        <w:t>分（北京时间）。</w:t>
      </w:r>
    </w:p>
    <w:p>
      <w:pPr>
        <w:pStyle w:val="4"/>
        <w:keepNext w:val="0"/>
        <w:keepLines w:val="0"/>
        <w:pageBreakBefore w:val="0"/>
        <w:widowControl/>
        <w:kinsoku w:val="0"/>
        <w:wordWrap/>
        <w:overflowPunct/>
        <w:topLinePunct w:val="0"/>
        <w:autoSpaceDE w:val="0"/>
        <w:autoSpaceDN w:val="0"/>
        <w:bidi w:val="0"/>
        <w:adjustRightInd w:val="0"/>
        <w:snapToGrid w:val="0"/>
        <w:spacing w:before="180" w:line="360" w:lineRule="auto"/>
        <w:textAlignment w:val="baseline"/>
        <w:rPr>
          <w:rFonts w:hint="eastAsia" w:ascii="Arial" w:hAnsi="Arial" w:eastAsia="宋体" w:cs="Arial"/>
          <w:sz w:val="24"/>
          <w:szCs w:val="24"/>
          <w:lang w:eastAsia="zh-CN"/>
        </w:rPr>
      </w:pPr>
      <w:r>
        <w:rPr>
          <w:spacing w:val="-31"/>
          <w:sz w:val="24"/>
          <w:szCs w:val="24"/>
        </w:rPr>
        <w:t>地点：</w:t>
      </w:r>
      <w:r>
        <w:rPr>
          <w:rFonts w:hint="eastAsia" w:ascii="Arial" w:hAnsi="Arial" w:eastAsia="Arial" w:cs="Arial"/>
          <w:position w:val="5"/>
          <w:sz w:val="24"/>
          <w:szCs w:val="24"/>
        </w:rPr>
        <w:t>本项目使用不见面开标，供应商无需前往现场来参与投标。具体操作流程详见南阳市公共资源交易中心网下载专区栏发布的南阳不见面开标－操作手册（投标人）</w:t>
      </w:r>
      <w:r>
        <w:rPr>
          <w:rFonts w:hint="eastAsia" w:ascii="Arial" w:hAnsi="Arial" w:cs="Arial"/>
          <w:position w:val="5"/>
          <w:sz w:val="24"/>
          <w:szCs w:val="24"/>
          <w:lang w:eastAsia="zh-CN"/>
        </w:rPr>
        <w:t>。</w:t>
      </w:r>
    </w:p>
    <w:p>
      <w:pPr>
        <w:spacing w:line="269" w:lineRule="auto"/>
        <w:rPr>
          <w:rFonts w:ascii="Arial"/>
          <w:sz w:val="21"/>
        </w:rPr>
      </w:pPr>
    </w:p>
    <w:p>
      <w:pPr>
        <w:spacing w:line="269" w:lineRule="auto"/>
        <w:rPr>
          <w:rFonts w:ascii="Arial"/>
          <w:sz w:val="21"/>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outlineLvl w:val="1"/>
        <w:rPr>
          <w:rFonts w:hint="eastAsia" w:asciiTheme="minorEastAsia" w:hAnsiTheme="minorEastAsia" w:eastAsiaTheme="minorEastAsia" w:cstheme="minorEastAsia"/>
          <w:color w:val="FF0000"/>
          <w:spacing w:val="-13"/>
          <w:sz w:val="24"/>
          <w:szCs w:val="24"/>
          <w:lang w:eastAsia="zh-CN"/>
        </w:rPr>
      </w:pPr>
      <w:r>
        <w:rPr>
          <w:rFonts w:hint="eastAsia" w:asciiTheme="minorEastAsia" w:hAnsiTheme="minorEastAsia" w:eastAsiaTheme="minorEastAsia" w:cstheme="minorEastAsia"/>
          <w:color w:val="FF0000"/>
          <w:spacing w:val="-13"/>
          <w:sz w:val="24"/>
          <w:szCs w:val="24"/>
        </w:rPr>
        <w:t xml:space="preserve"> </w:t>
      </w:r>
      <w:r>
        <w:rPr>
          <w:rFonts w:hint="eastAsia" w:asciiTheme="minorEastAsia" w:hAnsiTheme="minorEastAsia" w:eastAsiaTheme="minorEastAsia" w:cstheme="minorEastAsia"/>
          <w:color w:val="FF0000"/>
          <w:spacing w:val="-13"/>
          <w:sz w:val="24"/>
          <w:szCs w:val="24"/>
          <w:u w:val="single" w:color="auto"/>
        </w:rPr>
        <w:t xml:space="preserve"> </w:t>
      </w:r>
      <w:r>
        <w:rPr>
          <w:rFonts w:hint="eastAsia" w:asciiTheme="minorEastAsia" w:hAnsiTheme="minorEastAsia" w:eastAsiaTheme="minorEastAsia" w:cstheme="minorEastAsia"/>
          <w:color w:val="FF0000"/>
          <w:spacing w:val="-13"/>
          <w:sz w:val="24"/>
          <w:szCs w:val="24"/>
          <w:u w:val="single" w:color="auto"/>
          <w:lang w:val="en-US" w:eastAsia="zh-CN"/>
        </w:rPr>
        <w:t>2024</w:t>
      </w:r>
      <w:r>
        <w:rPr>
          <w:rFonts w:hint="eastAsia" w:asciiTheme="minorEastAsia" w:hAnsiTheme="minorEastAsia" w:eastAsiaTheme="minorEastAsia" w:cstheme="minorEastAsia"/>
          <w:color w:val="FF0000"/>
          <w:spacing w:val="-13"/>
          <w:sz w:val="24"/>
          <w:szCs w:val="24"/>
          <w:u w:val="single" w:color="auto"/>
        </w:rPr>
        <w:t xml:space="preserve">  </w:t>
      </w:r>
      <w:r>
        <w:rPr>
          <w:rFonts w:hint="eastAsia" w:asciiTheme="minorEastAsia" w:hAnsiTheme="minorEastAsia" w:eastAsiaTheme="minorEastAsia" w:cstheme="minorEastAsia"/>
          <w:color w:val="FF0000"/>
          <w:spacing w:val="-110"/>
          <w:sz w:val="24"/>
          <w:szCs w:val="24"/>
        </w:rPr>
        <w:t xml:space="preserve"> </w:t>
      </w:r>
      <w:r>
        <w:rPr>
          <w:rFonts w:hint="eastAsia" w:asciiTheme="minorEastAsia" w:hAnsiTheme="minorEastAsia" w:eastAsiaTheme="minorEastAsia" w:cstheme="minorEastAsia"/>
          <w:color w:val="FF0000"/>
          <w:spacing w:val="-13"/>
          <w:sz w:val="24"/>
          <w:szCs w:val="24"/>
        </w:rPr>
        <w:t>年</w:t>
      </w:r>
      <w:r>
        <w:rPr>
          <w:rFonts w:hint="eastAsia" w:asciiTheme="minorEastAsia" w:hAnsiTheme="minorEastAsia" w:eastAsiaTheme="minorEastAsia" w:cstheme="minorEastAsia"/>
          <w:color w:val="FF0000"/>
          <w:spacing w:val="-13"/>
          <w:sz w:val="24"/>
          <w:szCs w:val="24"/>
          <w:lang w:val="en-US" w:eastAsia="zh-CN"/>
        </w:rPr>
        <w:t xml:space="preserve"> 3 </w:t>
      </w:r>
      <w:r>
        <w:rPr>
          <w:rFonts w:hint="eastAsia" w:asciiTheme="minorEastAsia" w:hAnsiTheme="minorEastAsia" w:eastAsiaTheme="minorEastAsia" w:cstheme="minorEastAsia"/>
          <w:color w:val="FF0000"/>
          <w:spacing w:val="-13"/>
          <w:sz w:val="24"/>
          <w:szCs w:val="24"/>
        </w:rPr>
        <w:t>月</w:t>
      </w:r>
      <w:r>
        <w:rPr>
          <w:rFonts w:hint="eastAsia" w:asciiTheme="minorEastAsia" w:hAnsiTheme="minorEastAsia" w:eastAsiaTheme="minorEastAsia" w:cstheme="minorEastAsia"/>
          <w:color w:val="FF0000"/>
          <w:spacing w:val="-13"/>
          <w:sz w:val="24"/>
          <w:szCs w:val="24"/>
          <w:lang w:val="en-US" w:eastAsia="zh-CN"/>
        </w:rPr>
        <w:t xml:space="preserve"> 22 </w:t>
      </w:r>
      <w:r>
        <w:rPr>
          <w:rFonts w:hint="eastAsia" w:asciiTheme="minorEastAsia" w:hAnsiTheme="minorEastAsia" w:eastAsiaTheme="minorEastAsia" w:cstheme="minorEastAsia"/>
          <w:color w:val="FF0000"/>
          <w:spacing w:val="-16"/>
          <w:sz w:val="24"/>
          <w:szCs w:val="24"/>
        </w:rPr>
        <w:t xml:space="preserve"> </w:t>
      </w:r>
      <w:r>
        <w:rPr>
          <w:rFonts w:hint="eastAsia" w:asciiTheme="minorEastAsia" w:hAnsiTheme="minorEastAsia" w:eastAsiaTheme="minorEastAsia" w:cstheme="minorEastAsia"/>
          <w:color w:val="FF0000"/>
          <w:spacing w:val="-13"/>
          <w:sz w:val="24"/>
          <w:szCs w:val="24"/>
        </w:rPr>
        <w:t>日至</w:t>
      </w:r>
      <w:r>
        <w:rPr>
          <w:rFonts w:hint="eastAsia" w:asciiTheme="minorEastAsia" w:hAnsiTheme="minorEastAsia" w:eastAsiaTheme="minorEastAsia" w:cstheme="minorEastAsia"/>
          <w:color w:val="FF0000"/>
          <w:spacing w:val="-120"/>
          <w:sz w:val="24"/>
          <w:szCs w:val="24"/>
        </w:rPr>
        <w:t xml:space="preserve"> </w:t>
      </w:r>
      <w:r>
        <w:rPr>
          <w:rFonts w:hint="eastAsia" w:asciiTheme="minorEastAsia" w:hAnsiTheme="minorEastAsia" w:eastAsiaTheme="minorEastAsia" w:cstheme="minorEastAsia"/>
          <w:color w:val="FF0000"/>
          <w:sz w:val="24"/>
          <w:szCs w:val="24"/>
          <w:u w:val="single" w:color="auto"/>
        </w:rPr>
        <w:t xml:space="preserve"> </w:t>
      </w:r>
      <w:r>
        <w:rPr>
          <w:rFonts w:hint="eastAsia" w:asciiTheme="minorEastAsia" w:hAnsiTheme="minorEastAsia" w:eastAsiaTheme="minorEastAsia" w:cstheme="minorEastAsia"/>
          <w:color w:val="FF0000"/>
          <w:sz w:val="24"/>
          <w:szCs w:val="24"/>
          <w:u w:val="single" w:color="auto"/>
          <w:lang w:val="en-US" w:eastAsia="zh-CN"/>
        </w:rPr>
        <w:t>2024</w:t>
      </w:r>
      <w:r>
        <w:rPr>
          <w:rFonts w:hint="eastAsia" w:asciiTheme="minorEastAsia" w:hAnsiTheme="minorEastAsia" w:eastAsiaTheme="minorEastAsia" w:cstheme="minorEastAsia"/>
          <w:color w:val="FF0000"/>
          <w:sz w:val="24"/>
          <w:szCs w:val="24"/>
          <w:u w:val="single" w:color="auto"/>
        </w:rPr>
        <w:t xml:space="preserve">  </w:t>
      </w:r>
      <w:r>
        <w:rPr>
          <w:rFonts w:hint="eastAsia" w:asciiTheme="minorEastAsia" w:hAnsiTheme="minorEastAsia" w:eastAsiaTheme="minorEastAsia" w:cstheme="minorEastAsia"/>
          <w:color w:val="FF0000"/>
          <w:spacing w:val="-108"/>
          <w:sz w:val="24"/>
          <w:szCs w:val="24"/>
        </w:rPr>
        <w:t xml:space="preserve"> </w:t>
      </w:r>
      <w:r>
        <w:rPr>
          <w:rFonts w:hint="eastAsia" w:asciiTheme="minorEastAsia" w:hAnsiTheme="minorEastAsia" w:eastAsiaTheme="minorEastAsia" w:cstheme="minorEastAsia"/>
          <w:color w:val="FF0000"/>
          <w:spacing w:val="-13"/>
          <w:sz w:val="24"/>
          <w:szCs w:val="24"/>
        </w:rPr>
        <w:t>年</w:t>
      </w:r>
      <w:r>
        <w:rPr>
          <w:rFonts w:hint="eastAsia" w:asciiTheme="minorEastAsia" w:hAnsiTheme="minorEastAsia" w:eastAsiaTheme="minorEastAsia" w:cstheme="minorEastAsia"/>
          <w:color w:val="FF0000"/>
          <w:spacing w:val="-13"/>
          <w:sz w:val="24"/>
          <w:szCs w:val="24"/>
          <w:lang w:val="en-US" w:eastAsia="zh-CN"/>
        </w:rPr>
        <w:t xml:space="preserve"> 3 </w:t>
      </w:r>
      <w:r>
        <w:rPr>
          <w:rFonts w:hint="eastAsia" w:asciiTheme="minorEastAsia" w:hAnsiTheme="minorEastAsia" w:eastAsiaTheme="minorEastAsia" w:cstheme="minorEastAsia"/>
          <w:color w:val="FF0000"/>
          <w:spacing w:val="-13"/>
          <w:sz w:val="24"/>
          <w:szCs w:val="24"/>
        </w:rPr>
        <w:t>月</w:t>
      </w:r>
      <w:r>
        <w:rPr>
          <w:rFonts w:hint="eastAsia" w:asciiTheme="minorEastAsia" w:hAnsiTheme="minorEastAsia" w:eastAsiaTheme="minorEastAsia" w:cstheme="minorEastAsia"/>
          <w:color w:val="FF0000"/>
          <w:spacing w:val="-13"/>
          <w:sz w:val="24"/>
          <w:szCs w:val="24"/>
          <w:lang w:val="en-US" w:eastAsia="zh-CN"/>
        </w:rPr>
        <w:t xml:space="preserve"> 28 </w:t>
      </w:r>
      <w:r>
        <w:rPr>
          <w:rFonts w:hint="eastAsia" w:asciiTheme="minorEastAsia" w:hAnsiTheme="minorEastAsia" w:eastAsiaTheme="minorEastAsia" w:cstheme="minorEastAsia"/>
          <w:color w:val="FF0000"/>
          <w:spacing w:val="-16"/>
          <w:sz w:val="24"/>
          <w:szCs w:val="24"/>
        </w:rPr>
        <w:t xml:space="preserve"> </w:t>
      </w:r>
      <w:r>
        <w:rPr>
          <w:rFonts w:hint="eastAsia" w:asciiTheme="minorEastAsia" w:hAnsiTheme="minorEastAsia" w:eastAsiaTheme="minorEastAsia" w:cstheme="minorEastAsia"/>
          <w:color w:val="FF0000"/>
          <w:spacing w:val="-13"/>
          <w:sz w:val="24"/>
          <w:szCs w:val="24"/>
        </w:rPr>
        <w:t>日</w:t>
      </w:r>
      <w:r>
        <w:rPr>
          <w:rFonts w:hint="eastAsia" w:asciiTheme="minorEastAsia" w:hAnsiTheme="minorEastAsia" w:eastAsiaTheme="minorEastAsia" w:cstheme="minorEastAsia"/>
          <w:color w:val="FF0000"/>
          <w:spacing w:val="-13"/>
          <w:sz w:val="24"/>
          <w:szCs w:val="24"/>
          <w:lang w:eastAsia="zh-CN"/>
        </w:rPr>
        <w:t>。</w:t>
      </w:r>
    </w:p>
    <w:p>
      <w:pPr>
        <w:spacing w:line="259" w:lineRule="auto"/>
        <w:rPr>
          <w:rFonts w:ascii="Arial"/>
          <w:sz w:val="21"/>
        </w:rPr>
      </w:pPr>
    </w:p>
    <w:p>
      <w:pPr>
        <w:spacing w:line="260" w:lineRule="auto"/>
        <w:rPr>
          <w:rFonts w:ascii="Arial"/>
          <w:sz w:val="21"/>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1.因响应人无需现场参与开标，所有准备工作需要自行到位。开标过程中如遇到紧急事项，可在不见面开标大厅中进行提出异议或文字交流，严重问题可拨打技术支持电话400-998-0000。</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2.不见面开标过程中，如响应人准备不到位，造成无法及时解密、网络问题等情况造成开标无法继续的，视为该响应人自动放弃响应（30分钟内），将被退回响应文件。</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 xml:space="preserve">3.逾期送达的或者未送达指定地点的响应文件，采购人不予受理。 </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Theme="minorEastAsia" w:hAnsiTheme="minorEastAsia" w:eastAsiaTheme="minorEastAsia" w:cstheme="minorEastAsia"/>
          <w:spacing w:val="-9"/>
          <w:sz w:val="24"/>
          <w:szCs w:val="24"/>
          <w:lang w:val="en-US" w:eastAsia="zh-CN"/>
        </w:rPr>
      </w:pPr>
      <w:r>
        <w:rPr>
          <w:rFonts w:hint="eastAsia" w:asciiTheme="minorEastAsia" w:hAnsiTheme="minorEastAsia" w:eastAsiaTheme="minorEastAsia" w:cstheme="minorEastAsia"/>
          <w:spacing w:val="-9"/>
          <w:sz w:val="24"/>
          <w:szCs w:val="24"/>
          <w:lang w:val="en-US" w:eastAsia="zh-CN"/>
        </w:rPr>
        <w:t>4.二次磋商时请供应商在接收到报价提示信息及时进行二次报价。</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default" w:asciiTheme="minorEastAsia" w:hAnsiTheme="minorEastAsia" w:eastAsiaTheme="minorEastAsia" w:cstheme="minorEastAsia"/>
          <w:spacing w:val="-9"/>
          <w:sz w:val="24"/>
          <w:szCs w:val="24"/>
          <w:u w:val="none"/>
          <w:lang w:val="en-US" w:eastAsia="zh-CN"/>
        </w:rPr>
      </w:pPr>
      <w:r>
        <w:rPr>
          <w:rFonts w:hint="eastAsia" w:asciiTheme="minorEastAsia" w:hAnsiTheme="minorEastAsia" w:eastAsiaTheme="minorEastAsia" w:cstheme="minorEastAsia"/>
          <w:spacing w:val="-9"/>
          <w:sz w:val="24"/>
          <w:szCs w:val="24"/>
          <w:lang w:val="en-US" w:eastAsia="zh-CN"/>
        </w:rPr>
        <w:t>5.按照南阳市财政局《关于在政府采购活动中试行供应商资格信用承诺制的通知》宛财购[2021]12号文件要求，供应商在制作、递交响应文件时，按照规定提供“南阳市政府采购供应商信用承诺函”(详见采购文件)的，无需再提交上述证明材料。供应商在成交后，应将上述由信用承诺书替代的证明材料在线提交采购人、采购代理机构，经核验后，由采购人或采购代理机构发布成交公告、发出成交通知书，成交供应商提交的证明材料随公告一并公示，接受社会监督。</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5"/>
          <w:sz w:val="24"/>
          <w:szCs w:val="24"/>
        </w:rPr>
      </w:pPr>
      <w:bookmarkStart w:id="5" w:name="_Toc14091"/>
      <w:r>
        <w:rPr>
          <w:rFonts w:hint="eastAsia" w:asciiTheme="minorEastAsia" w:hAnsiTheme="minorEastAsia" w:eastAsiaTheme="minorEastAsia" w:cstheme="minorEastAsia"/>
          <w:spacing w:val="-15"/>
          <w:sz w:val="24"/>
          <w:szCs w:val="24"/>
        </w:rPr>
        <w:t>名 称：南阳市鸭河口水库运行保障中心</w:t>
      </w:r>
      <w:bookmarkEnd w:id="5"/>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5"/>
          <w:sz w:val="24"/>
          <w:szCs w:val="24"/>
        </w:rPr>
      </w:pPr>
      <w:bookmarkStart w:id="6" w:name="_Toc13783"/>
      <w:r>
        <w:rPr>
          <w:rFonts w:hint="eastAsia" w:asciiTheme="minorEastAsia" w:hAnsiTheme="minorEastAsia" w:eastAsiaTheme="minorEastAsia" w:cstheme="minorEastAsia"/>
          <w:spacing w:val="-15"/>
          <w:sz w:val="24"/>
          <w:szCs w:val="24"/>
        </w:rPr>
        <w:t>地 址：河南省南召县皇路店镇鸭河村</w:t>
      </w:r>
      <w:bookmarkEnd w:id="6"/>
      <w:r>
        <w:rPr>
          <w:rFonts w:hint="eastAsia" w:asciiTheme="minorEastAsia" w:hAnsiTheme="minorEastAsia" w:eastAsiaTheme="minorEastAsia" w:cstheme="minorEastAsia"/>
          <w:spacing w:val="-15"/>
          <w:sz w:val="24"/>
          <w:szCs w:val="24"/>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5"/>
          <w:sz w:val="24"/>
          <w:szCs w:val="24"/>
        </w:rPr>
      </w:pPr>
      <w:bookmarkStart w:id="7" w:name="_Toc4794"/>
      <w:r>
        <w:rPr>
          <w:rFonts w:hint="eastAsia" w:asciiTheme="minorEastAsia" w:hAnsiTheme="minorEastAsia" w:eastAsiaTheme="minorEastAsia" w:cstheme="minorEastAsia"/>
          <w:spacing w:val="-15"/>
          <w:sz w:val="24"/>
          <w:szCs w:val="24"/>
        </w:rPr>
        <w:t>联系人： 李先生</w:t>
      </w:r>
      <w:bookmarkEnd w:id="7"/>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b/>
          <w:bCs/>
          <w:spacing w:val="4"/>
          <w:sz w:val="24"/>
          <w:szCs w:val="24"/>
        </w:rPr>
      </w:pPr>
      <w:bookmarkStart w:id="8" w:name="_Toc16871"/>
      <w:r>
        <w:rPr>
          <w:rFonts w:hint="eastAsia" w:asciiTheme="minorEastAsia" w:hAnsiTheme="minorEastAsia" w:eastAsiaTheme="minorEastAsia" w:cstheme="minorEastAsia"/>
          <w:spacing w:val="-15"/>
          <w:sz w:val="24"/>
          <w:szCs w:val="24"/>
        </w:rPr>
        <w:t>联系方式：13462550207</w:t>
      </w:r>
      <w:bookmarkEnd w:id="8"/>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2"/>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bookmarkStart w:id="9" w:name="_Toc11727"/>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bookmarkEnd w:id="9"/>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0"/>
        <w:rPr>
          <w:rFonts w:hint="eastAsia" w:asciiTheme="minorEastAsia" w:hAnsiTheme="minorEastAsia" w:eastAsiaTheme="minorEastAsia" w:cstheme="minorEastAsia"/>
          <w:spacing w:val="-15"/>
          <w:sz w:val="24"/>
          <w:szCs w:val="24"/>
        </w:rPr>
      </w:pPr>
      <w:bookmarkStart w:id="10" w:name="_Toc32492"/>
      <w:bookmarkStart w:id="11" w:name="_Toc23804"/>
      <w:r>
        <w:rPr>
          <w:rFonts w:hint="eastAsia" w:asciiTheme="minorEastAsia" w:hAnsiTheme="minorEastAsia" w:eastAsiaTheme="minorEastAsia" w:cstheme="minorEastAsia"/>
          <w:spacing w:val="-15"/>
          <w:sz w:val="24"/>
          <w:szCs w:val="24"/>
        </w:rPr>
        <w:t>名 称：河南首招建设管理有限公司</w:t>
      </w:r>
      <w:bookmarkEnd w:id="10"/>
      <w:bookmarkEnd w:id="11"/>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5"/>
          <w:sz w:val="24"/>
          <w:szCs w:val="24"/>
        </w:rPr>
      </w:pPr>
      <w:bookmarkStart w:id="12" w:name="_Toc6453"/>
      <w:r>
        <w:rPr>
          <w:rFonts w:hint="eastAsia" w:asciiTheme="minorEastAsia" w:hAnsiTheme="minorEastAsia" w:eastAsiaTheme="minorEastAsia" w:cstheme="minorEastAsia"/>
          <w:spacing w:val="-15"/>
          <w:sz w:val="24"/>
          <w:szCs w:val="24"/>
        </w:rPr>
        <w:t>地 址：南阳市范蠡路与南都路交叉口儒林星座A厅603</w:t>
      </w:r>
      <w:bookmarkEnd w:id="12"/>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5"/>
          <w:sz w:val="24"/>
          <w:szCs w:val="24"/>
        </w:rPr>
      </w:pPr>
      <w:bookmarkStart w:id="13" w:name="_Toc24576"/>
      <w:r>
        <w:rPr>
          <w:rFonts w:hint="eastAsia" w:asciiTheme="minorEastAsia" w:hAnsiTheme="minorEastAsia" w:eastAsiaTheme="minorEastAsia" w:cstheme="minorEastAsia"/>
          <w:spacing w:val="-15"/>
          <w:sz w:val="24"/>
          <w:szCs w:val="24"/>
        </w:rPr>
        <w:t>联系人：方先生</w:t>
      </w:r>
      <w:bookmarkEnd w:id="13"/>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b/>
          <w:bCs/>
          <w:spacing w:val="5"/>
          <w:sz w:val="24"/>
          <w:szCs w:val="24"/>
        </w:rPr>
      </w:pPr>
      <w:bookmarkStart w:id="14" w:name="_Toc20272"/>
      <w:r>
        <w:rPr>
          <w:rFonts w:hint="eastAsia" w:asciiTheme="minorEastAsia" w:hAnsiTheme="minorEastAsia" w:eastAsiaTheme="minorEastAsia" w:cstheme="minorEastAsia"/>
          <w:spacing w:val="-15"/>
          <w:sz w:val="24"/>
          <w:szCs w:val="24"/>
        </w:rPr>
        <w:t>联系方式：18438888066</w:t>
      </w:r>
      <w:bookmarkEnd w:id="14"/>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b/>
          <w:bCs/>
          <w:spacing w:val="5"/>
          <w:sz w:val="24"/>
          <w:szCs w:val="24"/>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 址：</w:t>
      </w:r>
      <w:r>
        <w:rPr>
          <w:rFonts w:hint="eastAsia" w:asciiTheme="minorEastAsia" w:hAnsiTheme="minorEastAsia" w:eastAsiaTheme="minorEastAsia" w:cstheme="minorEastAsia"/>
          <w:spacing w:val="-15"/>
          <w:sz w:val="24"/>
          <w:szCs w:val="24"/>
          <w:lang w:val="en-US" w:eastAsia="zh-CN"/>
        </w:rPr>
        <w:t>https://ggzyjy.nanyang.gov.cn      E-mail:</w:t>
      </w:r>
      <w:r>
        <w:rPr>
          <w:rFonts w:hint="eastAsia" w:asciiTheme="minorEastAsia" w:hAnsiTheme="minorEastAsia" w:eastAsiaTheme="minorEastAsia" w:cstheme="minorEastAsia"/>
          <w:spacing w:val="-15"/>
          <w:sz w:val="24"/>
          <w:szCs w:val="24"/>
          <w:u w:val="single"/>
          <w:lang w:val="en-US" w:eastAsia="zh-CN"/>
        </w:rPr>
        <w:t xml:space="preserve">     /       </w:t>
      </w:r>
    </w:p>
    <w:p>
      <w:pPr>
        <w:pStyle w:val="4"/>
        <w:numPr>
          <w:ilvl w:val="0"/>
          <w:numId w:val="0"/>
        </w:numPr>
        <w:spacing w:before="352" w:line="690" w:lineRule="exact"/>
        <w:rPr>
          <w:rFonts w:hint="eastAsia" w:ascii="仿宋_GB2312" w:hAnsi="宋体" w:eastAsia="仿宋_GB2312"/>
          <w:color w:val="0000FF"/>
          <w:sz w:val="28"/>
          <w:szCs w:val="28"/>
          <w:lang w:val="en-US" w:eastAsia="zh-CN"/>
        </w:rPr>
      </w:pPr>
      <w:r>
        <w:rPr>
          <w:rFonts w:hint="eastAsia" w:asciiTheme="minorEastAsia" w:hAnsiTheme="minorEastAsia" w:eastAsiaTheme="minorEastAsia" w:cstheme="minorEastAsia"/>
          <w:spacing w:val="5"/>
          <w:sz w:val="24"/>
          <w:szCs w:val="24"/>
          <w:lang w:val="en-US" w:eastAsia="zh-CN"/>
          <w14:textOutline w14:w="1537" w14:cap="flat" w14:cmpd="sng">
            <w14:solidFill>
              <w14:srgbClr w14:val="000000"/>
            </w14:solidFill>
            <w14:prstDash w14:val="solid"/>
            <w14:miter w14:val="0"/>
          </w14:textOutline>
        </w:rPr>
        <w:t xml:space="preserve">                                                              </w:t>
      </w:r>
      <w:r>
        <w:rPr>
          <w:rFonts w:hint="eastAsia" w:ascii="仿宋_GB2312" w:hAnsi="宋体" w:eastAsia="仿宋_GB2312"/>
          <w:color w:val="0000FF"/>
          <w:sz w:val="28"/>
          <w:szCs w:val="28"/>
          <w:lang w:val="en-US" w:eastAsia="zh-CN"/>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200" w:firstLineChars="2000"/>
        <w:jc w:val="left"/>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 xml:space="preserve">采购代理机构名称：河南首招建设管理有限公司           </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6848" w:firstLineChars="3200"/>
        <w:jc w:val="left"/>
        <w:textAlignment w:val="baseline"/>
        <w:outlineLvl w:val="1"/>
        <w:rPr>
          <w:rFonts w:hint="eastAsia" w:asciiTheme="minorEastAsia" w:hAnsiTheme="minorEastAsia" w:eastAsiaTheme="minorEastAsia" w:cstheme="minorEastAsia"/>
          <w:color w:val="FF0000"/>
          <w:spacing w:val="-13"/>
          <w:sz w:val="24"/>
          <w:szCs w:val="24"/>
        </w:rPr>
      </w:pPr>
      <w:r>
        <w:rPr>
          <w:rFonts w:hint="eastAsia" w:asciiTheme="minorEastAsia" w:hAnsiTheme="minorEastAsia" w:eastAsiaTheme="minorEastAsia" w:cstheme="minorEastAsia"/>
          <w:color w:val="FF0000"/>
          <w:spacing w:val="-13"/>
          <w:sz w:val="24"/>
          <w:szCs w:val="24"/>
          <w:u w:val="single" w:color="auto"/>
        </w:rPr>
        <w:t xml:space="preserve"> </w:t>
      </w:r>
      <w:r>
        <w:rPr>
          <w:rFonts w:hint="eastAsia" w:asciiTheme="minorEastAsia" w:hAnsiTheme="minorEastAsia" w:eastAsiaTheme="minorEastAsia" w:cstheme="minorEastAsia"/>
          <w:color w:val="FF0000"/>
          <w:spacing w:val="-13"/>
          <w:sz w:val="24"/>
          <w:szCs w:val="24"/>
          <w:u w:val="single" w:color="auto"/>
          <w:lang w:val="en-US" w:eastAsia="zh-CN"/>
        </w:rPr>
        <w:t>2024</w:t>
      </w:r>
      <w:r>
        <w:rPr>
          <w:rFonts w:hint="eastAsia" w:asciiTheme="minorEastAsia" w:hAnsiTheme="minorEastAsia" w:eastAsiaTheme="minorEastAsia" w:cstheme="minorEastAsia"/>
          <w:color w:val="FF0000"/>
          <w:spacing w:val="-13"/>
          <w:sz w:val="24"/>
          <w:szCs w:val="24"/>
          <w:u w:val="single" w:color="auto"/>
        </w:rPr>
        <w:t xml:space="preserve">  </w:t>
      </w:r>
      <w:r>
        <w:rPr>
          <w:rFonts w:hint="eastAsia" w:asciiTheme="minorEastAsia" w:hAnsiTheme="minorEastAsia" w:eastAsiaTheme="minorEastAsia" w:cstheme="minorEastAsia"/>
          <w:color w:val="FF0000"/>
          <w:spacing w:val="-110"/>
          <w:sz w:val="24"/>
          <w:szCs w:val="24"/>
        </w:rPr>
        <w:t xml:space="preserve"> </w:t>
      </w:r>
      <w:r>
        <w:rPr>
          <w:rFonts w:hint="eastAsia" w:asciiTheme="minorEastAsia" w:hAnsiTheme="minorEastAsia" w:eastAsiaTheme="minorEastAsia" w:cstheme="minorEastAsia"/>
          <w:color w:val="FF0000"/>
          <w:spacing w:val="-13"/>
          <w:sz w:val="24"/>
          <w:szCs w:val="24"/>
        </w:rPr>
        <w:t>年_</w:t>
      </w:r>
      <w:r>
        <w:rPr>
          <w:rFonts w:hint="eastAsia" w:asciiTheme="minorEastAsia" w:hAnsiTheme="minorEastAsia" w:eastAsiaTheme="minorEastAsia" w:cstheme="minorEastAsia"/>
          <w:color w:val="FF0000"/>
          <w:spacing w:val="-13"/>
          <w:sz w:val="24"/>
          <w:szCs w:val="24"/>
          <w:lang w:val="en-US" w:eastAsia="zh-CN"/>
        </w:rPr>
        <w:t>3</w:t>
      </w:r>
      <w:r>
        <w:rPr>
          <w:rFonts w:hint="eastAsia" w:asciiTheme="minorEastAsia" w:hAnsiTheme="minorEastAsia" w:eastAsiaTheme="minorEastAsia" w:cstheme="minorEastAsia"/>
          <w:color w:val="FF0000"/>
          <w:spacing w:val="-13"/>
          <w:sz w:val="24"/>
          <w:szCs w:val="24"/>
        </w:rPr>
        <w:t>_月_</w:t>
      </w:r>
      <w:r>
        <w:rPr>
          <w:rFonts w:hint="eastAsia" w:asciiTheme="minorEastAsia" w:hAnsiTheme="minorEastAsia" w:eastAsiaTheme="minorEastAsia" w:cstheme="minorEastAsia"/>
          <w:color w:val="FF0000"/>
          <w:spacing w:val="-13"/>
          <w:sz w:val="24"/>
          <w:szCs w:val="24"/>
          <w:lang w:val="en-US" w:eastAsia="zh-CN"/>
        </w:rPr>
        <w:t>21</w:t>
      </w:r>
      <w:r>
        <w:rPr>
          <w:rFonts w:hint="eastAsia" w:asciiTheme="minorEastAsia" w:hAnsiTheme="minorEastAsia" w:eastAsiaTheme="minorEastAsia" w:cstheme="minorEastAsia"/>
          <w:color w:val="FF0000"/>
          <w:spacing w:val="-13"/>
          <w:sz w:val="24"/>
          <w:szCs w:val="24"/>
        </w:rPr>
        <w:t>_</w:t>
      </w:r>
      <w:r>
        <w:rPr>
          <w:rFonts w:hint="eastAsia" w:asciiTheme="minorEastAsia" w:hAnsiTheme="minorEastAsia" w:eastAsiaTheme="minorEastAsia" w:cstheme="minorEastAsia"/>
          <w:color w:val="FF0000"/>
          <w:spacing w:val="-16"/>
          <w:sz w:val="24"/>
          <w:szCs w:val="24"/>
        </w:rPr>
        <w:t xml:space="preserve"> </w:t>
      </w:r>
      <w:r>
        <w:rPr>
          <w:rFonts w:hint="eastAsia" w:asciiTheme="minorEastAsia" w:hAnsiTheme="minorEastAsia" w:eastAsiaTheme="minorEastAsia" w:cstheme="minorEastAsia"/>
          <w:color w:val="FF0000"/>
          <w:spacing w:val="-13"/>
          <w:sz w:val="24"/>
          <w:szCs w:val="24"/>
        </w:rPr>
        <w:t>日</w:t>
      </w:r>
    </w:p>
    <w:p>
      <w:pPr>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br w:type="page"/>
      </w:r>
    </w:p>
    <w:p>
      <w:pPr>
        <w:pStyle w:val="4"/>
        <w:spacing w:before="352" w:line="690" w:lineRule="exact"/>
        <w:rPr>
          <w:spacing w:val="-1"/>
          <w:position w:val="24"/>
          <w:sz w:val="36"/>
          <w:szCs w:val="36"/>
          <w14:textOutline w14:w="2306" w14:cap="flat" w14:cmpd="sng">
            <w14:solidFill>
              <w14:srgbClr w14:val="000000"/>
            </w14:solidFill>
            <w14:prstDash w14:val="solid"/>
            <w14:miter w14:val="0"/>
          </w14:textOutline>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pPr>
        <w:pStyle w:val="4"/>
        <w:spacing w:before="256" w:line="220" w:lineRule="auto"/>
        <w:ind w:left="12"/>
        <w:rPr>
          <w:rFonts w:hint="eastAsia" w:asciiTheme="minorEastAsia" w:hAnsiTheme="minorEastAsia" w:eastAsiaTheme="minorEastAsia" w:cstheme="minorEastAsia"/>
          <w:spacing w:val="-15"/>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9"/>
        <w:rPr>
          <w:rFonts w:hint="eastAsia" w:ascii="宋体" w:hAnsi="宋体" w:eastAsia="宋体" w:cs="宋体"/>
          <w:snapToGrid w:val="0"/>
          <w:color w:val="000000"/>
          <w:kern w:val="0"/>
          <w:sz w:val="31"/>
          <w:szCs w:val="31"/>
          <w:lang w:val="en-US" w:eastAsia="zh-CN" w:bidi="ar-SA"/>
        </w:rPr>
      </w:pPr>
      <w:bookmarkStart w:id="15" w:name="_Toc149911616"/>
      <w:bookmarkStart w:id="16" w:name="_Toc54967479"/>
      <w:bookmarkStart w:id="17" w:name="_Toc13502050"/>
      <w:bookmarkStart w:id="18" w:name="_Toc5124"/>
      <w:bookmarkStart w:id="19" w:name="_Toc12362290"/>
      <w:r>
        <w:rPr>
          <w:rFonts w:hint="eastAsia" w:asciiTheme="minorEastAsia" w:hAnsiTheme="minorEastAsia" w:eastAsiaTheme="minorEastAsia" w:cstheme="minorEastAsia"/>
          <w:snapToGrid w:val="0"/>
          <w:color w:val="000000"/>
          <w:spacing w:val="-1"/>
          <w:kern w:val="0"/>
          <w:sz w:val="24"/>
          <w:szCs w:val="24"/>
          <w:lang w:val="en-US" w:eastAsia="en-US" w:bidi="ar-SA"/>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napToGrid w:val="0"/>
          <w:color w:val="000000"/>
          <w:spacing w:val="-1"/>
          <w:kern w:val="0"/>
          <w:sz w:val="24"/>
          <w:szCs w:val="24"/>
          <w:lang w:val="en-US" w:eastAsia="zh-CN" w:bidi="ar-SA"/>
          <w14:textOutline w14:w="1537" w14:cap="flat" w14:cmpd="sng">
            <w14:solidFill>
              <w14:srgbClr w14:val="000000"/>
            </w14:solidFill>
            <w14:prstDash w14:val="solid"/>
            <w14:miter w14:val="0"/>
          </w14:textOutline>
        </w:rPr>
        <w:t>内容及要求</w:t>
      </w:r>
    </w:p>
    <w:p>
      <w:pPr>
        <w:keepLines/>
        <w:spacing w:line="360" w:lineRule="auto"/>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1.水库标准化管理综合信息化平台</w:t>
      </w:r>
    </w:p>
    <w:p>
      <w:pPr>
        <w:keepLines/>
        <w:spacing w:line="360" w:lineRule="auto"/>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1.1平台建设内容</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（1）建设数据中心</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标准统一、分类合理、层次分明、集约高效等要求，构建标准化的仓储货架式信息化数据库。在分析现有数据库结构与内容的基础上，遵照水库工作实际和实现系统化管理、自动化监测、实时化调度、科学化决策、网络化办事、规范化服务的新要求，建立水库标准数据库。</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构建主要包括服务设计标准和服务调用标准的一套标准数据服务体系。服务设计标准是服务开发人员需要遵循的规范，包括服务命名，服务参数规范等；服务调用标准主要包括服务返回结果的格式，调用参数的格式等。</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主要包括：</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静态数据：空间地理信息、管理单位信息、人员岗位信息、水利工程属性信息、管理制度、资料档案、预案方案。</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动态数据：巡查信息、工程检查信息、维护养护信息、水利工程属性信息、人员工作台账、工程运行台账、系统日志。</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（2）现有系统功能集成</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现有系统特性，针对性的实现各个系统的集成工作，实现综合管理的目标。使得管理人员能够快速、全面获取防汛运行的相关信息，为管理决策提供技术支持。集成工作不影响原有系统的运行，在集成之后能够实现平台访问原有系统所有数据和业务功能。同时，还需结合实际需求，对现有系统功能进行拓展。</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主要包括：雨水情数据接入、大坝渗压监测数据接入、渗流量数据接入、视频监控系统接入。</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（3）建设综合管理系统</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标准数据库建设和数据服务体系建设的基础上，按照需求导向，适度前瞻，稳定高效的原则，构建综合管理系统。系统主要包含了水库标准化管理的工作，在获取中心现有水雨情系统、大坝在线监测系统、闸门自动化控制系统、视频监控系统数据的基础上，通过对数据的深层处理，为水库管理人员提供直观、简便的数据呈现。</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主要包括：</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工程状况：工程面貌与环境、挡水建筑物、泄水建筑物、输（引）水建筑物、金属结构与机电设备、管理设施、标识标牌。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安全管理：注册登记、责任制、工程划界、保护管理、安全鉴定、防汛组织、防汛物料、应急预案、安全生产。</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运行管理：雨水情测报、工程巡查、安全监测、维修养护、调度运用、工程效益、视频监控。</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管理保障：管理体制、标准化工作手册、规章制度、经费保障、精神文明、档案管理、管理自评。</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信息化建设：信息化平台建设、自动化监测预警、网络安全管理。</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（4）建设移动管理系统</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设一套以智能终端设备为载体的移动管理系统，在使用移动技术和GIS技术的基础上，实现实时监测、运行状态、巡查情况等信息的查询。系统具有通用性，可安装在通用的智能设备上，方便管理工作人员随时随地掌握水库运行管理动态。通过建设鸭河口水库标准化管理综合信息化平台及配套工程的建设，实现鸭河口工程标准化运行管理体系，</w:t>
      </w:r>
      <w:r>
        <w:rPr>
          <w:rFonts w:hint="eastAsia" w:asciiTheme="minorEastAsia" w:hAnsiTheme="minorEastAsia" w:eastAsiaTheme="minorEastAsia" w:cstheme="minorEastAsia"/>
          <w:sz w:val="24"/>
          <w:szCs w:val="24"/>
          <w:lang w:eastAsia="zh-CN"/>
        </w:rPr>
        <w:t>涉及</w:t>
      </w:r>
      <w:r>
        <w:rPr>
          <w:rFonts w:hint="eastAsia" w:asciiTheme="minorEastAsia" w:hAnsiTheme="minorEastAsia" w:eastAsiaTheme="minorEastAsia" w:cstheme="minorEastAsia"/>
          <w:sz w:val="24"/>
          <w:szCs w:val="24"/>
        </w:rPr>
        <w:t>各水利工程的管理目标、管理责任、安全评估、运行维护、监测检查等全部实施过程及关键环节。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主要包括：基础信息查询、实时监测预警、工程巡查管理、调度运行管理、安全隐患管理、维修养护管理。</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（5）搭建平台运行环境</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新建一台服务器部署综合信息化平台，利用原有交换机、防火墙、路由器、宽带网络（固定IP地址）、网络机柜、电源等运行环境，实现对现场渗压、变形数据的采集、存储、展示管理。</w:t>
      </w:r>
    </w:p>
    <w:p>
      <w:pPr>
        <w:spacing w:line="360" w:lineRule="auto"/>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kern w:val="1"/>
          <w:sz w:val="24"/>
          <w:szCs w:val="24"/>
          <w:lang w:eastAsia="ar-SA"/>
        </w:rPr>
        <w:t>★</w:t>
      </w:r>
      <w:r>
        <w:rPr>
          <w:rFonts w:hint="eastAsia" w:asciiTheme="minorEastAsia" w:hAnsiTheme="minorEastAsia" w:eastAsiaTheme="minorEastAsia" w:cstheme="minorEastAsia"/>
          <w:b/>
          <w:bCs/>
          <w:kern w:val="1"/>
          <w:sz w:val="24"/>
          <w:szCs w:val="24"/>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需提供“水库工程标准化信息管理系统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水库信息管理系统”类软件著作权证书</w:t>
      </w:r>
    </w:p>
    <w:p>
      <w:pPr>
        <w:spacing w:line="360" w:lineRule="auto"/>
        <w:ind w:firstLine="482" w:firstLineChars="200"/>
        <w:rPr>
          <w:rFonts w:hint="eastAsia" w:asciiTheme="minorEastAsia" w:hAnsiTheme="minorEastAsia" w:eastAsiaTheme="minorEastAsia" w:cstheme="minorEastAsia"/>
          <w:b/>
          <w:sz w:val="24"/>
          <w:szCs w:val="24"/>
        </w:rPr>
      </w:pPr>
    </w:p>
    <w:p>
      <w:pPr>
        <w:keepLines/>
        <w:spacing w:line="360" w:lineRule="auto"/>
        <w:ind w:left="1" w:hanging="1"/>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2.自动化渗压监测系统</w:t>
      </w:r>
      <w:bookmarkEnd w:id="15"/>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本次对主坝段主要断面10处渗压监测点进行改造，太阳能供电、无线传输。</w:t>
      </w:r>
    </w:p>
    <w:bookmarkEnd w:id="16"/>
    <w:bookmarkEnd w:id="17"/>
    <w:bookmarkEnd w:id="18"/>
    <w:bookmarkEnd w:id="19"/>
    <w:p>
      <w:pPr>
        <w:keepLines/>
        <w:spacing w:line="360" w:lineRule="auto"/>
        <w:outlineLvl w:val="1"/>
        <w:rPr>
          <w:rFonts w:hint="eastAsia" w:asciiTheme="minorEastAsia" w:hAnsiTheme="minorEastAsia" w:eastAsiaTheme="minorEastAsia" w:cstheme="minorEastAsia"/>
          <w:b/>
          <w:sz w:val="24"/>
          <w:szCs w:val="24"/>
        </w:rPr>
      </w:pPr>
      <w:bookmarkStart w:id="20" w:name="_Toc5799102"/>
      <w:bookmarkStart w:id="21" w:name="_Toc149911619"/>
      <w:r>
        <w:rPr>
          <w:rFonts w:hint="eastAsia" w:asciiTheme="minorEastAsia" w:hAnsiTheme="minorEastAsia" w:eastAsiaTheme="minorEastAsia" w:cstheme="minorEastAsia"/>
          <w:b/>
          <w:sz w:val="24"/>
          <w:szCs w:val="24"/>
        </w:rPr>
        <w:t>2.1监测内容</w:t>
      </w:r>
      <w:bookmarkEnd w:id="20"/>
      <w:bookmarkEnd w:id="21"/>
    </w:p>
    <w:p>
      <w:pPr>
        <w:spacing w:line="360" w:lineRule="auto"/>
        <w:ind w:firstLine="480" w:firstLineChars="200"/>
        <w:rPr>
          <w:rFonts w:hint="eastAsia" w:asciiTheme="minorEastAsia" w:hAnsiTheme="minorEastAsia" w:eastAsiaTheme="minorEastAsia" w:cstheme="minorEastAsia"/>
          <w:sz w:val="24"/>
          <w:szCs w:val="24"/>
        </w:rPr>
      </w:pPr>
      <w:bookmarkStart w:id="22" w:name="_Toc5799103"/>
      <w:r>
        <w:rPr>
          <w:rFonts w:hint="eastAsia" w:asciiTheme="minorEastAsia" w:hAnsiTheme="minorEastAsia" w:eastAsiaTheme="minorEastAsia" w:cstheme="minorEastAsia"/>
          <w:sz w:val="24"/>
          <w:szCs w:val="24"/>
        </w:rPr>
        <w:t>本次升级改造设置在主坝段主要观测断面的10处测压管，在现有测压管的基础上，更换原有自动化观测设备，安装部署新式渗压设备，实现对大坝渗透压力数据的采集、存储、上传管理功能，分析断面渗压数据。前端设备由自动化渗压观测站、太阳能供电系统、无线传输设备等组成。渗压观测站采用低功耗设备，通过4G方式与公网通讯，再由水库管理中心的有线网络接收。</w:t>
      </w:r>
    </w:p>
    <w:bookmarkEnd w:id="22"/>
    <w:p>
      <w:pPr>
        <w:keepLines/>
        <w:spacing w:line="360" w:lineRule="auto"/>
        <w:outlineLvl w:val="1"/>
        <w:rPr>
          <w:rFonts w:hint="eastAsia" w:asciiTheme="minorEastAsia" w:hAnsiTheme="minorEastAsia" w:eastAsiaTheme="minorEastAsia" w:cstheme="minorEastAsia"/>
          <w:b/>
          <w:sz w:val="24"/>
          <w:szCs w:val="24"/>
        </w:rPr>
      </w:pPr>
      <w:bookmarkStart w:id="23" w:name="_Toc149911620"/>
      <w:r>
        <w:rPr>
          <w:rFonts w:hint="eastAsia" w:asciiTheme="minorEastAsia" w:hAnsiTheme="minorEastAsia" w:eastAsiaTheme="minorEastAsia" w:cstheme="minorEastAsia"/>
          <w:b/>
          <w:sz w:val="24"/>
          <w:szCs w:val="24"/>
        </w:rPr>
        <w:t>2.2建设要求</w:t>
      </w:r>
      <w:bookmarkEnd w:id="23"/>
    </w:p>
    <w:p>
      <w:pPr>
        <w:numPr>
          <w:ilvl w:val="0"/>
          <w:numId w:val="1"/>
        </w:numPr>
        <w:spacing w:line="360" w:lineRule="auto"/>
        <w:ind w:left="0" w:firstLine="424" w:firstLineChars="177"/>
        <w:rPr>
          <w:rFonts w:hint="eastAsia" w:asciiTheme="minorEastAsia" w:hAnsiTheme="minorEastAsia" w:eastAsiaTheme="minorEastAsia" w:cstheme="minorEastAsia"/>
          <w:sz w:val="24"/>
          <w:szCs w:val="24"/>
        </w:rPr>
      </w:pPr>
      <w:bookmarkStart w:id="24" w:name="__RefHeading___Toc13109"/>
      <w:bookmarkEnd w:id="24"/>
      <w:bookmarkStart w:id="25" w:name="_Toc5799104"/>
      <w:r>
        <w:rPr>
          <w:rFonts w:hint="eastAsia" w:asciiTheme="minorEastAsia" w:hAnsiTheme="minorEastAsia" w:eastAsiaTheme="minorEastAsia" w:cstheme="minorEastAsia"/>
          <w:sz w:val="24"/>
          <w:szCs w:val="24"/>
        </w:rPr>
        <w:t>设备集水位智能感知、变化跟踪、数据采集处理、数据传输、供电等一体化设计，低功耗、抗雷击抗干扰，不受测压管测量环境及水质泥沙等因素影响，测量数据准确、稳定可靠。</w:t>
      </w:r>
    </w:p>
    <w:bookmarkEnd w:id="25"/>
    <w:p>
      <w:pPr>
        <w:numPr>
          <w:ilvl w:val="0"/>
          <w:numId w:val="1"/>
        </w:numPr>
        <w:spacing w:line="360" w:lineRule="auto"/>
        <w:ind w:left="0" w:firstLine="424" w:firstLineChars="1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接收处理软件能全方位满足水库资料整编要求，具备数据显示、计算分析、图表展示、编制打印报表等功能，数据自动存储备份，接入水库信息化平台，并保留与上级部门数据共享的能力与格式。软件须具有可</w:t>
      </w:r>
      <w:r>
        <w:rPr>
          <w:rFonts w:hint="eastAsia" w:asciiTheme="minorEastAsia" w:hAnsiTheme="minorEastAsia" w:eastAsiaTheme="minorEastAsia" w:cstheme="minorEastAsia"/>
          <w:sz w:val="24"/>
          <w:szCs w:val="24"/>
          <w:lang w:eastAsia="zh-CN"/>
        </w:rPr>
        <w:t>重装</w:t>
      </w:r>
      <w:r>
        <w:rPr>
          <w:rFonts w:hint="eastAsia" w:asciiTheme="minorEastAsia" w:hAnsiTheme="minorEastAsia" w:eastAsiaTheme="minorEastAsia" w:cstheme="minorEastAsia"/>
          <w:sz w:val="24"/>
          <w:szCs w:val="24"/>
        </w:rPr>
        <w:t>性，电脑崩溃后能人工</w:t>
      </w:r>
      <w:r>
        <w:rPr>
          <w:rFonts w:hint="eastAsia" w:asciiTheme="minorEastAsia" w:hAnsiTheme="minorEastAsia" w:eastAsiaTheme="minorEastAsia" w:cstheme="minorEastAsia"/>
          <w:sz w:val="24"/>
          <w:szCs w:val="24"/>
          <w:lang w:eastAsia="zh-CN"/>
        </w:rPr>
        <w:t>重新安装</w:t>
      </w:r>
      <w:r>
        <w:rPr>
          <w:rFonts w:hint="eastAsia" w:asciiTheme="minorEastAsia" w:hAnsiTheme="minorEastAsia" w:eastAsiaTheme="minorEastAsia" w:cstheme="minorEastAsia"/>
          <w:sz w:val="24"/>
          <w:szCs w:val="24"/>
        </w:rPr>
        <w:t>、一键恢复备份数据等功能。</w:t>
      </w:r>
    </w:p>
    <w:p>
      <w:pPr>
        <w:keepLines/>
        <w:spacing w:line="360" w:lineRule="auto"/>
        <w:outlineLvl w:val="1"/>
        <w:rPr>
          <w:rFonts w:hint="eastAsia" w:asciiTheme="minorEastAsia" w:hAnsiTheme="minorEastAsia" w:eastAsiaTheme="minorEastAsia" w:cstheme="minorEastAsia"/>
          <w:b/>
          <w:sz w:val="24"/>
          <w:szCs w:val="24"/>
        </w:rPr>
      </w:pPr>
      <w:bookmarkStart w:id="26" w:name="__RefHeading___Toc29467"/>
      <w:bookmarkEnd w:id="26"/>
      <w:bookmarkStart w:id="27" w:name="__RefHeading___Toc10808"/>
      <w:bookmarkEnd w:id="27"/>
      <w:bookmarkStart w:id="28" w:name="_Toc149911621"/>
      <w:r>
        <w:rPr>
          <w:rFonts w:hint="eastAsia" w:asciiTheme="minorEastAsia" w:hAnsiTheme="minorEastAsia" w:eastAsiaTheme="minorEastAsia" w:cstheme="minorEastAsia"/>
          <w:b/>
          <w:sz w:val="24"/>
          <w:szCs w:val="24"/>
        </w:rPr>
        <w:t>2.3监测点位置</w:t>
      </w:r>
      <w:bookmarkEnd w:id="28"/>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次渗压观测升级改造设计主段共计10处，每个测压管安装一套监测设备，主要为大坝河槽段及台地段的重要控制断面，具体布设位置由水库工程管理人员根据实际情况指定。大坝测压管自动化监测系统升级改造，将在现有布设的坝基测压管和浸润线管的基础上进行建设，拆除渗压管现有的振弦式渗压计和相应的线缆、数据采集箱等设备，安装新的渗压监测设备。</w:t>
      </w:r>
    </w:p>
    <w:p>
      <w:pPr>
        <w:keepLines/>
        <w:spacing w:line="360" w:lineRule="auto"/>
        <w:outlineLvl w:val="1"/>
        <w:rPr>
          <w:rFonts w:hint="eastAsia" w:asciiTheme="minorEastAsia" w:hAnsiTheme="minorEastAsia" w:eastAsiaTheme="minorEastAsia" w:cstheme="minorEastAsia"/>
          <w:b/>
          <w:sz w:val="24"/>
          <w:szCs w:val="24"/>
        </w:rPr>
      </w:pPr>
      <w:bookmarkStart w:id="29" w:name="_Toc149911624"/>
      <w:r>
        <w:rPr>
          <w:rFonts w:hint="eastAsia" w:asciiTheme="minorEastAsia" w:hAnsiTheme="minorEastAsia" w:eastAsiaTheme="minorEastAsia" w:cstheme="minorEastAsia"/>
          <w:b/>
          <w:sz w:val="24"/>
          <w:szCs w:val="24"/>
        </w:rPr>
        <w:t>2.4安装要求</w:t>
      </w:r>
      <w:bookmarkEnd w:id="29"/>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（1）野外保护装置</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为满足在水库的保护要求，自动化监测设备应为一体化设计，自带保护装置，坚固可靠、防盗防损。</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（2）设备安装</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设备基础由供应方根据设备实际情况设计制作，安装牢固，防雨、防风、防高温、防虫、防鼠害。</w:t>
      </w:r>
    </w:p>
    <w:p>
      <w:pPr>
        <w:keepLines/>
        <w:spacing w:line="360" w:lineRule="auto"/>
        <w:outlineLvl w:val="1"/>
        <w:rPr>
          <w:rFonts w:hint="eastAsia" w:asciiTheme="minorEastAsia" w:hAnsiTheme="minorEastAsia" w:eastAsiaTheme="minorEastAsia" w:cstheme="minorEastAsia"/>
          <w:b/>
          <w:sz w:val="24"/>
          <w:szCs w:val="24"/>
        </w:rPr>
      </w:pPr>
      <w:bookmarkStart w:id="30" w:name="_Toc149911625"/>
      <w:r>
        <w:rPr>
          <w:rFonts w:hint="eastAsia" w:asciiTheme="minorEastAsia" w:hAnsiTheme="minorEastAsia" w:eastAsiaTheme="minorEastAsia" w:cstheme="minorEastAsia"/>
          <w:b/>
          <w:sz w:val="24"/>
          <w:szCs w:val="24"/>
        </w:rPr>
        <w:t>2.5设备技术性能指标</w:t>
      </w:r>
      <w:bookmarkEnd w:id="30"/>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（1）可自动精准监测渗压数据和上报设备供电状态、信号强度、开箱状态等运行信息，具备人工随时召测、定时观测、水位变化</w:t>
      </w:r>
      <w:r>
        <w:rPr>
          <w:rFonts w:hint="eastAsia" w:asciiTheme="minorEastAsia" w:hAnsiTheme="minorEastAsia" w:eastAsiaTheme="minorEastAsia" w:cstheme="minorEastAsia"/>
          <w:sz w:val="24"/>
          <w:szCs w:val="24"/>
          <w:lang w:eastAsia="zh-CN"/>
        </w:rPr>
        <w:t>自动监测</w:t>
      </w:r>
      <w:r>
        <w:rPr>
          <w:rFonts w:hint="eastAsia" w:asciiTheme="minorEastAsia" w:hAnsiTheme="minorEastAsia" w:eastAsiaTheme="minorEastAsia" w:cstheme="minorEastAsia"/>
          <w:sz w:val="24"/>
          <w:szCs w:val="24"/>
        </w:rPr>
        <w:t>、水位异常变动自动报警、定时自检数据校准、历史数据存储、断网数据续传、设备参数远程显示和设置等功能，不受水质泥沙和温湿度等因素影响，低功耗、抗雷击抗干扰、数据准确、稳定可靠。</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（2）全量程测量误差不大于±1cm，最大测深40米，变幅0-20米。采用自动化监测控制技术，将水面的位置信息转换为水位数据显示上传。设备具备数据采集处理、无线自组网数据传输、自供电等一体化功能。</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1)测量分辨率：≤0.1cm。</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2)全量程测量误差：≤士1cm。</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3)测量回差：≤±1cm。</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4)重复性误差：≤±1cm。</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5)测量范围：0-40米。</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6)测量变幅：0-20米。</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7)水位变率：≤100cm/min。</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8)通讯方式：无线4G/LoRa/北斗、有线以太网等。</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9)供电方式：太阳能电池板/12V铅酸电池。</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10)电池寿命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3年。</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11)单电池供电工作时长</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30天。</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12)工作环境：温度-40~+55℃（水体不结冰）/湿度：≤95%RH(40℃无凝露)。</w:t>
      </w:r>
    </w:p>
    <w:p>
      <w:pPr>
        <w:suppressAutoHyphens/>
        <w:spacing w:line="480" w:lineRule="exact"/>
        <w:ind w:firstLine="48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13</w:t>
      </w:r>
      <w:r>
        <w:rPr>
          <w:rFonts w:hint="eastAsia" w:asciiTheme="minorEastAsia" w:hAnsiTheme="minorEastAsia" w:eastAsiaTheme="minorEastAsia" w:cstheme="minorEastAsia"/>
          <w:kern w:val="1"/>
          <w:sz w:val="24"/>
          <w:szCs w:val="24"/>
        </w:rPr>
        <w:t>）</w:t>
      </w:r>
      <w:r>
        <w:rPr>
          <w:rFonts w:hint="eastAsia" w:asciiTheme="minorEastAsia" w:hAnsiTheme="minorEastAsia" w:eastAsiaTheme="minorEastAsia" w:cstheme="minorEastAsia"/>
          <w:kern w:val="1"/>
          <w:sz w:val="24"/>
          <w:szCs w:val="24"/>
          <w:lang w:eastAsia="ar-SA"/>
        </w:rPr>
        <w:t>测报方式：具有定时自报、随机自报、查询应答、变化量及时测报等；</w:t>
      </w:r>
    </w:p>
    <w:p>
      <w:pPr>
        <w:suppressAutoHyphens/>
        <w:spacing w:line="480" w:lineRule="exact"/>
        <w:ind w:firstLine="48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14</w:t>
      </w:r>
      <w:r>
        <w:rPr>
          <w:rFonts w:hint="eastAsia" w:asciiTheme="minorEastAsia" w:hAnsiTheme="minorEastAsia" w:eastAsiaTheme="minorEastAsia" w:cstheme="minorEastAsia"/>
          <w:kern w:val="1"/>
          <w:sz w:val="24"/>
          <w:szCs w:val="24"/>
        </w:rPr>
        <w:t>）</w:t>
      </w:r>
      <w:r>
        <w:rPr>
          <w:rFonts w:hint="eastAsia" w:asciiTheme="minorEastAsia" w:hAnsiTheme="minorEastAsia" w:eastAsiaTheme="minorEastAsia" w:cstheme="minorEastAsia"/>
          <w:kern w:val="1"/>
          <w:sz w:val="24"/>
          <w:szCs w:val="24"/>
          <w:lang w:eastAsia="ar-SA"/>
        </w:rPr>
        <w:t>供电状态</w:t>
      </w:r>
      <w:r>
        <w:rPr>
          <w:rFonts w:hint="eastAsia" w:asciiTheme="minorEastAsia" w:hAnsiTheme="minorEastAsia" w:eastAsiaTheme="minorEastAsia" w:cstheme="minorEastAsia"/>
          <w:kern w:val="1"/>
          <w:sz w:val="24"/>
          <w:szCs w:val="24"/>
          <w:lang w:eastAsia="zh-CN"/>
        </w:rPr>
        <w:t>自动检测</w:t>
      </w:r>
      <w:r>
        <w:rPr>
          <w:rFonts w:hint="eastAsia" w:asciiTheme="minorEastAsia" w:hAnsiTheme="minorEastAsia" w:eastAsiaTheme="minorEastAsia" w:cstheme="minorEastAsia"/>
          <w:kern w:val="1"/>
          <w:sz w:val="24"/>
          <w:szCs w:val="24"/>
          <w:lang w:eastAsia="ar-SA"/>
        </w:rPr>
        <w:t>，电源低压报警上传；</w:t>
      </w:r>
    </w:p>
    <w:p>
      <w:pPr>
        <w:suppressAutoHyphens/>
        <w:spacing w:line="480" w:lineRule="exact"/>
        <w:ind w:firstLine="48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15</w:t>
      </w:r>
      <w:r>
        <w:rPr>
          <w:rFonts w:hint="eastAsia" w:asciiTheme="minorEastAsia" w:hAnsiTheme="minorEastAsia" w:eastAsiaTheme="minorEastAsia" w:cstheme="minorEastAsia"/>
          <w:kern w:val="1"/>
          <w:sz w:val="24"/>
          <w:szCs w:val="24"/>
        </w:rPr>
        <w:t>）</w:t>
      </w:r>
      <w:r>
        <w:rPr>
          <w:rFonts w:hint="eastAsia" w:asciiTheme="minorEastAsia" w:hAnsiTheme="minorEastAsia" w:eastAsiaTheme="minorEastAsia" w:cstheme="minorEastAsia"/>
          <w:kern w:val="1"/>
          <w:sz w:val="24"/>
          <w:szCs w:val="24"/>
          <w:lang w:eastAsia="ar-SA"/>
        </w:rPr>
        <w:t>参数设置及人工置数功能；</w:t>
      </w:r>
    </w:p>
    <w:p>
      <w:pPr>
        <w:suppressAutoHyphens/>
        <w:spacing w:line="480" w:lineRule="exact"/>
        <w:ind w:firstLine="48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16</w:t>
      </w:r>
      <w:r>
        <w:rPr>
          <w:rFonts w:hint="eastAsia" w:asciiTheme="minorEastAsia" w:hAnsiTheme="minorEastAsia" w:eastAsiaTheme="minorEastAsia" w:cstheme="minorEastAsia"/>
          <w:kern w:val="1"/>
          <w:sz w:val="24"/>
          <w:szCs w:val="24"/>
        </w:rPr>
        <w:t>）</w:t>
      </w:r>
      <w:r>
        <w:rPr>
          <w:rFonts w:hint="eastAsia" w:asciiTheme="minorEastAsia" w:hAnsiTheme="minorEastAsia" w:eastAsiaTheme="minorEastAsia" w:cstheme="minorEastAsia"/>
          <w:kern w:val="1"/>
          <w:sz w:val="24"/>
          <w:szCs w:val="24"/>
          <w:lang w:eastAsia="ar-SA"/>
        </w:rPr>
        <w:t>数据存储容量：</w:t>
      </w:r>
      <w:r>
        <w:rPr>
          <w:rFonts w:hint="eastAsia" w:asciiTheme="minorEastAsia" w:hAnsiTheme="minorEastAsia" w:eastAsiaTheme="minorEastAsia" w:cstheme="minorEastAsia"/>
          <w:kern w:val="1"/>
          <w:sz w:val="24"/>
          <w:szCs w:val="24"/>
        </w:rPr>
        <w:t>不小于</w:t>
      </w:r>
      <w:r>
        <w:rPr>
          <w:rFonts w:hint="eastAsia" w:asciiTheme="minorEastAsia" w:hAnsiTheme="minorEastAsia" w:eastAsiaTheme="minorEastAsia" w:cstheme="minorEastAsia"/>
          <w:kern w:val="1"/>
          <w:sz w:val="24"/>
          <w:szCs w:val="24"/>
          <w:lang w:eastAsia="ar-SA"/>
        </w:rPr>
        <w:t>2MB；</w:t>
      </w:r>
    </w:p>
    <w:p>
      <w:pPr>
        <w:suppressAutoHyphens/>
        <w:spacing w:line="480" w:lineRule="exact"/>
        <w:ind w:firstLine="48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17</w:t>
      </w:r>
      <w:r>
        <w:rPr>
          <w:rFonts w:hint="eastAsia" w:asciiTheme="minorEastAsia" w:hAnsiTheme="minorEastAsia" w:eastAsiaTheme="minorEastAsia" w:cstheme="minorEastAsia"/>
          <w:kern w:val="1"/>
          <w:sz w:val="24"/>
          <w:szCs w:val="24"/>
        </w:rPr>
        <w:t>）</w:t>
      </w:r>
      <w:r>
        <w:rPr>
          <w:rFonts w:hint="eastAsia" w:asciiTheme="minorEastAsia" w:hAnsiTheme="minorEastAsia" w:eastAsiaTheme="minorEastAsia" w:cstheme="minorEastAsia"/>
          <w:kern w:val="1"/>
          <w:sz w:val="24"/>
          <w:szCs w:val="24"/>
          <w:lang w:eastAsia="ar-SA"/>
        </w:rPr>
        <w:t>实时时钟、自动校时功能；</w:t>
      </w:r>
    </w:p>
    <w:p>
      <w:pPr>
        <w:suppressAutoHyphens/>
        <w:spacing w:line="480" w:lineRule="exact"/>
        <w:ind w:firstLine="480"/>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lang w:eastAsia="ar-SA"/>
        </w:rPr>
        <w:t>18</w:t>
      </w:r>
      <w:r>
        <w:rPr>
          <w:rFonts w:hint="eastAsia" w:asciiTheme="minorEastAsia" w:hAnsiTheme="minorEastAsia" w:eastAsiaTheme="minorEastAsia" w:cstheme="minorEastAsia"/>
          <w:kern w:val="1"/>
          <w:sz w:val="24"/>
          <w:szCs w:val="24"/>
        </w:rPr>
        <w:t>）</w:t>
      </w:r>
      <w:r>
        <w:rPr>
          <w:rFonts w:hint="eastAsia" w:asciiTheme="minorEastAsia" w:hAnsiTheme="minorEastAsia" w:eastAsiaTheme="minorEastAsia" w:cstheme="minorEastAsia"/>
          <w:kern w:val="1"/>
          <w:sz w:val="24"/>
          <w:szCs w:val="24"/>
          <w:lang w:eastAsia="ar-SA"/>
        </w:rPr>
        <w:t>现地数据及状态显示功能；</w:t>
      </w:r>
    </w:p>
    <w:p>
      <w:pPr>
        <w:keepLines/>
        <w:spacing w:line="360" w:lineRule="auto"/>
        <w:ind w:left="1" w:hanging="1"/>
        <w:outlineLvl w:val="1"/>
        <w:rPr>
          <w:rFonts w:hint="eastAsia" w:asciiTheme="minorEastAsia" w:hAnsiTheme="minorEastAsia" w:eastAsiaTheme="minorEastAsia" w:cstheme="minorEastAsia"/>
          <w:b/>
          <w:sz w:val="24"/>
          <w:szCs w:val="24"/>
        </w:rPr>
      </w:pPr>
      <w:bookmarkStart w:id="31" w:name="_Toc149911617"/>
      <w:r>
        <w:rPr>
          <w:rFonts w:hint="eastAsia" w:asciiTheme="minorEastAsia" w:hAnsiTheme="minorEastAsia" w:eastAsiaTheme="minorEastAsia" w:cstheme="minorEastAsia"/>
          <w:b/>
          <w:sz w:val="24"/>
          <w:szCs w:val="24"/>
        </w:rPr>
        <w:t>3.位移监测设施</w:t>
      </w:r>
      <w:bookmarkEnd w:id="31"/>
    </w:p>
    <w:p>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大坝位移监测系统建设1处基准点，主坝段部署10处自动化监测点，太阳能供电，无线传输。</w:t>
      </w:r>
    </w:p>
    <w:p>
      <w:pPr>
        <w:keepLines/>
        <w:spacing w:line="360" w:lineRule="auto"/>
        <w:outlineLvl w:val="1"/>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3.1监测方式</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大坝位移监测使用全球定位系统(GNSS)</w:t>
      </w:r>
      <w:r>
        <w:rPr>
          <w:rFonts w:hint="eastAsia" w:asciiTheme="minorEastAsia" w:hAnsiTheme="minorEastAsia" w:eastAsiaTheme="minorEastAsia" w:cstheme="minorEastAsia"/>
          <w:bCs/>
          <w:sz w:val="24"/>
          <w:szCs w:val="24"/>
        </w:rPr>
        <w:t>为主，实施自动化观测。</w:t>
      </w:r>
    </w:p>
    <w:p>
      <w:pPr>
        <w:keepLines/>
        <w:spacing w:line="360" w:lineRule="auto"/>
        <w:outlineLvl w:val="1"/>
        <w:rPr>
          <w:rFonts w:hint="eastAsia" w:asciiTheme="minorEastAsia" w:hAnsiTheme="minorEastAsia" w:eastAsiaTheme="minorEastAsia" w:cstheme="minorEastAsia"/>
          <w:b/>
          <w:sz w:val="24"/>
          <w:szCs w:val="24"/>
        </w:rPr>
      </w:pPr>
      <w:bookmarkStart w:id="32" w:name="_Toc520207281"/>
      <w:bookmarkStart w:id="33" w:name="_Toc149911627"/>
      <w:r>
        <w:rPr>
          <w:rFonts w:hint="eastAsia" w:asciiTheme="minorEastAsia" w:hAnsiTheme="minorEastAsia" w:eastAsiaTheme="minorEastAsia" w:cstheme="minorEastAsia"/>
          <w:b/>
          <w:sz w:val="24"/>
          <w:szCs w:val="24"/>
        </w:rPr>
        <w:t>3.2</w:t>
      </w:r>
      <w:r>
        <w:rPr>
          <w:rFonts w:hint="eastAsia" w:asciiTheme="minorEastAsia" w:hAnsiTheme="minorEastAsia" w:eastAsiaTheme="minorEastAsia" w:cstheme="minorEastAsia"/>
          <w:b/>
          <w:sz w:val="24"/>
          <w:szCs w:val="24"/>
          <w:lang w:eastAsia="zh-CN"/>
        </w:rPr>
        <w:t>检测</w:t>
      </w:r>
      <w:r>
        <w:rPr>
          <w:rFonts w:hint="eastAsia" w:asciiTheme="minorEastAsia" w:hAnsiTheme="minorEastAsia" w:eastAsiaTheme="minorEastAsia" w:cstheme="minorEastAsia"/>
          <w:b/>
          <w:sz w:val="24"/>
          <w:szCs w:val="24"/>
        </w:rPr>
        <w:t>精度指标</w:t>
      </w:r>
      <w:bookmarkEnd w:id="32"/>
      <w:bookmarkEnd w:id="33"/>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根据YS5529-96《岩土工程监测规范》要求，大坝位移监测网和监测点的精度要求，应符合表8-1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表8-2规定。</w:t>
      </w:r>
    </w:p>
    <w:p>
      <w:pPr>
        <w:spacing w:line="360" w:lineRule="auto"/>
        <w:ind w:firstLine="480" w:firstLineChars="200"/>
        <w:jc w:val="center"/>
        <w:rPr>
          <w:rFonts w:hint="eastAsia" w:asciiTheme="minorEastAsia" w:hAnsiTheme="minorEastAsia" w:eastAsiaTheme="minorEastAsia" w:cstheme="minorEastAsia"/>
          <w:sz w:val="24"/>
          <w:szCs w:val="24"/>
          <w:lang w:eastAsia="ar" w:bidi="ar"/>
        </w:rPr>
      </w:pPr>
      <w:r>
        <w:rPr>
          <w:rFonts w:hint="eastAsia" w:asciiTheme="minorEastAsia" w:hAnsiTheme="minorEastAsia" w:eastAsiaTheme="minorEastAsia" w:cstheme="minorEastAsia"/>
          <w:bCs/>
          <w:sz w:val="24"/>
          <w:szCs w:val="24"/>
        </w:rPr>
        <w:t>表8-1水平位移监测网和监测点的精度要求</w:t>
      </w:r>
    </w:p>
    <w:tbl>
      <w:tblPr>
        <w:tblStyle w:val="10"/>
        <w:tblW w:w="5000" w:type="pct"/>
        <w:tblInd w:w="0" w:type="dxa"/>
        <w:tblLayout w:type="autofit"/>
        <w:tblCellMar>
          <w:top w:w="0" w:type="dxa"/>
          <w:left w:w="108" w:type="dxa"/>
          <w:bottom w:w="0" w:type="dxa"/>
          <w:right w:w="108" w:type="dxa"/>
        </w:tblCellMar>
      </w:tblPr>
      <w:tblGrid>
        <w:gridCol w:w="789"/>
        <w:gridCol w:w="1857"/>
        <w:gridCol w:w="1554"/>
        <w:gridCol w:w="5093"/>
      </w:tblGrid>
      <w:tr>
        <w:tblPrEx>
          <w:tblCellMar>
            <w:top w:w="0" w:type="dxa"/>
            <w:left w:w="108" w:type="dxa"/>
            <w:bottom w:w="0" w:type="dxa"/>
            <w:right w:w="108" w:type="dxa"/>
          </w:tblCellMar>
        </w:tblPrEx>
        <w:tc>
          <w:tcPr>
            <w:tcW w:w="425" w:type="pct"/>
            <w:vMerge w:val="restart"/>
            <w:tcBorders>
              <w:top w:val="single" w:color="000000" w:sz="8" w:space="0"/>
              <w:left w:val="single" w:color="000000" w:sz="8" w:space="0"/>
              <w:bottom w:val="single" w:color="000000" w:sz="4" w:space="0"/>
            </w:tcBorders>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等级</w:t>
            </w:r>
          </w:p>
        </w:tc>
        <w:tc>
          <w:tcPr>
            <w:tcW w:w="999" w:type="pct"/>
            <w:tcBorders>
              <w:top w:val="single" w:color="000000" w:sz="8" w:space="0"/>
              <w:left w:val="single" w:color="000000" w:sz="4" w:space="0"/>
              <w:bottom w:val="single" w:color="000000"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监测网</w:t>
            </w:r>
          </w:p>
        </w:tc>
        <w:tc>
          <w:tcPr>
            <w:tcW w:w="836" w:type="pct"/>
            <w:tcBorders>
              <w:top w:val="single" w:color="000000" w:sz="8" w:space="0"/>
              <w:left w:val="single" w:color="000000" w:sz="4" w:space="0"/>
              <w:bottom w:val="single" w:color="000000"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监测点</w:t>
            </w:r>
          </w:p>
        </w:tc>
        <w:tc>
          <w:tcPr>
            <w:tcW w:w="2740" w:type="pct"/>
            <w:vMerge w:val="restart"/>
            <w:tcBorders>
              <w:top w:val="single" w:color="000000" w:sz="8" w:space="0"/>
              <w:left w:val="single" w:color="000000" w:sz="4" w:space="0"/>
              <w:bottom w:val="single" w:color="000000" w:sz="4" w:space="0"/>
              <w:right w:val="single" w:color="000000" w:sz="8"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适用范围</w:t>
            </w:r>
          </w:p>
        </w:tc>
      </w:tr>
      <w:tr>
        <w:tblPrEx>
          <w:tblCellMar>
            <w:top w:w="0" w:type="dxa"/>
            <w:left w:w="108" w:type="dxa"/>
            <w:bottom w:w="0" w:type="dxa"/>
            <w:right w:w="108" w:type="dxa"/>
          </w:tblCellMar>
        </w:tblPrEx>
        <w:tc>
          <w:tcPr>
            <w:tcW w:w="425" w:type="pct"/>
            <w:vMerge w:val="continue"/>
            <w:tcBorders>
              <w:top w:val="single" w:color="000000" w:sz="8" w:space="0"/>
              <w:left w:val="single" w:color="000000" w:sz="8" w:space="0"/>
              <w:bottom w:val="single" w:color="000000" w:sz="4" w:space="0"/>
            </w:tcBorders>
            <w:noWrap w:val="0"/>
            <w:vAlign w:val="center"/>
          </w:tcPr>
          <w:p>
            <w:pPr>
              <w:rPr>
                <w:rFonts w:hint="eastAsia" w:asciiTheme="minorEastAsia" w:hAnsiTheme="minorEastAsia" w:eastAsiaTheme="minorEastAsia" w:cstheme="minorEastAsia"/>
                <w:sz w:val="24"/>
                <w:szCs w:val="24"/>
              </w:rPr>
            </w:pPr>
          </w:p>
        </w:tc>
        <w:tc>
          <w:tcPr>
            <w:tcW w:w="999" w:type="pct"/>
            <w:tcBorders>
              <w:top w:val="single" w:color="000000" w:sz="4" w:space="0"/>
              <w:left w:val="single" w:color="000000" w:sz="4" w:space="0"/>
              <w:bottom w:val="single" w:color="000000" w:sz="4" w:space="0"/>
            </w:tcBorders>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相邻点点位中误差(mm)</w:t>
            </w:r>
          </w:p>
        </w:tc>
        <w:tc>
          <w:tcPr>
            <w:tcW w:w="836" w:type="pct"/>
            <w:tcBorders>
              <w:top w:val="single" w:color="000000" w:sz="4" w:space="0"/>
              <w:left w:val="single" w:color="000000" w:sz="4" w:space="0"/>
              <w:bottom w:val="single" w:color="000000" w:sz="4" w:space="0"/>
            </w:tcBorders>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点位中误差(mm)</w:t>
            </w:r>
          </w:p>
        </w:tc>
        <w:tc>
          <w:tcPr>
            <w:tcW w:w="2740" w:type="pct"/>
            <w:vMerge w:val="continue"/>
            <w:tcBorders>
              <w:top w:val="single" w:color="000000" w:sz="8" w:space="0"/>
              <w:left w:val="single" w:color="000000" w:sz="4" w:space="0"/>
              <w:bottom w:val="single" w:color="000000" w:sz="4" w:space="0"/>
              <w:right w:val="single" w:color="000000" w:sz="8" w:space="0"/>
            </w:tcBorders>
            <w:noWrap w:val="0"/>
            <w:vAlign w:val="center"/>
          </w:tcPr>
          <w:p>
            <w:pPr>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c>
          <w:tcPr>
            <w:tcW w:w="425" w:type="pct"/>
            <w:tcBorders>
              <w:top w:val="single" w:color="000000" w:sz="8" w:space="0"/>
              <w:left w:val="single" w:color="000000" w:sz="8" w:space="0"/>
              <w:bottom w:val="single" w:color="000000" w:sz="4" w:space="0"/>
            </w:tcBorders>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二等</w:t>
            </w:r>
          </w:p>
        </w:tc>
        <w:tc>
          <w:tcPr>
            <w:tcW w:w="999" w:type="pct"/>
            <w:tcBorders>
              <w:top w:val="single" w:color="000000" w:sz="4" w:space="0"/>
              <w:left w:val="single" w:color="000000" w:sz="4" w:space="0"/>
              <w:bottom w:val="single" w:color="000000"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36" w:type="pct"/>
            <w:tcBorders>
              <w:top w:val="single" w:color="000000" w:sz="4" w:space="0"/>
              <w:left w:val="single" w:color="000000" w:sz="4" w:space="0"/>
              <w:bottom w:val="single" w:color="000000"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740" w:type="pct"/>
            <w:tcBorders>
              <w:top w:val="single" w:color="000000" w:sz="8" w:space="0"/>
              <w:left w:val="single" w:color="000000" w:sz="4" w:space="0"/>
              <w:bottom w:val="single" w:color="000000" w:sz="4" w:space="0"/>
              <w:right w:val="single" w:color="000000" w:sz="8" w:space="0"/>
            </w:tcBorders>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大中型水库坝体， 高耸建筑场地等</w:t>
            </w:r>
          </w:p>
        </w:tc>
      </w:tr>
      <w:tr>
        <w:tblPrEx>
          <w:tblCellMar>
            <w:top w:w="0" w:type="dxa"/>
            <w:left w:w="108" w:type="dxa"/>
            <w:bottom w:w="0" w:type="dxa"/>
            <w:right w:w="108" w:type="dxa"/>
          </w:tblCellMar>
        </w:tblPrEx>
        <w:tc>
          <w:tcPr>
            <w:tcW w:w="425" w:type="pct"/>
            <w:tcBorders>
              <w:top w:val="single" w:color="000000" w:sz="4" w:space="0"/>
              <w:left w:val="single" w:color="000000" w:sz="8" w:space="0"/>
              <w:bottom w:val="single" w:color="000000" w:sz="4" w:space="0"/>
            </w:tcBorders>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三等</w:t>
            </w:r>
          </w:p>
        </w:tc>
        <w:tc>
          <w:tcPr>
            <w:tcW w:w="999" w:type="pct"/>
            <w:tcBorders>
              <w:top w:val="single" w:color="000000" w:sz="4" w:space="0"/>
              <w:left w:val="single" w:color="000000" w:sz="4" w:space="0"/>
              <w:bottom w:val="single" w:color="000000"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36" w:type="pct"/>
            <w:tcBorders>
              <w:top w:val="single" w:color="000000" w:sz="4" w:space="0"/>
              <w:left w:val="single" w:color="000000" w:sz="4" w:space="0"/>
              <w:bottom w:val="single" w:color="000000" w:sz="4"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740"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土石坝结构的尾矿坝和中小型水库坝体，建筑场地等</w:t>
            </w:r>
          </w:p>
        </w:tc>
      </w:tr>
      <w:tr>
        <w:tblPrEx>
          <w:tblCellMar>
            <w:top w:w="0" w:type="dxa"/>
            <w:left w:w="108" w:type="dxa"/>
            <w:bottom w:w="0" w:type="dxa"/>
            <w:right w:w="108" w:type="dxa"/>
          </w:tblCellMar>
        </w:tblPrEx>
        <w:tc>
          <w:tcPr>
            <w:tcW w:w="425" w:type="pct"/>
            <w:tcBorders>
              <w:top w:val="single" w:color="000000" w:sz="4" w:space="0"/>
              <w:left w:val="single" w:color="000000" w:sz="8" w:space="0"/>
              <w:bottom w:val="single" w:color="000000" w:sz="8" w:space="0"/>
            </w:tcBorders>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四等</w:t>
            </w:r>
          </w:p>
        </w:tc>
        <w:tc>
          <w:tcPr>
            <w:tcW w:w="999" w:type="pct"/>
            <w:tcBorders>
              <w:top w:val="single" w:color="000000" w:sz="4" w:space="0"/>
              <w:left w:val="single" w:color="000000" w:sz="4" w:space="0"/>
              <w:bottom w:val="single" w:color="000000" w:sz="8"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36" w:type="pct"/>
            <w:tcBorders>
              <w:top w:val="single" w:color="000000" w:sz="4" w:space="0"/>
              <w:left w:val="single" w:color="000000" w:sz="4" w:space="0"/>
              <w:bottom w:val="single" w:color="000000" w:sz="8"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2740" w:type="pct"/>
            <w:tcBorders>
              <w:top w:val="single" w:color="000000" w:sz="4" w:space="0"/>
              <w:left w:val="single" w:color="000000" w:sz="4" w:space="0"/>
              <w:bottom w:val="single" w:color="000000" w:sz="8" w:space="0"/>
              <w:right w:val="single" w:color="000000" w:sz="8" w:space="0"/>
            </w:tcBorders>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边坡、滑坡，井下采矿区的地标</w:t>
            </w:r>
          </w:p>
        </w:tc>
      </w:tr>
    </w:tbl>
    <w:p>
      <w:pPr>
        <w:spacing w:line="360" w:lineRule="auto"/>
        <w:ind w:firstLine="480" w:firstLineChars="200"/>
        <w:jc w:val="center"/>
        <w:rPr>
          <w:rFonts w:hint="eastAsia" w:asciiTheme="minorEastAsia" w:hAnsiTheme="minorEastAsia" w:eastAsiaTheme="minorEastAsia" w:cstheme="minorEastAsia"/>
          <w:bCs/>
          <w:sz w:val="24"/>
          <w:szCs w:val="24"/>
        </w:rPr>
      </w:pPr>
    </w:p>
    <w:p>
      <w:pPr>
        <w:spacing w:line="360" w:lineRule="auto"/>
        <w:ind w:firstLine="480" w:firstLineChars="200"/>
        <w:jc w:val="center"/>
        <w:rPr>
          <w:rFonts w:hint="eastAsia" w:asciiTheme="minorEastAsia" w:hAnsiTheme="minorEastAsia" w:eastAsiaTheme="minorEastAsia" w:cstheme="minorEastAsia"/>
          <w:sz w:val="24"/>
          <w:szCs w:val="24"/>
          <w:lang w:eastAsia="ar" w:bidi="ar"/>
        </w:rPr>
      </w:pPr>
      <w:r>
        <w:rPr>
          <w:rFonts w:hint="eastAsia" w:asciiTheme="minorEastAsia" w:hAnsiTheme="minorEastAsia" w:eastAsiaTheme="minorEastAsia" w:cstheme="minorEastAsia"/>
          <w:bCs/>
          <w:sz w:val="24"/>
          <w:szCs w:val="24"/>
        </w:rPr>
        <w:t>表8-2竖直位移监测网和监测点的精度要求</w:t>
      </w:r>
    </w:p>
    <w:tbl>
      <w:tblPr>
        <w:tblStyle w:val="10"/>
        <w:tblW w:w="5000" w:type="pct"/>
        <w:tblInd w:w="0" w:type="dxa"/>
        <w:tblLayout w:type="autofit"/>
        <w:tblCellMar>
          <w:top w:w="0" w:type="dxa"/>
          <w:left w:w="108" w:type="dxa"/>
          <w:bottom w:w="0" w:type="dxa"/>
          <w:right w:w="108" w:type="dxa"/>
        </w:tblCellMar>
      </w:tblPr>
      <w:tblGrid>
        <w:gridCol w:w="779"/>
        <w:gridCol w:w="1479"/>
        <w:gridCol w:w="1349"/>
        <w:gridCol w:w="5686"/>
      </w:tblGrid>
      <w:tr>
        <w:tblPrEx>
          <w:tblCellMar>
            <w:top w:w="0" w:type="dxa"/>
            <w:left w:w="108" w:type="dxa"/>
            <w:bottom w:w="0" w:type="dxa"/>
            <w:right w:w="108" w:type="dxa"/>
          </w:tblCellMar>
        </w:tblPrEx>
        <w:trPr>
          <w:trHeight w:val="23" w:hRule="atLeast"/>
        </w:trPr>
        <w:tc>
          <w:tcPr>
            <w:tcW w:w="419" w:type="pct"/>
            <w:vMerge w:val="restart"/>
            <w:tcBorders>
              <w:top w:val="single" w:color="000000" w:sz="8" w:space="0"/>
              <w:left w:val="single" w:color="000000" w:sz="8" w:space="0"/>
              <w:bottom w:val="single" w:color="000000" w:sz="4" w:space="0"/>
            </w:tcBorders>
            <w:noWrap w:val="0"/>
            <w:vAlign w:val="center"/>
          </w:tcPr>
          <w:p>
            <w:pP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等级</w:t>
            </w:r>
          </w:p>
        </w:tc>
        <w:tc>
          <w:tcPr>
            <w:tcW w:w="796" w:type="pct"/>
            <w:tcBorders>
              <w:top w:val="single" w:color="000000" w:sz="8" w:space="0"/>
              <w:left w:val="single" w:color="000000" w:sz="4" w:space="0"/>
              <w:bottom w:val="single" w:color="000000" w:sz="4" w:space="0"/>
            </w:tcBorders>
            <w:noWrap w:val="0"/>
            <w:vAlign w:val="center"/>
          </w:tcPr>
          <w:p>
            <w:pP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监测网</w:t>
            </w:r>
          </w:p>
        </w:tc>
        <w:tc>
          <w:tcPr>
            <w:tcW w:w="726" w:type="pct"/>
            <w:tcBorders>
              <w:top w:val="single" w:color="000000" w:sz="8" w:space="0"/>
              <w:left w:val="single" w:color="000000" w:sz="4" w:space="0"/>
              <w:bottom w:val="single" w:color="000000" w:sz="4" w:space="0"/>
            </w:tcBorders>
            <w:noWrap w:val="0"/>
            <w:vAlign w:val="center"/>
          </w:tcPr>
          <w:p>
            <w:pP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监测点</w:t>
            </w:r>
          </w:p>
        </w:tc>
        <w:tc>
          <w:tcPr>
            <w:tcW w:w="3059" w:type="pct"/>
            <w:vMerge w:val="restart"/>
            <w:tcBorders>
              <w:top w:val="single" w:color="000000" w:sz="8" w:space="0"/>
              <w:left w:val="single" w:color="000000" w:sz="4" w:space="0"/>
              <w:bottom w:val="single" w:color="000000" w:sz="4" w:space="0"/>
              <w:right w:val="single" w:color="000000" w:sz="8" w:space="0"/>
            </w:tcBorders>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适用范围</w:t>
            </w:r>
          </w:p>
        </w:tc>
      </w:tr>
      <w:tr>
        <w:tblPrEx>
          <w:tblCellMar>
            <w:top w:w="0" w:type="dxa"/>
            <w:left w:w="108" w:type="dxa"/>
            <w:bottom w:w="0" w:type="dxa"/>
            <w:right w:w="108" w:type="dxa"/>
          </w:tblCellMar>
        </w:tblPrEx>
        <w:trPr>
          <w:trHeight w:val="23" w:hRule="atLeast"/>
        </w:trPr>
        <w:tc>
          <w:tcPr>
            <w:tcW w:w="419" w:type="pct"/>
            <w:vMerge w:val="continue"/>
            <w:tcBorders>
              <w:top w:val="single" w:color="000000" w:sz="8" w:space="0"/>
              <w:left w:val="single" w:color="000000" w:sz="8" w:space="0"/>
              <w:bottom w:val="single" w:color="000000" w:sz="4" w:space="0"/>
            </w:tcBorders>
            <w:noWrap w:val="0"/>
            <w:vAlign w:val="center"/>
          </w:tcPr>
          <w:p>
            <w:pPr>
              <w:rPr>
                <w:rFonts w:hint="eastAsia" w:asciiTheme="minorEastAsia" w:hAnsiTheme="minorEastAsia" w:eastAsiaTheme="minorEastAsia" w:cstheme="minorEastAsia"/>
                <w:sz w:val="24"/>
                <w:szCs w:val="24"/>
                <w:lang w:bidi="ar"/>
              </w:rPr>
            </w:pPr>
          </w:p>
        </w:tc>
        <w:tc>
          <w:tcPr>
            <w:tcW w:w="796" w:type="pct"/>
            <w:tcBorders>
              <w:top w:val="single" w:color="000000" w:sz="4" w:space="0"/>
              <w:left w:val="single" w:color="000000" w:sz="4" w:space="0"/>
              <w:bottom w:val="single" w:color="000000" w:sz="4" w:space="0"/>
            </w:tcBorders>
            <w:noWrap w:val="0"/>
            <w:vAlign w:val="center"/>
          </w:tcPr>
          <w:p>
            <w:pP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相邻点高差中误差(mm)</w:t>
            </w:r>
          </w:p>
        </w:tc>
        <w:tc>
          <w:tcPr>
            <w:tcW w:w="726" w:type="pct"/>
            <w:tcBorders>
              <w:top w:val="single" w:color="000000" w:sz="4" w:space="0"/>
              <w:left w:val="single" w:color="000000" w:sz="4" w:space="0"/>
              <w:bottom w:val="single" w:color="000000" w:sz="4" w:space="0"/>
            </w:tcBorders>
            <w:noWrap w:val="0"/>
            <w:vAlign w:val="center"/>
          </w:tcPr>
          <w:p>
            <w:pP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高程中误差(mm)</w:t>
            </w:r>
          </w:p>
        </w:tc>
        <w:tc>
          <w:tcPr>
            <w:tcW w:w="3059" w:type="pct"/>
            <w:vMerge w:val="continue"/>
            <w:tcBorders>
              <w:top w:val="single" w:color="000000" w:sz="8" w:space="0"/>
              <w:left w:val="single" w:color="000000" w:sz="4" w:space="0"/>
              <w:bottom w:val="single" w:color="000000" w:sz="4" w:space="0"/>
              <w:right w:val="single" w:color="000000" w:sz="8" w:space="0"/>
            </w:tcBorders>
            <w:noWrap w:val="0"/>
            <w:vAlign w:val="center"/>
          </w:tcPr>
          <w:p>
            <w:pPr>
              <w:rPr>
                <w:rFonts w:hint="eastAsia" w:asciiTheme="minorEastAsia" w:hAnsiTheme="minorEastAsia" w:eastAsiaTheme="minorEastAsia" w:cstheme="minorEastAsia"/>
                <w:sz w:val="24"/>
                <w:szCs w:val="24"/>
                <w:lang w:bidi="ar"/>
              </w:rPr>
            </w:pPr>
          </w:p>
        </w:tc>
      </w:tr>
      <w:tr>
        <w:tblPrEx>
          <w:tblCellMar>
            <w:top w:w="0" w:type="dxa"/>
            <w:left w:w="108" w:type="dxa"/>
            <w:bottom w:w="0" w:type="dxa"/>
            <w:right w:w="108" w:type="dxa"/>
          </w:tblCellMar>
        </w:tblPrEx>
        <w:trPr>
          <w:trHeight w:val="23" w:hRule="atLeast"/>
        </w:trPr>
        <w:tc>
          <w:tcPr>
            <w:tcW w:w="419" w:type="pct"/>
            <w:tcBorders>
              <w:top w:val="single" w:color="000000" w:sz="8" w:space="0"/>
              <w:left w:val="single" w:color="000000" w:sz="8" w:space="0"/>
              <w:bottom w:val="single" w:color="000000" w:sz="4" w:space="0"/>
            </w:tcBorders>
            <w:noWrap w:val="0"/>
            <w:vAlign w:val="center"/>
          </w:tcPr>
          <w:p>
            <w:pP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三等</w:t>
            </w:r>
          </w:p>
        </w:tc>
        <w:tc>
          <w:tcPr>
            <w:tcW w:w="796" w:type="pct"/>
            <w:tcBorders>
              <w:top w:val="single" w:color="000000" w:sz="4" w:space="0"/>
              <w:left w:val="single" w:color="000000" w:sz="4" w:space="0"/>
              <w:bottom w:val="single" w:color="000000" w:sz="4" w:space="0"/>
            </w:tcBorders>
            <w:noWrap w:val="0"/>
            <w:vAlign w:val="center"/>
          </w:tcPr>
          <w:p>
            <w:pPr>
              <w:jc w:val="cente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±0.3</w:t>
            </w:r>
          </w:p>
        </w:tc>
        <w:tc>
          <w:tcPr>
            <w:tcW w:w="726" w:type="pct"/>
            <w:tcBorders>
              <w:top w:val="single" w:color="000000" w:sz="4" w:space="0"/>
              <w:left w:val="single" w:color="000000" w:sz="4" w:space="0"/>
              <w:bottom w:val="single" w:color="000000" w:sz="4" w:space="0"/>
            </w:tcBorders>
            <w:noWrap w:val="0"/>
            <w:vAlign w:val="center"/>
          </w:tcPr>
          <w:p>
            <w:pPr>
              <w:jc w:val="cente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±0.5</w:t>
            </w:r>
          </w:p>
        </w:tc>
        <w:tc>
          <w:tcPr>
            <w:tcW w:w="3059" w:type="pct"/>
            <w:tcBorders>
              <w:top w:val="single" w:color="000000" w:sz="8" w:space="0"/>
              <w:left w:val="single" w:color="000000" w:sz="4" w:space="0"/>
              <w:bottom w:val="single" w:color="000000" w:sz="4" w:space="0"/>
              <w:right w:val="single" w:color="000000" w:sz="8" w:space="0"/>
            </w:tcBorders>
            <w:noWrap w:val="0"/>
            <w:vAlign w:val="center"/>
          </w:tcPr>
          <w:p>
            <w:pP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大中型水库坝体， 高耸建筑场地等</w:t>
            </w:r>
          </w:p>
        </w:tc>
      </w:tr>
      <w:tr>
        <w:tblPrEx>
          <w:tblCellMar>
            <w:top w:w="0" w:type="dxa"/>
            <w:left w:w="108" w:type="dxa"/>
            <w:bottom w:w="0" w:type="dxa"/>
            <w:right w:w="108" w:type="dxa"/>
          </w:tblCellMar>
        </w:tblPrEx>
        <w:trPr>
          <w:trHeight w:val="23" w:hRule="atLeast"/>
        </w:trPr>
        <w:tc>
          <w:tcPr>
            <w:tcW w:w="419" w:type="pct"/>
            <w:tcBorders>
              <w:top w:val="single" w:color="000000" w:sz="4" w:space="0"/>
              <w:left w:val="single" w:color="000000" w:sz="8" w:space="0"/>
              <w:bottom w:val="single" w:color="000000" w:sz="4" w:space="0"/>
            </w:tcBorders>
            <w:noWrap w:val="0"/>
            <w:vAlign w:val="center"/>
          </w:tcPr>
          <w:p>
            <w:pP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四等</w:t>
            </w:r>
          </w:p>
        </w:tc>
        <w:tc>
          <w:tcPr>
            <w:tcW w:w="796" w:type="pct"/>
            <w:tcBorders>
              <w:top w:val="single" w:color="000000" w:sz="4" w:space="0"/>
              <w:left w:val="single" w:color="000000" w:sz="4" w:space="0"/>
              <w:bottom w:val="single" w:color="000000" w:sz="4" w:space="0"/>
            </w:tcBorders>
            <w:noWrap w:val="0"/>
            <w:vAlign w:val="center"/>
          </w:tcPr>
          <w:p>
            <w:pPr>
              <w:jc w:val="cente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±1</w:t>
            </w:r>
          </w:p>
        </w:tc>
        <w:tc>
          <w:tcPr>
            <w:tcW w:w="726" w:type="pct"/>
            <w:tcBorders>
              <w:top w:val="single" w:color="000000" w:sz="4" w:space="0"/>
              <w:left w:val="single" w:color="000000" w:sz="4" w:space="0"/>
              <w:bottom w:val="single" w:color="000000" w:sz="4" w:space="0"/>
            </w:tcBorders>
            <w:noWrap w:val="0"/>
            <w:vAlign w:val="center"/>
          </w:tcPr>
          <w:p>
            <w:pPr>
              <w:jc w:val="cente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±4</w:t>
            </w:r>
          </w:p>
        </w:tc>
        <w:tc>
          <w:tcPr>
            <w:tcW w:w="3059" w:type="pct"/>
            <w:tcBorders>
              <w:top w:val="single" w:color="000000" w:sz="4" w:space="0"/>
              <w:left w:val="single" w:color="000000" w:sz="4" w:space="0"/>
              <w:bottom w:val="single" w:color="000000" w:sz="4" w:space="0"/>
              <w:right w:val="single" w:color="000000" w:sz="8" w:space="0"/>
            </w:tcBorders>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土石坝结构的尾矿坝和中小型水库坝体，建筑场地等</w:t>
            </w:r>
          </w:p>
        </w:tc>
      </w:tr>
      <w:tr>
        <w:tblPrEx>
          <w:tblCellMar>
            <w:top w:w="0" w:type="dxa"/>
            <w:left w:w="108" w:type="dxa"/>
            <w:bottom w:w="0" w:type="dxa"/>
            <w:right w:w="108" w:type="dxa"/>
          </w:tblCellMar>
        </w:tblPrEx>
        <w:trPr>
          <w:trHeight w:val="23" w:hRule="atLeast"/>
        </w:trPr>
        <w:tc>
          <w:tcPr>
            <w:tcW w:w="419" w:type="pct"/>
            <w:tcBorders>
              <w:top w:val="single" w:color="000000" w:sz="4" w:space="0"/>
              <w:left w:val="single" w:color="000000" w:sz="8" w:space="0"/>
              <w:bottom w:val="single" w:color="000000" w:sz="8" w:space="0"/>
            </w:tcBorders>
            <w:noWrap w:val="0"/>
            <w:vAlign w:val="center"/>
          </w:tcPr>
          <w:p>
            <w:pP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五等</w:t>
            </w:r>
          </w:p>
        </w:tc>
        <w:tc>
          <w:tcPr>
            <w:tcW w:w="796" w:type="pct"/>
            <w:tcBorders>
              <w:top w:val="single" w:color="000000" w:sz="4" w:space="0"/>
              <w:left w:val="single" w:color="000000" w:sz="4" w:space="0"/>
              <w:bottom w:val="single" w:color="000000" w:sz="8" w:space="0"/>
            </w:tcBorders>
            <w:noWrap w:val="0"/>
            <w:vAlign w:val="center"/>
          </w:tcPr>
          <w:p>
            <w:pPr>
              <w:jc w:val="cente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±2</w:t>
            </w:r>
          </w:p>
        </w:tc>
        <w:tc>
          <w:tcPr>
            <w:tcW w:w="726" w:type="pct"/>
            <w:tcBorders>
              <w:top w:val="single" w:color="000000" w:sz="4" w:space="0"/>
              <w:left w:val="single" w:color="000000" w:sz="4" w:space="0"/>
              <w:bottom w:val="single" w:color="000000" w:sz="8" w:space="0"/>
            </w:tcBorders>
            <w:noWrap w:val="0"/>
            <w:vAlign w:val="center"/>
          </w:tcPr>
          <w:p>
            <w:pPr>
              <w:jc w:val="center"/>
              <w:rPr>
                <w:rFonts w:hint="eastAsia" w:asciiTheme="minorEastAsia" w:hAnsiTheme="minorEastAsia" w:eastAsiaTheme="minorEastAsia" w:cstheme="minorEastAsia"/>
                <w:sz w:val="24"/>
                <w:szCs w:val="24"/>
                <w:lang w:bidi="ar"/>
              </w:rPr>
            </w:pPr>
            <w:r>
              <w:rPr>
                <w:rFonts w:hint="eastAsia" w:asciiTheme="minorEastAsia" w:hAnsiTheme="minorEastAsia" w:eastAsiaTheme="minorEastAsia" w:cstheme="minorEastAsia"/>
                <w:sz w:val="24"/>
                <w:szCs w:val="24"/>
                <w:lang w:bidi="ar"/>
              </w:rPr>
              <w:t>±8</w:t>
            </w:r>
          </w:p>
        </w:tc>
        <w:tc>
          <w:tcPr>
            <w:tcW w:w="3059" w:type="pct"/>
            <w:tcBorders>
              <w:top w:val="single" w:color="000000" w:sz="4" w:space="0"/>
              <w:left w:val="single" w:color="000000" w:sz="4" w:space="0"/>
              <w:bottom w:val="single" w:color="000000" w:sz="8" w:space="0"/>
              <w:right w:val="single" w:color="000000" w:sz="8" w:space="0"/>
            </w:tcBorders>
            <w:noWrap w:val="0"/>
            <w:vAlign w:val="center"/>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bidi="ar"/>
              </w:rPr>
              <w:t>边坡、滑坡，井下采矿区的地标</w:t>
            </w:r>
          </w:p>
        </w:tc>
      </w:tr>
    </w:tbl>
    <w:p>
      <w:pPr>
        <w:spacing w:line="360" w:lineRule="auto"/>
        <w:ind w:firstLine="480" w:firstLineChars="200"/>
        <w:rPr>
          <w:rFonts w:hint="eastAsia" w:asciiTheme="minorEastAsia" w:hAnsiTheme="minorEastAsia" w:eastAsiaTheme="minorEastAsia" w:cstheme="minorEastAsia"/>
          <w:bCs/>
          <w:sz w:val="24"/>
          <w:szCs w:val="24"/>
        </w:rPr>
      </w:pPr>
      <w:bookmarkStart w:id="34" w:name="__RefHeading___Toc1202"/>
      <w:bookmarkEnd w:id="34"/>
      <w:bookmarkStart w:id="35" w:name="_Toc149911628"/>
      <w:bookmarkStart w:id="36" w:name="_Toc520207282"/>
      <w:r>
        <w:rPr>
          <w:rFonts w:hint="eastAsia" w:asciiTheme="minorEastAsia" w:hAnsiTheme="minorEastAsia" w:eastAsiaTheme="minorEastAsia" w:cstheme="minorEastAsia"/>
          <w:bCs/>
          <w:sz w:val="24"/>
          <w:szCs w:val="24"/>
        </w:rPr>
        <w:t>同时应满足《土石坝安全监测技术规范》（SL551-2012）4.1.3条 “坝体及近岸坝坡监测点，其垂直位移与水平位移监测精度相对于</w:t>
      </w:r>
      <w:r>
        <w:rPr>
          <w:rFonts w:hint="eastAsia" w:asciiTheme="minorEastAsia" w:hAnsiTheme="minorEastAsia" w:eastAsiaTheme="minorEastAsia" w:cstheme="minorEastAsia"/>
          <w:bCs/>
          <w:sz w:val="24"/>
          <w:szCs w:val="24"/>
          <w:lang w:eastAsia="zh-CN"/>
        </w:rPr>
        <w:t>临近</w:t>
      </w:r>
      <w:r>
        <w:rPr>
          <w:rFonts w:hint="eastAsia" w:asciiTheme="minorEastAsia" w:hAnsiTheme="minorEastAsia" w:eastAsiaTheme="minorEastAsia" w:cstheme="minorEastAsia"/>
          <w:bCs/>
          <w:sz w:val="24"/>
          <w:szCs w:val="24"/>
        </w:rPr>
        <w:t>工作基点应不大于±3mm”和本规范</w:t>
      </w:r>
      <w:r>
        <w:rPr>
          <w:rFonts w:hint="eastAsia" w:asciiTheme="minorEastAsia" w:hAnsiTheme="minorEastAsia" w:eastAsiaTheme="minorEastAsia" w:cstheme="minorEastAsia"/>
          <w:bCs/>
          <w:sz w:val="24"/>
          <w:szCs w:val="24"/>
          <w:lang w:eastAsia="zh-CN"/>
        </w:rPr>
        <w:t>其他条款</w:t>
      </w:r>
      <w:r>
        <w:rPr>
          <w:rFonts w:hint="eastAsia" w:asciiTheme="minorEastAsia" w:hAnsiTheme="minorEastAsia" w:eastAsiaTheme="minorEastAsia" w:cstheme="minorEastAsia"/>
          <w:bCs/>
          <w:sz w:val="24"/>
          <w:szCs w:val="24"/>
        </w:rPr>
        <w:t>之规定。</w:t>
      </w:r>
    </w:p>
    <w:bookmarkEnd w:id="35"/>
    <w:bookmarkEnd w:id="36"/>
    <w:p>
      <w:pPr>
        <w:keepLines/>
        <w:spacing w:line="360" w:lineRule="auto"/>
        <w:outlineLvl w:val="1"/>
        <w:rPr>
          <w:rFonts w:hint="eastAsia" w:asciiTheme="minorEastAsia" w:hAnsiTheme="minorEastAsia" w:eastAsiaTheme="minorEastAsia" w:cstheme="minorEastAsia"/>
          <w:b/>
          <w:sz w:val="24"/>
          <w:szCs w:val="24"/>
        </w:rPr>
      </w:pPr>
      <w:bookmarkStart w:id="37" w:name="__RefHeading___Toc7122"/>
      <w:bookmarkEnd w:id="37"/>
      <w:bookmarkStart w:id="38" w:name="_Toc520207283"/>
      <w:bookmarkStart w:id="39" w:name="_Toc149911629"/>
      <w:r>
        <w:rPr>
          <w:rFonts w:hint="eastAsia" w:asciiTheme="minorEastAsia" w:hAnsiTheme="minorEastAsia" w:eastAsiaTheme="minorEastAsia" w:cstheme="minorEastAsia"/>
          <w:b/>
          <w:sz w:val="24"/>
          <w:szCs w:val="24"/>
        </w:rPr>
        <w:t>3.3技术规范要求</w:t>
      </w:r>
      <w:bookmarkEnd w:id="38"/>
      <w:bookmarkEnd w:id="39"/>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根据SL551-2012《土石坝安全监测技术规范》的要求，用以进行变形观测的GNSS接收机应满足以下观测条件并达到相应精度指标。</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(1)GNSS适于地势开阔监测工程特定部位的永久性持续监测。</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(2)固定基准站及监测点上部对空条件良好。高度角15°以上范围无障碍物遮挡，应远离大功率无线电信号干扰源(如高压线、无线电发射站、电视台、微波站等)，且附近无GNSS信号反射物。</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(3)GNSS接收机类型可选用双频或单频，其标称精度大于(3mm+D×10-6)。</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(4)GNSS接收机天线的水准器应严格居中，天线定线指向正北，天线相位中心高度应量取2次，误差不应大于1mm.</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(5)采用GNSS静态</w:t>
      </w:r>
      <w:r>
        <w:rPr>
          <w:rFonts w:hint="eastAsia" w:asciiTheme="minorEastAsia" w:hAnsiTheme="minorEastAsia" w:eastAsiaTheme="minorEastAsia" w:cstheme="minorEastAsia"/>
          <w:bCs/>
          <w:sz w:val="24"/>
          <w:szCs w:val="24"/>
          <w:lang w:eastAsia="zh-CN"/>
        </w:rPr>
        <w:t>检测</w:t>
      </w:r>
      <w:r>
        <w:rPr>
          <w:rFonts w:hint="eastAsia" w:asciiTheme="minorEastAsia" w:hAnsiTheme="minorEastAsia" w:eastAsiaTheme="minorEastAsia" w:cstheme="minorEastAsia"/>
          <w:bCs/>
          <w:sz w:val="24"/>
          <w:szCs w:val="24"/>
        </w:rPr>
        <w:t>方式时。监测前应做好星历预报以选择最佳监测时机。</w:t>
      </w:r>
    </w:p>
    <w:p>
      <w:pPr>
        <w:keepLines/>
        <w:spacing w:line="360" w:lineRule="auto"/>
        <w:outlineLvl w:val="1"/>
        <w:rPr>
          <w:rFonts w:hint="eastAsia" w:asciiTheme="minorEastAsia" w:hAnsiTheme="minorEastAsia" w:eastAsiaTheme="minorEastAsia" w:cstheme="minorEastAsia"/>
          <w:b/>
          <w:bCs/>
          <w:sz w:val="24"/>
          <w:szCs w:val="24"/>
        </w:rPr>
      </w:pPr>
      <w:bookmarkStart w:id="40" w:name="__RefHeading___Toc13305"/>
      <w:bookmarkEnd w:id="40"/>
      <w:bookmarkStart w:id="41" w:name="_Toc149911630"/>
      <w:bookmarkStart w:id="42" w:name="_Toc520207284"/>
      <w:r>
        <w:rPr>
          <w:rFonts w:hint="eastAsia" w:asciiTheme="minorEastAsia" w:hAnsiTheme="minorEastAsia" w:eastAsiaTheme="minorEastAsia" w:cstheme="minorEastAsia"/>
          <w:b/>
          <w:sz w:val="24"/>
          <w:szCs w:val="24"/>
        </w:rPr>
        <w:t>3.4监测点布置原则</w:t>
      </w:r>
      <w:bookmarkEnd w:id="41"/>
      <w:bookmarkEnd w:id="42"/>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变形监测网的网点分为基准点和监测点，其布设应符合下列要求：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基准点：应选在变形影像区域之外稳固可靠的位置，根据鸭河口水库工程实际情况，布设1个基准点，其水平位移基准点应采用带有强制归心装置的观测墩，垂直位移基准点宜采用双金属标或钢管标。</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监测点：应设立在能反映监测体变形特征的位置或者断面上。</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监测网点的点位中误差和埋设要求参考《工程测量规范》10.4.2和《土石坝安全监测技术规范》4.2.3及附录C要求执行。</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数据采集中心宜在基准站和监测站断面中心位置；交通方便、利于供电及维护；尽量</w:t>
      </w:r>
      <w:r>
        <w:rPr>
          <w:rFonts w:hint="eastAsia" w:asciiTheme="minorEastAsia" w:hAnsiTheme="minorEastAsia" w:eastAsiaTheme="minorEastAsia" w:cstheme="minorEastAsia"/>
          <w:sz w:val="24"/>
          <w:szCs w:val="24"/>
          <w:lang w:eastAsia="zh-CN"/>
        </w:rPr>
        <w:t>选择</w:t>
      </w:r>
      <w:r>
        <w:rPr>
          <w:rFonts w:hint="eastAsia" w:asciiTheme="minorEastAsia" w:hAnsiTheme="minorEastAsia" w:eastAsiaTheme="minorEastAsia" w:cstheme="minorEastAsia"/>
          <w:sz w:val="24"/>
          <w:szCs w:val="24"/>
        </w:rPr>
        <w:t>开阔、平敞的场地；避开雷击区。</w:t>
      </w:r>
    </w:p>
    <w:p>
      <w:pPr>
        <w:keepLines/>
        <w:spacing w:line="360" w:lineRule="auto"/>
        <w:outlineLvl w:val="1"/>
        <w:rPr>
          <w:rFonts w:hint="eastAsia" w:asciiTheme="minorEastAsia" w:hAnsiTheme="minorEastAsia" w:eastAsiaTheme="minorEastAsia" w:cstheme="minorEastAsia"/>
          <w:b/>
          <w:bCs/>
          <w:sz w:val="24"/>
          <w:szCs w:val="24"/>
        </w:rPr>
      </w:pPr>
      <w:bookmarkStart w:id="43" w:name="__RefHeading___Toc9370"/>
      <w:bookmarkEnd w:id="43"/>
      <w:bookmarkStart w:id="44" w:name="_Toc149911631"/>
      <w:bookmarkStart w:id="45" w:name="_Toc520207285"/>
      <w:r>
        <w:rPr>
          <w:rFonts w:hint="eastAsia" w:asciiTheme="minorEastAsia" w:hAnsiTheme="minorEastAsia" w:eastAsiaTheme="minorEastAsia" w:cstheme="minorEastAsia"/>
          <w:b/>
          <w:sz w:val="24"/>
          <w:szCs w:val="24"/>
        </w:rPr>
        <w:t>3.4.1监测点</w:t>
      </w:r>
      <w:bookmarkEnd w:id="44"/>
      <w:bookmarkEnd w:id="45"/>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本监测区在监测区</w:t>
      </w:r>
      <w:r>
        <w:rPr>
          <w:rFonts w:hint="eastAsia" w:asciiTheme="minorEastAsia" w:hAnsiTheme="minorEastAsia" w:eastAsiaTheme="minorEastAsia" w:cstheme="minorEastAsia"/>
          <w:sz w:val="24"/>
          <w:szCs w:val="24"/>
          <w:lang w:eastAsia="zh-CN"/>
        </w:rPr>
        <w:t>附近</w:t>
      </w:r>
      <w:r>
        <w:rPr>
          <w:rFonts w:hint="eastAsia" w:asciiTheme="minorEastAsia" w:hAnsiTheme="minorEastAsia" w:eastAsiaTheme="minorEastAsia" w:cstheme="minorEastAsia"/>
          <w:sz w:val="24"/>
          <w:szCs w:val="24"/>
        </w:rPr>
        <w:t>周边地质条件好处建立1个基准点，位于坝体附近稳定山坡基岩之上。在大坝主要控制观测断面的</w:t>
      </w:r>
      <w:r>
        <w:rPr>
          <w:rFonts w:hint="eastAsia" w:asciiTheme="minorEastAsia" w:hAnsiTheme="minorEastAsia" w:eastAsiaTheme="minorEastAsia" w:cstheme="minorEastAsia"/>
          <w:sz w:val="24"/>
          <w:szCs w:val="24"/>
          <w:lang w:eastAsia="zh-CN"/>
        </w:rPr>
        <w:t>人工监测</w:t>
      </w:r>
      <w:r>
        <w:rPr>
          <w:rFonts w:hint="eastAsia" w:asciiTheme="minorEastAsia" w:hAnsiTheme="minorEastAsia" w:eastAsiaTheme="minorEastAsia" w:cstheme="minorEastAsia"/>
          <w:sz w:val="24"/>
          <w:szCs w:val="24"/>
        </w:rPr>
        <w:t>点位附近安装部署自动位移监测点。本次项目建设位移监测点位共计10处。系统主要包括天线、接收机、供电系统、数据传输通讯系统、坐标转换及分析处理软件等。在监测点设置结构牢固的观测墩，观测墩上有强制对中器，固定安装一体化GNSS自动观测仪，将自动观测仪用强制对中基座对中固定安装在观测墩上。每个设备支持4G公网传输，GNSS信号通过4G公网传输到中心。</w:t>
      </w:r>
    </w:p>
    <w:p>
      <w:pPr>
        <w:keepLines/>
        <w:spacing w:line="360" w:lineRule="auto"/>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3.4.2基准站</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基准站建立目的是长期连续跟踪观测卫星信号，并实时为各测点提供高精度的载波相位差分数据及起算坐标。基准站需定期复核，以减小测量误差。</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准站选择要求如下：在大坝变形影响范围之外，基础稳固；远离大功率无线电发射源(如电视台，电台，微波站等)和高压输电线及微波无线电传送通道，其距离不小于200m；接收卫星情况良好，多路径效应不明显(</w:t>
      </w:r>
      <w:r>
        <w:rPr>
          <w:rFonts w:hint="eastAsia" w:asciiTheme="minorEastAsia" w:hAnsiTheme="minorEastAsia" w:eastAsiaTheme="minorEastAsia" w:cstheme="minorEastAsia"/>
          <w:sz w:val="24"/>
          <w:szCs w:val="24"/>
          <w:lang w:eastAsia="zh-CN"/>
        </w:rPr>
        <w:t>加强</w:t>
      </w:r>
      <w:r>
        <w:rPr>
          <w:rFonts w:hint="eastAsia" w:asciiTheme="minorEastAsia" w:hAnsiTheme="minorEastAsia" w:eastAsiaTheme="minorEastAsia" w:cstheme="minorEastAsia"/>
          <w:sz w:val="24"/>
          <w:szCs w:val="24"/>
        </w:rPr>
        <w:t>反射面、高大建筑物等)，原则上能接收所有监测点接收到的卫星；</w:t>
      </w:r>
      <w:r>
        <w:rPr>
          <w:rFonts w:hint="eastAsia" w:asciiTheme="minorEastAsia" w:hAnsiTheme="minorEastAsia" w:eastAsiaTheme="minorEastAsia" w:cstheme="minorEastAsia"/>
          <w:sz w:val="24"/>
          <w:szCs w:val="24"/>
          <w:lang w:eastAsia="zh-CN"/>
        </w:rPr>
        <w:t>接收信号</w:t>
      </w:r>
      <w:r>
        <w:rPr>
          <w:rFonts w:hint="eastAsia" w:asciiTheme="minorEastAsia" w:hAnsiTheme="minorEastAsia" w:eastAsiaTheme="minorEastAsia" w:cstheme="minorEastAsia"/>
          <w:sz w:val="24"/>
          <w:szCs w:val="24"/>
        </w:rPr>
        <w:t>以GPS卫星为主。</w:t>
      </w:r>
    </w:p>
    <w:p>
      <w:pPr>
        <w:keepLines/>
        <w:spacing w:line="360" w:lineRule="auto"/>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4.供电系统</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采用太阳能供电，搭配后备电池。</w:t>
      </w:r>
    </w:p>
    <w:p>
      <w:pPr>
        <w:keepLines/>
        <w:spacing w:line="360" w:lineRule="auto"/>
        <w:outlineLvl w:val="1"/>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5.系统防雷与接地</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由于GNSS系统均处于室外，因此其防雷与接地尤显重要，主要从防直</w:t>
      </w:r>
      <w:r>
        <w:rPr>
          <w:rFonts w:hint="eastAsia" w:asciiTheme="minorEastAsia" w:hAnsiTheme="minorEastAsia" w:eastAsiaTheme="minorEastAsia" w:cstheme="minorEastAsia"/>
          <w:sz w:val="24"/>
          <w:szCs w:val="24"/>
          <w:lang w:eastAsia="zh-CN"/>
        </w:rPr>
        <w:t>击</w:t>
      </w:r>
      <w:r>
        <w:rPr>
          <w:rFonts w:hint="eastAsia" w:asciiTheme="minorEastAsia" w:hAnsiTheme="minorEastAsia" w:eastAsiaTheme="minorEastAsia" w:cstheme="minorEastAsia"/>
          <w:sz w:val="24"/>
          <w:szCs w:val="24"/>
        </w:rPr>
        <w:t>雷和感应雷两个方面进行设计。系统除直接利用工程的防雷和接地设施外，还应满足如下要求：</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1）GNSS设备的感应避雷防护，应设置天线馈线和电源线的感应避雷器，避雷器必须接地良好，接地电阻小于4Ω；</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2)各测点与大坝接地网相连，基准站附近如就近无接地网可用，需单独设置接地设施；</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3)避雷针针尖高度应高过GNSS天线2.5m以上；</w:t>
      </w:r>
    </w:p>
    <w:p>
      <w:pPr>
        <w:keepLines/>
        <w:spacing w:line="360" w:lineRule="auto"/>
        <w:outlineLvl w:val="1"/>
        <w:rPr>
          <w:rFonts w:hint="eastAsia" w:asciiTheme="minorEastAsia" w:hAnsiTheme="minorEastAsia" w:eastAsiaTheme="minorEastAsia" w:cstheme="minorEastAsia"/>
          <w:b/>
          <w:sz w:val="24"/>
          <w:szCs w:val="24"/>
        </w:rPr>
      </w:pPr>
      <w:bookmarkStart w:id="46" w:name="_Toc149911632"/>
      <w:bookmarkStart w:id="47" w:name="_Toc115248035"/>
      <w:bookmarkStart w:id="48" w:name="_Toc520207286"/>
      <w:r>
        <w:rPr>
          <w:rFonts w:hint="eastAsia" w:asciiTheme="minorEastAsia" w:hAnsiTheme="minorEastAsia" w:eastAsiaTheme="minorEastAsia" w:cstheme="minorEastAsia"/>
          <w:b/>
          <w:sz w:val="24"/>
          <w:szCs w:val="24"/>
        </w:rPr>
        <w:t>6.</w:t>
      </w:r>
      <w:r>
        <w:rPr>
          <w:rFonts w:hint="eastAsia" w:asciiTheme="minorEastAsia" w:hAnsiTheme="minorEastAsia" w:eastAsiaTheme="minorEastAsia" w:cstheme="minorEastAsia"/>
          <w:b/>
          <w:bCs/>
          <w:kern w:val="1"/>
          <w:sz w:val="24"/>
          <w:szCs w:val="24"/>
          <w:lang w:eastAsia="ar-SA"/>
        </w:rPr>
        <w:t>★</w:t>
      </w:r>
      <w:r>
        <w:rPr>
          <w:rFonts w:hint="eastAsia" w:asciiTheme="minorEastAsia" w:hAnsiTheme="minorEastAsia" w:eastAsiaTheme="minorEastAsia" w:cstheme="minorEastAsia"/>
          <w:b/>
          <w:sz w:val="24"/>
          <w:szCs w:val="24"/>
        </w:rPr>
        <w:t>主要设备技术指标</w:t>
      </w:r>
      <w:bookmarkEnd w:id="46"/>
      <w:bookmarkEnd w:id="47"/>
    </w:p>
    <w:p>
      <w:pPr>
        <w:suppressAutoHyphens/>
        <w:spacing w:line="480" w:lineRule="exact"/>
        <w:ind w:firstLine="482"/>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b/>
          <w:bCs/>
          <w:kern w:val="1"/>
          <w:sz w:val="24"/>
          <w:szCs w:val="24"/>
          <w:lang w:eastAsia="ar-SA"/>
        </w:rPr>
        <w:t>（1）GNSS接收一体机</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标准单点定位精度单频：</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水平：±2.0mm+0.3ppm（RMS）；</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rPr>
        <w:t>竖</w:t>
      </w:r>
      <w:r>
        <w:rPr>
          <w:rFonts w:hint="eastAsia" w:asciiTheme="minorEastAsia" w:hAnsiTheme="minorEastAsia" w:eastAsiaTheme="minorEastAsia" w:cstheme="minorEastAsia"/>
          <w:kern w:val="1"/>
          <w:sz w:val="24"/>
          <w:szCs w:val="24"/>
          <w:lang w:eastAsia="ar-SA"/>
        </w:rPr>
        <w:t xml:space="preserve">直：±2.5mm+0.3ppm（RMS）； </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卫星频率：GPS: L1，L1C， L2C，L2P，L5；BDS-2:B1I， B2I， B3I；BDS-3:B1I， B3I，B1C，B2a，B2b*；GLONASS:G1，G2，G3*；Galileo:E1， E5a，E5b， E6C*；QZSS:L1，L2C，L5*；SBAS:L1*；</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RTK频率：最大20Hz；</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RTK锁定时间：&lt;10sec；</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平均无故障工作时间：不低于60000小时；</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工作模式：BDS+GPS+/四星十频以上，支持动态调整监测频率，MEMS传感器触发功能；</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信号通道数：不低于600；</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工作温度：-40℃～+85℃；</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湿热交互：0~100%RH；</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盐雾：C4；</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振动：</w:t>
      </w:r>
      <w:r>
        <w:rPr>
          <w:rFonts w:hint="eastAsia" w:asciiTheme="minorEastAsia" w:hAnsiTheme="minorEastAsia" w:eastAsiaTheme="minorEastAsia" w:cstheme="minorEastAsia"/>
          <w:kern w:val="1"/>
          <w:sz w:val="24"/>
          <w:szCs w:val="24"/>
          <w:lang w:eastAsia="zh-CN"/>
        </w:rPr>
        <w:t>振动频率</w:t>
      </w:r>
      <w:r>
        <w:rPr>
          <w:rFonts w:hint="eastAsia" w:asciiTheme="minorEastAsia" w:hAnsiTheme="minorEastAsia" w:eastAsiaTheme="minorEastAsia" w:cstheme="minorEastAsia"/>
          <w:kern w:val="1"/>
          <w:sz w:val="24"/>
          <w:szCs w:val="24"/>
          <w:lang w:eastAsia="ar-SA"/>
        </w:rPr>
        <w:t>10Hz-500Hz；</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跌落：抗⒉米跌落；</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雷击浪涌：抗4KV浪涌；</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静电放电：抗8KV静电；</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待机功耗及工作功耗：接收机正常工作的平均功耗≤2W；</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采样间隔：0s～24h(可按需求设定)；</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上传间隔：0s～72h(可按需求设定)；</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输出信号：RS485/NB-IOT/以太网/4G/5G；</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数据格式：支持RTCM32原始数据及实时动态结果数据上传；</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通讯模块：通信模块支持自组网或者运营商网络。每种设备</w:t>
      </w:r>
      <w:r>
        <w:rPr>
          <w:rFonts w:hint="eastAsia" w:asciiTheme="minorEastAsia" w:hAnsiTheme="minorEastAsia" w:eastAsiaTheme="minorEastAsia" w:cstheme="minorEastAsia"/>
          <w:kern w:val="1"/>
          <w:sz w:val="24"/>
          <w:szCs w:val="24"/>
          <w:lang w:eastAsia="zh-CN"/>
        </w:rPr>
        <w:t>至少能实现3种</w:t>
      </w:r>
      <w:r>
        <w:rPr>
          <w:rFonts w:hint="eastAsia" w:asciiTheme="minorEastAsia" w:hAnsiTheme="minorEastAsia" w:eastAsiaTheme="minorEastAsia" w:cstheme="minorEastAsia"/>
          <w:kern w:val="1"/>
          <w:sz w:val="24"/>
          <w:szCs w:val="24"/>
          <w:lang w:eastAsia="ar-SA"/>
        </w:rPr>
        <w:t>通讯方式；</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防护等级：IP68；</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安装方式：标准观测墩、现浇混凝土墩、钢结构等；</w:t>
      </w:r>
    </w:p>
    <w:p>
      <w:pPr>
        <w:suppressAutoHyphens/>
        <w:spacing w:line="360" w:lineRule="auto"/>
        <w:ind w:firstLine="480" w:firstLineChars="20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供电方式：市电、电池和太阳能板供电，可保证连续35个阴雨日正常工作，具有过压及欠压保护功能。</w:t>
      </w:r>
    </w:p>
    <w:p>
      <w:pPr>
        <w:suppressAutoHyphens/>
        <w:spacing w:line="480" w:lineRule="exact"/>
        <w:ind w:firstLine="482"/>
        <w:rPr>
          <w:rFonts w:hint="eastAsia" w:asciiTheme="minorEastAsia" w:hAnsiTheme="minorEastAsia" w:eastAsiaTheme="minorEastAsia" w:cstheme="minorEastAsia"/>
          <w:b/>
          <w:bCs/>
          <w:kern w:val="1"/>
          <w:sz w:val="24"/>
          <w:szCs w:val="24"/>
          <w:lang w:eastAsia="ar-SA"/>
        </w:rPr>
      </w:pPr>
      <w:r>
        <w:rPr>
          <w:rFonts w:hint="eastAsia" w:asciiTheme="minorEastAsia" w:hAnsiTheme="minorEastAsia" w:eastAsiaTheme="minorEastAsia" w:cstheme="minorEastAsia"/>
          <w:b/>
          <w:bCs/>
          <w:kern w:val="1"/>
          <w:sz w:val="24"/>
          <w:szCs w:val="24"/>
          <w:lang w:eastAsia="ar-SA"/>
        </w:rPr>
        <w:t>（2）GNSS解算软件</w:t>
      </w:r>
    </w:p>
    <w:p>
      <w:pPr>
        <w:suppressAutoHyphens/>
        <w:spacing w:line="480" w:lineRule="exact"/>
        <w:ind w:firstLine="480"/>
        <w:rPr>
          <w:rFonts w:hint="eastAsia"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lang w:eastAsia="ar-SA"/>
        </w:rPr>
        <w:t>主要功能有：支持二进制数据格式数据解算；可对静态定位进行周跳检测和修复，双差分解；数据自动入库；输出结果：高斯坐标、大地坐标、北、东、天向位移量；支持SQLServer2008及以上版本数据库写入</w:t>
      </w:r>
      <w:r>
        <w:rPr>
          <w:rFonts w:hint="eastAsia" w:asciiTheme="minorEastAsia" w:hAnsiTheme="minorEastAsia" w:eastAsiaTheme="minorEastAsia" w:cstheme="minorEastAsia"/>
          <w:kern w:val="1"/>
          <w:sz w:val="24"/>
          <w:szCs w:val="24"/>
        </w:rPr>
        <w:t>。</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数据接收处理软件能全方位满足</w:t>
      </w:r>
      <w:r>
        <w:rPr>
          <w:rFonts w:hint="eastAsia" w:asciiTheme="minorEastAsia" w:hAnsiTheme="minorEastAsia" w:eastAsiaTheme="minorEastAsia" w:cstheme="minorEastAsia"/>
          <w:sz w:val="24"/>
          <w:szCs w:val="24"/>
          <w:lang w:eastAsia="zh-CN"/>
        </w:rPr>
        <w:t>水文资料整编</w:t>
      </w:r>
      <w:r>
        <w:rPr>
          <w:rFonts w:hint="eastAsia" w:asciiTheme="minorEastAsia" w:hAnsiTheme="minorEastAsia" w:eastAsiaTheme="minorEastAsia" w:cstheme="minorEastAsia"/>
          <w:sz w:val="24"/>
          <w:szCs w:val="24"/>
        </w:rPr>
        <w:t>要求，具备数据显示、计算分析、图表展示、编制打印报表等功能，数据自动存储备份，接入水库信息化平台，并保留与上级部门数据共享的能力与格式。软件须具有可</w:t>
      </w:r>
      <w:r>
        <w:rPr>
          <w:rFonts w:hint="eastAsia" w:asciiTheme="minorEastAsia" w:hAnsiTheme="minorEastAsia" w:eastAsiaTheme="minorEastAsia" w:cstheme="minorEastAsia"/>
          <w:sz w:val="24"/>
          <w:szCs w:val="24"/>
          <w:lang w:eastAsia="zh-CN"/>
        </w:rPr>
        <w:t>重装</w:t>
      </w:r>
      <w:r>
        <w:rPr>
          <w:rFonts w:hint="eastAsia" w:asciiTheme="minorEastAsia" w:hAnsiTheme="minorEastAsia" w:eastAsiaTheme="minorEastAsia" w:cstheme="minorEastAsia"/>
          <w:sz w:val="24"/>
          <w:szCs w:val="24"/>
        </w:rPr>
        <w:t>性，电脑崩溃后能人工</w:t>
      </w:r>
      <w:r>
        <w:rPr>
          <w:rFonts w:hint="eastAsia" w:asciiTheme="minorEastAsia" w:hAnsiTheme="minorEastAsia" w:eastAsiaTheme="minorEastAsia" w:cstheme="minorEastAsia"/>
          <w:sz w:val="24"/>
          <w:szCs w:val="24"/>
          <w:lang w:eastAsia="zh-CN"/>
        </w:rPr>
        <w:t>重新安装</w:t>
      </w:r>
      <w:r>
        <w:rPr>
          <w:rFonts w:hint="eastAsia" w:asciiTheme="minorEastAsia" w:hAnsiTheme="minorEastAsia" w:eastAsiaTheme="minorEastAsia" w:cstheme="minorEastAsia"/>
          <w:sz w:val="24"/>
          <w:szCs w:val="24"/>
        </w:rPr>
        <w:t>、一键恢复备份数据等功能。</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坐标转换功能：如转换为坝体坐标；</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图形化显示：实时显示各监测点变化过程线、卫星分布图、残差图等；</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工作日志：实时显示卫星星历、基线解算状态、报警信息及原始数据存储情况等；</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原始数据存储：可任意设置GNSS原始数据的存储时段、文件格式及存储方式等；</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第三方接口：可通过TCP/IP协议、文件或者数据库的方式实时获取监测成果；</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报警服务：对数据通讯异常、数据解算异常、位移变化异常等进行实时报警提醒。</w:t>
      </w:r>
    </w:p>
    <w:bookmarkEnd w:id="48"/>
    <w:p>
      <w:pPr>
        <w:spacing w:line="360" w:lineRule="auto"/>
        <w:ind w:left="-2" w:leftChars="-1" w:firstLine="1"/>
        <w:jc w:val="center"/>
        <w:outlineLvl w:val="2"/>
        <w:rPr>
          <w:rFonts w:hint="eastAsia" w:asciiTheme="minorEastAsia" w:hAnsiTheme="minorEastAsia" w:eastAsiaTheme="minorEastAsia" w:cstheme="minorEastAsia"/>
          <w:b/>
          <w:bCs/>
          <w:kern w:val="44"/>
          <w:sz w:val="24"/>
          <w:szCs w:val="24"/>
        </w:rPr>
      </w:pPr>
    </w:p>
    <w:p>
      <w:pPr>
        <w:spacing w:line="360" w:lineRule="auto"/>
        <w:ind w:left="-2" w:leftChars="-1" w:firstLine="1"/>
        <w:jc w:val="both"/>
        <w:outlineLvl w:val="2"/>
        <w:rPr>
          <w:rFonts w:hint="eastAsia" w:asciiTheme="minorEastAsia" w:hAnsiTheme="minorEastAsia" w:eastAsiaTheme="minorEastAsia" w:cstheme="minorEastAsia"/>
          <w:b/>
          <w:bCs/>
          <w:kern w:val="44"/>
          <w:sz w:val="24"/>
          <w:szCs w:val="24"/>
        </w:rPr>
      </w:pPr>
      <w:r>
        <w:rPr>
          <w:rFonts w:hint="eastAsia" w:asciiTheme="minorEastAsia" w:hAnsiTheme="minorEastAsia" w:eastAsiaTheme="minorEastAsia" w:cstheme="minorEastAsia"/>
          <w:b/>
          <w:bCs/>
          <w:kern w:val="44"/>
          <w:sz w:val="24"/>
          <w:szCs w:val="24"/>
        </w:rPr>
        <w:t>技术条款：</w:t>
      </w:r>
    </w:p>
    <w:p>
      <w:pPr>
        <w:suppressAutoHyphens/>
        <w:spacing w:line="480" w:lineRule="exact"/>
        <w:ind w:firstLine="48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1．本技术条款适用于鸭河口水库标准化管理综合信息化平台</w:t>
      </w:r>
      <w:r>
        <w:rPr>
          <w:rFonts w:hint="eastAsia" w:asciiTheme="minorEastAsia" w:hAnsiTheme="minorEastAsia" w:eastAsiaTheme="minorEastAsia" w:cstheme="minorEastAsia"/>
          <w:kern w:val="1"/>
          <w:sz w:val="24"/>
          <w:szCs w:val="24"/>
        </w:rPr>
        <w:t>建设项目</w:t>
      </w:r>
      <w:r>
        <w:rPr>
          <w:rFonts w:hint="eastAsia" w:asciiTheme="minorEastAsia" w:hAnsiTheme="minorEastAsia" w:eastAsiaTheme="minorEastAsia" w:cstheme="minorEastAsia"/>
          <w:kern w:val="1"/>
          <w:sz w:val="24"/>
          <w:szCs w:val="24"/>
          <w:lang w:eastAsia="ar-SA"/>
        </w:rPr>
        <w:t>。它包括各个系统的功能、结构、配置、性能、软件开发、安装和调试等方面的技术要求。</w:t>
      </w:r>
    </w:p>
    <w:p>
      <w:pPr>
        <w:suppressAutoHyphens/>
        <w:spacing w:line="480" w:lineRule="exact"/>
        <w:ind w:firstLine="48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2．承包人提供的整个系统（包括各功能模块部分）必须是全新的、完整的、成套的，系统安装、调试、施工等均由承包人承担。对于属于组成系统运行、施工所必需的部件或材料在本文件未列出或数目不足，</w:t>
      </w:r>
      <w:r>
        <w:rPr>
          <w:rFonts w:hint="eastAsia" w:asciiTheme="minorEastAsia" w:hAnsiTheme="minorEastAsia" w:eastAsiaTheme="minorEastAsia" w:cstheme="minorEastAsia"/>
          <w:kern w:val="1"/>
          <w:sz w:val="24"/>
          <w:szCs w:val="24"/>
          <w:lang w:eastAsia="zh-CN"/>
        </w:rPr>
        <w:t>响应</w:t>
      </w:r>
      <w:r>
        <w:rPr>
          <w:rFonts w:hint="eastAsia" w:asciiTheme="minorEastAsia" w:hAnsiTheme="minorEastAsia" w:eastAsiaTheme="minorEastAsia" w:cstheme="minorEastAsia"/>
          <w:kern w:val="1"/>
          <w:sz w:val="24"/>
          <w:szCs w:val="24"/>
          <w:lang w:eastAsia="ar-SA"/>
        </w:rPr>
        <w:t>方须在</w:t>
      </w:r>
      <w:r>
        <w:rPr>
          <w:rFonts w:hint="eastAsia" w:asciiTheme="minorEastAsia" w:hAnsiTheme="minorEastAsia" w:eastAsiaTheme="minorEastAsia" w:cstheme="minorEastAsia"/>
          <w:kern w:val="1"/>
          <w:sz w:val="24"/>
          <w:szCs w:val="24"/>
          <w:lang w:eastAsia="zh-CN"/>
        </w:rPr>
        <w:t>响应</w:t>
      </w:r>
      <w:r>
        <w:rPr>
          <w:rFonts w:hint="eastAsia" w:asciiTheme="minorEastAsia" w:hAnsiTheme="minorEastAsia" w:eastAsiaTheme="minorEastAsia" w:cstheme="minorEastAsia"/>
          <w:kern w:val="1"/>
          <w:sz w:val="24"/>
          <w:szCs w:val="24"/>
          <w:lang w:eastAsia="ar-SA"/>
        </w:rPr>
        <w:t>文件中补充，所产生的费用包含在</w:t>
      </w:r>
      <w:r>
        <w:rPr>
          <w:rFonts w:hint="eastAsia" w:asciiTheme="minorEastAsia" w:hAnsiTheme="minorEastAsia" w:eastAsiaTheme="minorEastAsia" w:cstheme="minorEastAsia"/>
          <w:kern w:val="1"/>
          <w:sz w:val="24"/>
          <w:szCs w:val="24"/>
          <w:lang w:eastAsia="zh-CN"/>
        </w:rPr>
        <w:t>响应</w:t>
      </w:r>
      <w:r>
        <w:rPr>
          <w:rFonts w:hint="eastAsia" w:asciiTheme="minorEastAsia" w:hAnsiTheme="minorEastAsia" w:eastAsiaTheme="minorEastAsia" w:cstheme="minorEastAsia"/>
          <w:kern w:val="1"/>
          <w:sz w:val="24"/>
          <w:szCs w:val="24"/>
          <w:lang w:eastAsia="ar-SA"/>
        </w:rPr>
        <w:t>报价中。</w:t>
      </w:r>
    </w:p>
    <w:p>
      <w:pPr>
        <w:suppressAutoHyphens/>
        <w:spacing w:line="480" w:lineRule="exact"/>
        <w:ind w:firstLine="48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3．承包人提供的系统在技术上应是先进的、操作方便、质量可靠的产品，不允许提供试验或试制产品。</w:t>
      </w:r>
    </w:p>
    <w:p>
      <w:pPr>
        <w:suppressAutoHyphens/>
        <w:spacing w:line="480" w:lineRule="exact"/>
        <w:ind w:firstLine="48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4．本技术条款所使用的标准如遇与承包人所执行的标准不一致时，按较高标准执行。</w:t>
      </w:r>
    </w:p>
    <w:p>
      <w:pPr>
        <w:suppressAutoHyphens/>
        <w:spacing w:line="480" w:lineRule="exact"/>
        <w:ind w:firstLine="48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5．</w:t>
      </w:r>
      <w:r>
        <w:rPr>
          <w:rFonts w:hint="eastAsia" w:asciiTheme="minorEastAsia" w:hAnsiTheme="minorEastAsia" w:eastAsiaTheme="minorEastAsia" w:cstheme="minorEastAsia"/>
          <w:kern w:val="1"/>
          <w:sz w:val="24"/>
          <w:szCs w:val="24"/>
          <w:lang w:eastAsia="zh-CN"/>
        </w:rPr>
        <w:t>供应商</w:t>
      </w:r>
      <w:r>
        <w:rPr>
          <w:rFonts w:hint="eastAsia" w:asciiTheme="minorEastAsia" w:hAnsiTheme="minorEastAsia" w:eastAsiaTheme="minorEastAsia" w:cstheme="minorEastAsia"/>
          <w:kern w:val="1"/>
          <w:sz w:val="24"/>
          <w:szCs w:val="24"/>
          <w:lang w:eastAsia="ar-SA"/>
        </w:rPr>
        <w:t>提供的设备必须符合技术条款和标准要求，若存在偏差必须在</w:t>
      </w:r>
      <w:r>
        <w:rPr>
          <w:rFonts w:hint="eastAsia" w:asciiTheme="minorEastAsia" w:hAnsiTheme="minorEastAsia" w:eastAsiaTheme="minorEastAsia" w:cstheme="minorEastAsia"/>
          <w:kern w:val="1"/>
          <w:sz w:val="24"/>
          <w:szCs w:val="24"/>
          <w:lang w:eastAsia="zh-CN"/>
        </w:rPr>
        <w:t>响应</w:t>
      </w:r>
      <w:r>
        <w:rPr>
          <w:rFonts w:hint="eastAsia" w:asciiTheme="minorEastAsia" w:hAnsiTheme="minorEastAsia" w:eastAsiaTheme="minorEastAsia" w:cstheme="minorEastAsia"/>
          <w:kern w:val="1"/>
          <w:sz w:val="24"/>
          <w:szCs w:val="24"/>
          <w:lang w:eastAsia="ar-SA"/>
        </w:rPr>
        <w:t>文件中表述清楚。</w:t>
      </w:r>
    </w:p>
    <w:p>
      <w:pPr>
        <w:suppressAutoHyphens/>
        <w:spacing w:line="480" w:lineRule="exact"/>
        <w:ind w:firstLine="48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6.</w:t>
      </w:r>
      <w:r>
        <w:rPr>
          <w:rFonts w:hint="eastAsia" w:asciiTheme="minorEastAsia" w:hAnsiTheme="minorEastAsia" w:eastAsiaTheme="minorEastAsia" w:cstheme="minorEastAsia"/>
          <w:kern w:val="1"/>
          <w:sz w:val="24"/>
          <w:szCs w:val="24"/>
          <w:lang w:eastAsia="zh-CN"/>
        </w:rPr>
        <w:t>响应</w:t>
      </w:r>
      <w:r>
        <w:rPr>
          <w:rFonts w:hint="eastAsia" w:asciiTheme="minorEastAsia" w:hAnsiTheme="minorEastAsia" w:eastAsiaTheme="minorEastAsia" w:cstheme="minorEastAsia"/>
          <w:kern w:val="1"/>
          <w:sz w:val="24"/>
          <w:szCs w:val="24"/>
          <w:lang w:eastAsia="ar-SA"/>
        </w:rPr>
        <w:t>方须确认在合同生效期间和质量保证期内为本项目工程提供的所有服务完全响应本</w:t>
      </w:r>
      <w:r>
        <w:rPr>
          <w:rFonts w:hint="eastAsia" w:asciiTheme="minorEastAsia" w:hAnsiTheme="minorEastAsia" w:eastAsiaTheme="minorEastAsia" w:cstheme="minorEastAsia"/>
          <w:kern w:val="1"/>
          <w:sz w:val="24"/>
          <w:szCs w:val="24"/>
          <w:lang w:eastAsia="zh-CN"/>
        </w:rPr>
        <w:t>竞争性磋商文件</w:t>
      </w:r>
      <w:r>
        <w:rPr>
          <w:rFonts w:hint="eastAsia" w:asciiTheme="minorEastAsia" w:hAnsiTheme="minorEastAsia" w:eastAsiaTheme="minorEastAsia" w:cstheme="minorEastAsia"/>
          <w:kern w:val="1"/>
          <w:sz w:val="24"/>
          <w:szCs w:val="24"/>
          <w:lang w:eastAsia="ar-SA"/>
        </w:rPr>
        <w:t>技术要求。</w:t>
      </w:r>
    </w:p>
    <w:p>
      <w:pPr>
        <w:suppressAutoHyphens/>
        <w:spacing w:line="480" w:lineRule="exact"/>
        <w:ind w:firstLine="480"/>
        <w:rPr>
          <w:rFonts w:hint="eastAsia" w:asciiTheme="minorEastAsia" w:hAnsiTheme="minorEastAsia" w:eastAsiaTheme="minorEastAsia" w:cstheme="minorEastAsia"/>
          <w:kern w:val="1"/>
          <w:sz w:val="24"/>
          <w:szCs w:val="24"/>
          <w:lang w:eastAsia="ar-SA"/>
        </w:rPr>
      </w:pPr>
      <w:r>
        <w:rPr>
          <w:rFonts w:hint="eastAsia" w:asciiTheme="minorEastAsia" w:hAnsiTheme="minorEastAsia" w:eastAsiaTheme="minorEastAsia" w:cstheme="minorEastAsia"/>
          <w:kern w:val="1"/>
          <w:sz w:val="24"/>
          <w:szCs w:val="24"/>
          <w:lang w:eastAsia="ar-SA"/>
        </w:rPr>
        <w:t>7．本条款提出的是最低限度的技术要求，并未对一些技术细节做出规定，也未充分引述有关标准和规范的条文，承包人应提供符合国家标准、规范的优质产品，并按有关施工技术规范进行施工。</w:t>
      </w:r>
    </w:p>
    <w:p>
      <w:pPr>
        <w:keepLines/>
        <w:spacing w:line="360" w:lineRule="auto"/>
        <w:outlineLvl w:val="1"/>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w:t>
      </w:r>
      <w:r>
        <w:rPr>
          <w:rFonts w:hint="eastAsia" w:asciiTheme="minorEastAsia" w:hAnsiTheme="minorEastAsia" w:eastAsiaTheme="minorEastAsia" w:cstheme="minorEastAsia"/>
          <w:b/>
          <w:sz w:val="24"/>
          <w:szCs w:val="24"/>
          <w:lang w:val="en-US" w:eastAsia="zh-CN"/>
        </w:rPr>
        <w:t>项目清单</w:t>
      </w:r>
    </w:p>
    <w:tbl>
      <w:tblPr>
        <w:tblStyle w:val="1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8"/>
        <w:gridCol w:w="2639"/>
        <w:gridCol w:w="4279"/>
        <w:gridCol w:w="747"/>
        <w:gridCol w:w="8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41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14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规格</w:t>
            </w:r>
          </w:p>
        </w:tc>
        <w:tc>
          <w:tcPr>
            <w:tcW w:w="40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45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一、水库标准化管理综合信息化平台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1.数据资源建设-定制开发功能模块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142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静态数据管理模块数据库开发建设</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空间地理信息</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管理单位信息</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人员岗位信息</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水利工程属性信息</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管理制度</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资料档案</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预案方案</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142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动态数据管理模块数据库开发建设</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巡查信息</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工程检查信息</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维护养护信息</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水利工程属性信息</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人员工作台账</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工程运行台账</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系统日志</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数据中台服务开发建设</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建设数据中台服务，可支持现有数据收集、处理、转发功能，预留对外数据接口，支持后期升级迭代</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2.标准化数字管理平台（PC端）-定制开发功能模块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数据大屏</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依托数据底板建设基础，结合 GIS 地图，根据水利工程标准化管理不同的管理需求维度，实现工程信息数字化、可视化展示。</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142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工程状况功能模块</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工程面貌与环境</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挡水建筑物</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泄水建筑物</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输（引）水建筑物</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金属结构与机电设备</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管理设施</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标识标牌</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142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安全管理功能模块</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注册登记</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责任制</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工程划界</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保护管理</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安全鉴定</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防汛组织</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防汛物料</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应急预案</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安全生产</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142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运行管护功能模块</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雨水情测报</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工程巡查</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安全监测</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维修养护</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调度运用</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工程效益</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视频监控</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142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管理保障功能模块</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管理体制</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标准化工作手册</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规章制度</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经费保障</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精神文明</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档案管理</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管理自评</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142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信息化建设功能模块</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信息化平台建设</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自动化监测预警</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网络安全管理</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3.标准化数字管理平台（移动APP）-定制开发功能模块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142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标准化数字管理平台（移动APP）</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基础信息查询</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实时监测预警</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工程巡查管理</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调度运行管理</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安全隐患管理</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维修养护管理</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4.已建系统数据融合-定制开发功能模块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142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已建系统数据融合</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雨水情数据接入（数据库解析）</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大坝渗压监测数据接入（数据库解析）</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渗流量数据接入（OPC接入）</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center"/>
              <w:rPr>
                <w:rFonts w:hint="eastAsia" w:asciiTheme="minorEastAsia" w:hAnsiTheme="minorEastAsia" w:eastAsiaTheme="minorEastAsia" w:cstheme="minorEastAsia"/>
                <w:i w:val="0"/>
                <w:iCs w:val="0"/>
                <w:color w:val="000000"/>
                <w:sz w:val="24"/>
                <w:szCs w:val="24"/>
                <w:u w:val="none"/>
              </w:rPr>
            </w:pPr>
          </w:p>
        </w:tc>
        <w:tc>
          <w:tcPr>
            <w:tcW w:w="142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val="0"/>
              <w:snapToGrid w:val="0"/>
              <w:jc w:val="both"/>
              <w:rPr>
                <w:rFonts w:hint="eastAsia" w:asciiTheme="minorEastAsia" w:hAnsiTheme="minorEastAsia" w:eastAsiaTheme="minorEastAsia" w:cstheme="minorEastAsia"/>
                <w:i w:val="0"/>
                <w:iCs w:val="0"/>
                <w:color w:val="000000"/>
                <w:sz w:val="24"/>
                <w:szCs w:val="24"/>
                <w:u w:val="none"/>
              </w:rPr>
            </w:pP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视频监控系统接入（接口调用）</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人月</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服务器</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Intel Xeon 4310(12C,120W,2.1GHz)*1，32G RDIMM DDR4 内存*1，8TB SATA（企业级）*2，550W白金电源*1，集成2千兆网口，导轨*1</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KVM切换器</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8进2出VGA KVM切换器</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移动工作站</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16英寸，i9-13900H 32G 1T 2.5K高刷屏</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后备电源</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1KVA，后备1H</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二、大坝渗压监测设备(对现场10处渗压监测点进行改造，太阳能供电、无线传输)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跟踪式智能渗压遥测仪</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采用跟踪式原理，含水面智能感知传感设备、智能测控单元、免维护铅酸电池、太阳能供电系统、网络传输模块等设备；测量精度1mm，全量程测量误差不大于1cm，变幅0-20米（量程可扩展）；支持3G/4G/LoRa/RS485/以太网/北斗等通讯方式，自校准、放拆防破坏智能报警等功能。</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数据卡</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数据流量费（含1年费用）</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井口处理</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包括井口处理、改造措施等</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处</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设备安装调试费用</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包括设备安装、调试费用，线缆辅材等费用</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三、大坝位移沉降变形监测系统（建设1处基准点，部署10处监测点，太阳能供电，无线传输）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GNSS解算软件</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GNSS数据接收、处理、解算分析等</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GNSS接收一体机</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水平精度2mm+0.3ppm，垂直精度2.5mm+0.3ppm，可靠性&gt;99.9%，含天线及保护罩</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套</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太阳能供电系统</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150W单晶硅太阳能供电系统，功率按需配置、充电控制器等</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块</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蓄电池</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150AH铅酸蓄电池</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蓄电池地埋箱</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蓄电池地埋箱，定制</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只</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不锈钢立桶及设施</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定制不锈钢设备箱，含接线端子、电源、避雷、低压电器，等</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台</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数据卡</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每月300M,含一年费用</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张</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安装基础</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包括立杆安装基础处理、基础预制等措施</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处</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14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设备安装调试费用</w:t>
            </w:r>
          </w:p>
        </w:tc>
        <w:tc>
          <w:tcPr>
            <w:tcW w:w="23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包括设备安装、调试费用，线缆辅材等费用</w:t>
            </w:r>
          </w:p>
        </w:tc>
        <w:tc>
          <w:tcPr>
            <w:tcW w:w="4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w:t>
            </w:r>
          </w:p>
        </w:tc>
        <w:tc>
          <w:tcPr>
            <w:tcW w:w="45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r>
    </w:tbl>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420" w:firstLineChars="200"/>
        <w:textAlignment w:val="baseline"/>
        <w:outlineLvl w:val="9"/>
        <w:rPr>
          <w:rFonts w:hint="eastAsia"/>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outlineLvl w:val="2"/>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napToGrid w:val="0"/>
          <w:color w:val="000000"/>
          <w:spacing w:val="1"/>
          <w:kern w:val="0"/>
          <w:sz w:val="24"/>
          <w:szCs w:val="24"/>
          <w:lang w:val="en-US" w:eastAsia="zh-CN" w:bidi="ar-SA"/>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napToGrid w:val="0"/>
          <w:color w:val="000000"/>
          <w:spacing w:val="1"/>
          <w:kern w:val="0"/>
          <w:sz w:val="24"/>
          <w:szCs w:val="24"/>
          <w:lang w:val="en-US" w:eastAsia="en-US" w:bidi="ar-SA"/>
          <w14:textOutline w14:w="1537" w14:cap="flat" w14:cmpd="sng">
            <w14:solidFill>
              <w14:srgbClr w14:val="000000"/>
            </w14:solidFill>
            <w14:prstDash w14:val="solid"/>
            <w14:miter w14:val="0"/>
          </w14:textOutline>
        </w:rPr>
        <w:t>商务要求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1.</w:t>
      </w:r>
      <w:r>
        <w:rPr>
          <w:rFonts w:hint="eastAsia" w:asciiTheme="minorEastAsia" w:hAnsiTheme="minorEastAsia" w:eastAsiaTheme="minorEastAsia" w:cstheme="minorEastAsia"/>
          <w:snapToGrid w:val="0"/>
          <w:color w:val="000000"/>
          <w:spacing w:val="-1"/>
          <w:kern w:val="0"/>
          <w:sz w:val="24"/>
          <w:szCs w:val="24"/>
          <w:lang w:val="en-US" w:eastAsia="zh-CN" w:bidi="ar-SA"/>
        </w:rPr>
        <w:t>服务</w:t>
      </w:r>
      <w:r>
        <w:rPr>
          <w:rFonts w:hint="eastAsia" w:asciiTheme="minorEastAsia" w:hAnsiTheme="minorEastAsia" w:eastAsiaTheme="minorEastAsia" w:cstheme="minorEastAsia"/>
          <w:snapToGrid w:val="0"/>
          <w:color w:val="000000"/>
          <w:spacing w:val="-1"/>
          <w:kern w:val="0"/>
          <w:sz w:val="24"/>
          <w:szCs w:val="24"/>
          <w:lang w:val="en-US" w:eastAsia="en-US" w:bidi="ar-SA"/>
        </w:rPr>
        <w:t>期限</w:t>
      </w:r>
      <w:r>
        <w:rPr>
          <w:rFonts w:hint="eastAsia" w:asciiTheme="minorEastAsia" w:hAnsiTheme="minorEastAsia" w:eastAsiaTheme="minorEastAsia" w:cstheme="minorEastAsia"/>
          <w:snapToGrid w:val="0"/>
          <w:color w:val="000000"/>
          <w:spacing w:val="-1"/>
          <w:kern w:val="0"/>
          <w:sz w:val="24"/>
          <w:szCs w:val="24"/>
          <w:lang w:val="en-US" w:eastAsia="zh-CN" w:bidi="ar-SA"/>
        </w:rPr>
        <w:t>：</w:t>
      </w:r>
      <w:r>
        <w:rPr>
          <w:rFonts w:hint="eastAsia" w:asciiTheme="minorEastAsia" w:hAnsiTheme="minorEastAsia" w:eastAsiaTheme="minorEastAsia" w:cstheme="minorEastAsia"/>
          <w:snapToGrid w:val="0"/>
          <w:color w:val="000000"/>
          <w:kern w:val="0"/>
          <w:sz w:val="24"/>
          <w:szCs w:val="24"/>
          <w:shd w:val="clear" w:color="auto" w:fill="FFFFFF"/>
          <w:lang w:val="en-US" w:eastAsia="en-US" w:bidi="ar"/>
        </w:rPr>
        <w:t>合同签订后 30 日历天内供货安装调试完毕</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714" w:firstLineChars="300"/>
        <w:jc w:val="left"/>
        <w:textAlignment w:val="baseline"/>
        <w:outlineLvl w:val="9"/>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服务地点</w:t>
      </w:r>
      <w:r>
        <w:rPr>
          <w:rFonts w:hint="eastAsia" w:asciiTheme="minorEastAsia" w:hAnsiTheme="minorEastAsia" w:eastAsiaTheme="minorEastAsia" w:cstheme="minorEastAsia"/>
          <w:snapToGrid w:val="0"/>
          <w:color w:val="000000"/>
          <w:spacing w:val="-2"/>
          <w:kern w:val="0"/>
          <w:sz w:val="24"/>
          <w:szCs w:val="24"/>
          <w:lang w:val="en-US" w:eastAsia="zh-CN" w:bidi="ar-SA"/>
        </w:rPr>
        <w:t>：采购人指定地点</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2.付款方式:</w:t>
      </w:r>
      <w:r>
        <w:rPr>
          <w:rFonts w:hint="eastAsia" w:asciiTheme="minorEastAsia" w:hAnsiTheme="minorEastAsia" w:eastAsiaTheme="minorEastAsia" w:cstheme="minorEastAsia"/>
          <w:color w:val="auto"/>
          <w:spacing w:val="-2"/>
          <w:sz w:val="24"/>
          <w:szCs w:val="24"/>
          <w:lang w:val="en-US" w:eastAsia="zh-CN"/>
        </w:rPr>
        <w:t>甲方验收合同约定的货物(系统设施)合格，按照南阳市鸭河口水库运行保障中心要求，由乙方提供形式发票或完整的发票等，甲方在验收合格且具备付款条件之日起5个工作日内向乙方支付合同价的100%。</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48" w:firstLineChars="200"/>
        <w:jc w:val="left"/>
        <w:textAlignment w:val="baseline"/>
        <w:outlineLvl w:val="9"/>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napToGrid w:val="0"/>
          <w:color w:val="000000"/>
          <w:spacing w:val="-8"/>
          <w:kern w:val="0"/>
          <w:sz w:val="24"/>
          <w:szCs w:val="24"/>
          <w:lang w:val="en-US" w:eastAsia="en-US" w:bidi="ar-SA"/>
        </w:rPr>
        <w:t>质保期</w:t>
      </w:r>
      <w:r>
        <w:rPr>
          <w:rFonts w:hint="eastAsia" w:asciiTheme="minorEastAsia" w:hAnsiTheme="minorEastAsia" w:eastAsiaTheme="minorEastAsia" w:cstheme="minorEastAsia"/>
          <w:snapToGrid w:val="0"/>
          <w:color w:val="000000"/>
          <w:spacing w:val="-3"/>
          <w:kern w:val="0"/>
          <w:sz w:val="24"/>
          <w:szCs w:val="24"/>
          <w:lang w:val="en-US" w:eastAsia="zh-CN" w:bidi="ar-SA"/>
        </w:rPr>
        <w:t>：一年</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1"/>
          <w:kern w:val="0"/>
          <w:sz w:val="24"/>
          <w:szCs w:val="24"/>
          <w:lang w:val="en-US" w:eastAsia="zh-CN" w:bidi="ar-SA"/>
        </w:rPr>
        <w:t>4</w:t>
      </w:r>
      <w:r>
        <w:rPr>
          <w:rFonts w:hint="eastAsia" w:asciiTheme="minorEastAsia" w:hAnsiTheme="minorEastAsia" w:eastAsiaTheme="minorEastAsia" w:cstheme="minorEastAsia"/>
          <w:snapToGrid w:val="0"/>
          <w:color w:val="000000"/>
          <w:spacing w:val="-1"/>
          <w:kern w:val="0"/>
          <w:sz w:val="24"/>
          <w:szCs w:val="24"/>
          <w:lang w:val="en-US" w:eastAsia="en-US" w:bidi="ar-SA"/>
        </w:rPr>
        <w:t>.质量标准</w:t>
      </w:r>
      <w:r>
        <w:rPr>
          <w:rFonts w:hint="eastAsia" w:asciiTheme="minorEastAsia" w:hAnsiTheme="minorEastAsia" w:eastAsiaTheme="minorEastAsia" w:cstheme="minorEastAsia"/>
          <w:snapToGrid w:val="0"/>
          <w:color w:val="000000"/>
          <w:spacing w:val="-1"/>
          <w:kern w:val="0"/>
          <w:sz w:val="24"/>
          <w:szCs w:val="24"/>
          <w:lang w:val="en-US" w:eastAsia="zh-CN" w:bidi="ar-SA"/>
        </w:rPr>
        <w:t>：</w:t>
      </w:r>
      <w:r>
        <w:rPr>
          <w:rFonts w:hint="eastAsia" w:asciiTheme="minorEastAsia" w:hAnsiTheme="minorEastAsia" w:eastAsiaTheme="minorEastAsia" w:cstheme="minorEastAsia"/>
          <w:snapToGrid w:val="0"/>
          <w:color w:val="000000"/>
          <w:spacing w:val="-1"/>
          <w:kern w:val="0"/>
          <w:sz w:val="24"/>
          <w:szCs w:val="24"/>
          <w:lang w:val="en-US" w:eastAsia="en-US" w:bidi="ar-SA"/>
        </w:rPr>
        <w:t>符合国家现行验收规范合格标准</w:t>
      </w:r>
      <w:r>
        <w:rPr>
          <w:rFonts w:hint="eastAsia" w:asciiTheme="minorEastAsia" w:hAnsiTheme="minorEastAsia" w:eastAsiaTheme="minorEastAsia" w:cstheme="minorEastAsia"/>
          <w:snapToGrid w:val="0"/>
          <w:color w:val="000000"/>
          <w:kern w:val="0"/>
          <w:sz w:val="24"/>
          <w:szCs w:val="24"/>
          <w:lang w:val="en-US" w:eastAsia="zh-CN" w:bidi="ar-SA"/>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   供应商须知</w:t>
      </w:r>
    </w:p>
    <w:p>
      <w:pPr>
        <w:pStyle w:val="4"/>
        <w:spacing w:line="220" w:lineRule="auto"/>
        <w:ind w:left="3861"/>
        <w:rPr>
          <w:spacing w:val="-1"/>
          <w:sz w:val="28"/>
          <w:szCs w:val="28"/>
          <w14:textOutline w14:w="1800" w14:cap="flat" w14:cmpd="sng">
            <w14:solidFill>
              <w14:srgbClr w14:val="000000"/>
            </w14:solidFill>
            <w14:prstDash w14:val="solid"/>
            <w14:miter w14:val="0"/>
          </w14:textOutline>
        </w:rPr>
      </w:pPr>
    </w:p>
    <w:p>
      <w:pPr>
        <w:pStyle w:val="4"/>
        <w:spacing w:line="220" w:lineRule="auto"/>
        <w:ind w:left="3861"/>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tbl>
      <w:tblPr>
        <w:tblStyle w:val="1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pPr>
              <w:spacing w:line="240" w:lineRule="atLeast"/>
              <w:ind w:left="1080" w:leftChars="257" w:hanging="54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before="78" w:line="221"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14"/>
              <w:spacing w:line="220"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pPr>
              <w:pStyle w:val="14"/>
              <w:spacing w:before="25" w:line="207" w:lineRule="auto"/>
              <w:ind w:left="126" w:leftChars="0"/>
              <w:jc w:val="center"/>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pPr>
              <w:pStyle w:val="14"/>
              <w:spacing w:before="25" w:line="207" w:lineRule="auto"/>
              <w:ind w:left="126" w:leftChars="0"/>
              <w:jc w:val="center"/>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val="en-US" w:eastAsia="zh-CN"/>
              </w:rPr>
              <w:t>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before="78" w:line="219" w:lineRule="auto"/>
              <w:ind w:left="134"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pPr>
              <w:spacing w:before="37" w:line="238" w:lineRule="auto"/>
              <w:ind w:left="11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pPr>
              <w:pStyle w:val="14"/>
              <w:spacing w:line="223"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14"/>
              <w:spacing w:before="21" w:line="207" w:lineRule="auto"/>
              <w:ind w:left="126" w:lef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2"/>
                <w:sz w:val="24"/>
                <w:szCs w:val="24"/>
              </w:rPr>
              <w:t>__年_月_</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2"/>
                <w:sz w:val="24"/>
                <w:szCs w:val="24"/>
              </w:rPr>
              <w:t>日_点_分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2"/>
                <w:sz w:val="24"/>
                <w:szCs w:val="24"/>
              </w:rPr>
              <w:t>__年_月_</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2"/>
                <w:sz w:val="24"/>
                <w:szCs w:val="24"/>
              </w:rPr>
              <w:t>日_点_分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6"/>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软件和信息技术服务业</w:t>
            </w:r>
            <w:r>
              <w:rPr>
                <w:rFonts w:hint="eastAsia" w:asciiTheme="minorEastAsia" w:hAnsiTheme="minorEastAsia" w:eastAsiaTheme="minorEastAsia" w:cstheme="minorEastAsia"/>
                <w:snapToGrid w:val="0"/>
                <w:color w:val="000000"/>
                <w:spacing w:val="14"/>
                <w:kern w:val="0"/>
                <w:sz w:val="24"/>
                <w:szCs w:val="24"/>
                <w:lang w:val="en-US" w:eastAsia="zh-CN" w:bidi="ar-SA"/>
              </w:rPr>
              <w:t>；</w:t>
            </w:r>
          </w:p>
          <w:p>
            <w:pPr>
              <w:pStyle w:val="14"/>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本项目专门面向中小企业采购。</w:t>
            </w:r>
          </w:p>
          <w:p>
            <w:pPr>
              <w:keepNext w:val="0"/>
              <w:keepLines w:val="0"/>
              <w:pageBreakBefore w:val="0"/>
              <w:widowControl/>
              <w:kinsoku/>
              <w:wordWrap/>
              <w:overflowPunct/>
              <w:topLinePunct w:val="0"/>
              <w:autoSpaceDE/>
              <w:autoSpaceDN/>
              <w:bidi w:val="0"/>
              <w:adjustRightInd/>
              <w:snapToGrid/>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val="en-US" w:eastAsia="zh-CN"/>
              </w:rPr>
              <w:t>本项目小微企业</w:t>
            </w:r>
            <w:r>
              <w:rPr>
                <w:rFonts w:hint="eastAsia" w:asciiTheme="minorEastAsia" w:hAnsiTheme="minorEastAsia" w:eastAsiaTheme="minorEastAsia" w:cstheme="minorEastAsia"/>
                <w:snapToGrid w:val="0"/>
                <w:color w:val="000000"/>
                <w:spacing w:val="29"/>
                <w:kern w:val="0"/>
                <w:sz w:val="24"/>
                <w:szCs w:val="24"/>
                <w:lang w:val="en-US" w:eastAsia="zh-CN" w:bidi="ar-SA"/>
              </w:rPr>
              <w:t>价格折扣比例10%。</w:t>
            </w:r>
          </w:p>
          <w:p>
            <w:pPr>
              <w:keepNext w:val="0"/>
              <w:keepLines w:val="0"/>
              <w:pageBreakBefore w:val="0"/>
              <w:widowControl/>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2、成交供应商享受《政府采购促进中小企业发展管理办法》规定的中小企业扶持政策的，采购人、采购代理机构将随中标结果公开成交供应商的《中小企业声明函》。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14"/>
              <w:spacing w:line="269" w:lineRule="auto"/>
              <w:rPr>
                <w:rFonts w:hint="eastAsia" w:asciiTheme="minorEastAsia" w:hAnsiTheme="minorEastAsia" w:eastAsiaTheme="minorEastAsia" w:cstheme="minorEastAsia"/>
              </w:rPr>
            </w:pPr>
          </w:p>
          <w:p>
            <w:pPr>
              <w:spacing w:before="78" w:line="219" w:lineRule="auto"/>
              <w:ind w:left="377"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pPr>
              <w:spacing w:before="40"/>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报价的特殊规定：</w:t>
            </w:r>
          </w:p>
          <w:p>
            <w:pPr>
              <w:pStyle w:val="14"/>
              <w:spacing w:before="1" w:line="220"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pPr>
              <w:pStyle w:val="14"/>
              <w:spacing w:before="23" w:line="189"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3"/>
                <w:sz w:val="24"/>
                <w:szCs w:val="24"/>
              </w:rPr>
              <w:t>。</w:t>
            </w:r>
          </w:p>
          <w:p>
            <w:pPr>
              <w:pStyle w:val="14"/>
              <w:spacing w:line="19" w:lineRule="exact"/>
              <w:ind w:left="2008"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u w:val="single" w:color="auto"/>
                <w:lang w:val="en-US" w:eastAsia="zh-CN"/>
              </w:rPr>
              <w:t>85.951407</w:t>
            </w:r>
            <w:r>
              <w:rPr>
                <w:rFonts w:hint="eastAsia" w:asciiTheme="minorEastAsia" w:hAnsiTheme="minorEastAsia" w:eastAsiaTheme="minorEastAsia" w:cstheme="minorEastAsia"/>
                <w:b w:val="0"/>
                <w:bCs/>
                <w:color w:val="FF0000"/>
                <w:sz w:val="24"/>
                <w:szCs w:val="24"/>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color w:val="FF0000"/>
                <w:sz w:val="24"/>
                <w:szCs w:val="24"/>
                <w:u w:val="single" w:color="auto"/>
              </w:rPr>
              <w:t xml:space="preserve">  </w:t>
            </w:r>
            <w:r>
              <w:rPr>
                <w:rFonts w:hint="eastAsia" w:asciiTheme="minorEastAsia" w:hAnsiTheme="minorEastAsia" w:eastAsiaTheme="minorEastAsia" w:cstheme="minorEastAsia"/>
                <w:color w:val="FF0000"/>
                <w:sz w:val="24"/>
                <w:szCs w:val="24"/>
                <w:u w:val="single" w:color="auto"/>
                <w:lang w:val="en-US" w:eastAsia="zh-CN"/>
              </w:rPr>
              <w:t>2024</w:t>
            </w:r>
            <w:r>
              <w:rPr>
                <w:rFonts w:hint="eastAsia" w:asciiTheme="minorEastAsia" w:hAnsiTheme="minorEastAsia" w:eastAsiaTheme="minorEastAsia" w:cstheme="minorEastAsia"/>
                <w:color w:val="FF0000"/>
                <w:sz w:val="24"/>
                <w:szCs w:val="24"/>
                <w:u w:val="single" w:color="auto"/>
              </w:rPr>
              <w:t xml:space="preserve"> </w:t>
            </w:r>
            <w:r>
              <w:rPr>
                <w:rFonts w:hint="eastAsia" w:asciiTheme="minorEastAsia" w:hAnsiTheme="minorEastAsia" w:eastAsiaTheme="minorEastAsia" w:cstheme="minorEastAsia"/>
                <w:color w:val="FF0000"/>
                <w:spacing w:val="-107"/>
                <w:sz w:val="24"/>
                <w:szCs w:val="24"/>
              </w:rPr>
              <w:t xml:space="preserve"> </w:t>
            </w:r>
            <w:r>
              <w:rPr>
                <w:rFonts w:hint="eastAsia" w:asciiTheme="minorEastAsia" w:hAnsiTheme="minorEastAsia" w:eastAsiaTheme="minorEastAsia" w:cstheme="minorEastAsia"/>
                <w:color w:val="FF0000"/>
                <w:spacing w:val="-14"/>
                <w:sz w:val="24"/>
                <w:szCs w:val="24"/>
              </w:rPr>
              <w:t>年</w:t>
            </w:r>
            <w:r>
              <w:rPr>
                <w:rFonts w:hint="eastAsia" w:asciiTheme="minorEastAsia" w:hAnsiTheme="minorEastAsia" w:eastAsiaTheme="minorEastAsia" w:cstheme="minorEastAsia"/>
                <w:color w:val="FF0000"/>
                <w:spacing w:val="-14"/>
                <w:sz w:val="24"/>
                <w:szCs w:val="24"/>
                <w:u w:val="single" w:color="auto"/>
              </w:rPr>
              <w:t xml:space="preserve">  </w:t>
            </w:r>
            <w:r>
              <w:rPr>
                <w:rFonts w:hint="eastAsia" w:asciiTheme="minorEastAsia" w:hAnsiTheme="minorEastAsia" w:eastAsiaTheme="minorEastAsia" w:cstheme="minorEastAsia"/>
                <w:color w:val="FF0000"/>
                <w:spacing w:val="-14"/>
                <w:sz w:val="24"/>
                <w:szCs w:val="24"/>
                <w:u w:val="single" w:color="auto"/>
                <w:lang w:val="en-US" w:eastAsia="zh-CN"/>
              </w:rPr>
              <w:t>4</w:t>
            </w:r>
            <w:r>
              <w:rPr>
                <w:rFonts w:hint="eastAsia" w:asciiTheme="minorEastAsia" w:hAnsiTheme="minorEastAsia" w:eastAsiaTheme="minorEastAsia" w:cstheme="minorEastAsia"/>
                <w:color w:val="FF0000"/>
                <w:spacing w:val="-14"/>
                <w:sz w:val="24"/>
                <w:szCs w:val="24"/>
                <w:u w:val="single" w:color="auto"/>
              </w:rPr>
              <w:t xml:space="preserve"> </w:t>
            </w:r>
            <w:r>
              <w:rPr>
                <w:rFonts w:hint="eastAsia" w:asciiTheme="minorEastAsia" w:hAnsiTheme="minorEastAsia" w:eastAsiaTheme="minorEastAsia" w:cstheme="minorEastAsia"/>
                <w:color w:val="FF0000"/>
                <w:spacing w:val="-105"/>
                <w:sz w:val="24"/>
                <w:szCs w:val="24"/>
              </w:rPr>
              <w:t xml:space="preserve"> </w:t>
            </w:r>
            <w:r>
              <w:rPr>
                <w:rFonts w:hint="eastAsia" w:asciiTheme="minorEastAsia" w:hAnsiTheme="minorEastAsia" w:eastAsiaTheme="minorEastAsia" w:cstheme="minorEastAsia"/>
                <w:color w:val="FF0000"/>
                <w:spacing w:val="-14"/>
                <w:sz w:val="24"/>
                <w:szCs w:val="24"/>
              </w:rPr>
              <w:t>月</w:t>
            </w:r>
            <w:r>
              <w:rPr>
                <w:rFonts w:hint="eastAsia" w:asciiTheme="minorEastAsia" w:hAnsiTheme="minorEastAsia" w:eastAsiaTheme="minorEastAsia" w:cstheme="minorEastAsia"/>
                <w:color w:val="FF0000"/>
                <w:spacing w:val="-14"/>
                <w:sz w:val="24"/>
                <w:szCs w:val="24"/>
                <w:u w:val="single" w:color="auto"/>
              </w:rPr>
              <w:t xml:space="preserve">  </w:t>
            </w:r>
            <w:r>
              <w:rPr>
                <w:rFonts w:hint="eastAsia" w:asciiTheme="minorEastAsia" w:hAnsiTheme="minorEastAsia" w:eastAsiaTheme="minorEastAsia" w:cstheme="minorEastAsia"/>
                <w:color w:val="FF0000"/>
                <w:spacing w:val="-14"/>
                <w:sz w:val="24"/>
                <w:szCs w:val="24"/>
                <w:u w:val="single" w:color="auto"/>
                <w:lang w:val="en-US" w:eastAsia="zh-CN"/>
              </w:rPr>
              <w:t>2</w:t>
            </w:r>
            <w:r>
              <w:rPr>
                <w:rFonts w:hint="eastAsia" w:asciiTheme="minorEastAsia" w:hAnsiTheme="minorEastAsia" w:eastAsiaTheme="minorEastAsia" w:cstheme="minorEastAsia"/>
                <w:color w:val="FF0000"/>
                <w:spacing w:val="-15"/>
                <w:sz w:val="24"/>
                <w:szCs w:val="24"/>
                <w:u w:val="single" w:color="auto"/>
              </w:rPr>
              <w:t xml:space="preserve"> </w:t>
            </w:r>
            <w:r>
              <w:rPr>
                <w:rFonts w:hint="eastAsia" w:asciiTheme="minorEastAsia" w:hAnsiTheme="minorEastAsia" w:eastAsiaTheme="minorEastAsia" w:cstheme="minorEastAsia"/>
                <w:color w:val="FF0000"/>
                <w:spacing w:val="-70"/>
                <w:sz w:val="24"/>
                <w:szCs w:val="24"/>
              </w:rPr>
              <w:t xml:space="preserve"> </w:t>
            </w:r>
            <w:r>
              <w:rPr>
                <w:rFonts w:hint="eastAsia" w:asciiTheme="minorEastAsia" w:hAnsiTheme="minorEastAsia" w:eastAsiaTheme="minorEastAsia" w:cstheme="minorEastAsia"/>
                <w:color w:val="FF0000"/>
                <w:spacing w:val="-15"/>
                <w:sz w:val="24"/>
                <w:szCs w:val="24"/>
              </w:rPr>
              <w:t>日</w:t>
            </w:r>
            <w:r>
              <w:rPr>
                <w:rFonts w:hint="eastAsia" w:asciiTheme="minorEastAsia" w:hAnsiTheme="minorEastAsia" w:eastAsiaTheme="minorEastAsia" w:cstheme="minorEastAsia"/>
                <w:color w:val="FF0000"/>
                <w:spacing w:val="60"/>
                <w:sz w:val="24"/>
                <w:szCs w:val="24"/>
                <w:u w:val="single" w:color="auto"/>
              </w:rPr>
              <w:t xml:space="preserve"> </w:t>
            </w:r>
            <w:r>
              <w:rPr>
                <w:rFonts w:hint="eastAsia" w:asciiTheme="minorEastAsia" w:hAnsiTheme="minorEastAsia" w:eastAsiaTheme="minorEastAsia" w:cstheme="minorEastAsia"/>
                <w:color w:val="FF0000"/>
                <w:spacing w:val="60"/>
                <w:sz w:val="24"/>
                <w:szCs w:val="24"/>
                <w:u w:val="single" w:color="auto"/>
                <w:lang w:val="en-US" w:eastAsia="zh-CN"/>
              </w:rPr>
              <w:t>9</w:t>
            </w:r>
            <w:r>
              <w:rPr>
                <w:rFonts w:hint="eastAsia" w:asciiTheme="minorEastAsia" w:hAnsiTheme="minorEastAsia" w:eastAsiaTheme="minorEastAsia" w:cstheme="minorEastAsia"/>
                <w:color w:val="FF0000"/>
                <w:spacing w:val="60"/>
                <w:sz w:val="24"/>
                <w:szCs w:val="24"/>
                <w:u w:val="single" w:color="auto"/>
              </w:rPr>
              <w:t xml:space="preserve"> </w:t>
            </w:r>
            <w:r>
              <w:rPr>
                <w:rFonts w:hint="eastAsia" w:asciiTheme="minorEastAsia" w:hAnsiTheme="minorEastAsia" w:eastAsiaTheme="minorEastAsia" w:cstheme="minorEastAsia"/>
                <w:color w:val="FF0000"/>
                <w:spacing w:val="-102"/>
                <w:sz w:val="24"/>
                <w:szCs w:val="24"/>
              </w:rPr>
              <w:t xml:space="preserve"> </w:t>
            </w:r>
            <w:r>
              <w:rPr>
                <w:rFonts w:hint="eastAsia" w:asciiTheme="minorEastAsia" w:hAnsiTheme="minorEastAsia" w:eastAsiaTheme="minorEastAsia" w:cstheme="minorEastAsia"/>
                <w:color w:val="FF0000"/>
                <w:spacing w:val="-15"/>
                <w:sz w:val="24"/>
                <w:szCs w:val="24"/>
              </w:rPr>
              <w:t>点</w:t>
            </w:r>
            <w:r>
              <w:rPr>
                <w:rFonts w:hint="eastAsia" w:asciiTheme="minorEastAsia" w:hAnsiTheme="minorEastAsia" w:eastAsiaTheme="minorEastAsia" w:cstheme="minorEastAsia"/>
                <w:color w:val="FF0000"/>
                <w:sz w:val="24"/>
                <w:szCs w:val="24"/>
                <w:u w:val="single" w:color="auto"/>
              </w:rPr>
              <w:t xml:space="preserve"> </w:t>
            </w:r>
            <w:r>
              <w:rPr>
                <w:rFonts w:hint="eastAsia" w:asciiTheme="minorEastAsia" w:hAnsiTheme="minorEastAsia" w:eastAsiaTheme="minorEastAsia" w:cstheme="minorEastAsia"/>
                <w:color w:val="FF0000"/>
                <w:sz w:val="24"/>
                <w:szCs w:val="24"/>
                <w:u w:val="single" w:color="auto"/>
                <w:lang w:val="en-US" w:eastAsia="zh-CN"/>
              </w:rPr>
              <w:t>0</w:t>
            </w:r>
            <w:r>
              <w:rPr>
                <w:rFonts w:hint="eastAsia" w:asciiTheme="minorEastAsia" w:hAnsiTheme="minorEastAsia" w:eastAsiaTheme="minorEastAsia" w:cstheme="minorEastAsia"/>
                <w:color w:val="FF0000"/>
                <w:sz w:val="24"/>
                <w:szCs w:val="24"/>
                <w:u w:val="single" w:color="auto"/>
              </w:rPr>
              <w:t xml:space="preserve">  </w:t>
            </w:r>
            <w:r>
              <w:rPr>
                <w:rFonts w:hint="eastAsia" w:asciiTheme="minorEastAsia" w:hAnsiTheme="minorEastAsia" w:eastAsiaTheme="minorEastAsia" w:cstheme="minorEastAsia"/>
                <w:color w:val="FF0000"/>
                <w:spacing w:val="-108"/>
                <w:sz w:val="24"/>
                <w:szCs w:val="24"/>
              </w:rPr>
              <w:t xml:space="preserve"> </w:t>
            </w:r>
            <w:r>
              <w:rPr>
                <w:rFonts w:hint="eastAsia" w:asciiTheme="minorEastAsia" w:hAnsiTheme="minorEastAsia" w:eastAsiaTheme="minorEastAsia" w:cstheme="minorEastAsia"/>
                <w:color w:val="FF0000"/>
                <w:spacing w:val="-15"/>
                <w:sz w:val="24"/>
                <w:szCs w:val="24"/>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color w:val="FF0000"/>
                <w:sz w:val="24"/>
                <w:szCs w:val="24"/>
                <w:u w:val="single"/>
                <w:lang w:eastAsia="zh-CN"/>
              </w:rPr>
            </w:pPr>
            <w:r>
              <w:rPr>
                <w:rFonts w:hint="eastAsia" w:asciiTheme="minorEastAsia" w:hAnsiTheme="minorEastAsia" w:eastAsiaTheme="minorEastAsia" w:cstheme="minorEastAsia"/>
                <w:color w:val="FF0000"/>
                <w:sz w:val="24"/>
                <w:szCs w:val="24"/>
                <w:u w:val="single" w:color="auto"/>
              </w:rPr>
              <w:t xml:space="preserve"> </w:t>
            </w:r>
            <w:r>
              <w:rPr>
                <w:rFonts w:hint="eastAsia" w:asciiTheme="minorEastAsia" w:hAnsiTheme="minorEastAsia" w:eastAsiaTheme="minorEastAsia" w:cstheme="minorEastAsia"/>
                <w:color w:val="FF0000"/>
                <w:sz w:val="24"/>
                <w:szCs w:val="24"/>
                <w:u w:val="single" w:color="auto"/>
                <w:lang w:val="en-US" w:eastAsia="zh-CN"/>
              </w:rPr>
              <w:t>2024</w:t>
            </w:r>
            <w:r>
              <w:rPr>
                <w:rFonts w:hint="eastAsia" w:asciiTheme="minorEastAsia" w:hAnsiTheme="minorEastAsia" w:eastAsiaTheme="minorEastAsia" w:cstheme="minorEastAsia"/>
                <w:color w:val="FF0000"/>
                <w:sz w:val="24"/>
                <w:szCs w:val="24"/>
                <w:u w:val="single" w:color="auto"/>
              </w:rPr>
              <w:t xml:space="preserve">  </w:t>
            </w:r>
            <w:r>
              <w:rPr>
                <w:rFonts w:hint="eastAsia" w:asciiTheme="minorEastAsia" w:hAnsiTheme="minorEastAsia" w:eastAsiaTheme="minorEastAsia" w:cstheme="minorEastAsia"/>
                <w:color w:val="FF0000"/>
                <w:spacing w:val="-107"/>
                <w:sz w:val="24"/>
                <w:szCs w:val="24"/>
              </w:rPr>
              <w:t xml:space="preserve"> </w:t>
            </w:r>
            <w:r>
              <w:rPr>
                <w:rFonts w:hint="eastAsia" w:asciiTheme="minorEastAsia" w:hAnsiTheme="minorEastAsia" w:eastAsiaTheme="minorEastAsia" w:cstheme="minorEastAsia"/>
                <w:color w:val="FF0000"/>
                <w:spacing w:val="-14"/>
                <w:sz w:val="24"/>
                <w:szCs w:val="24"/>
              </w:rPr>
              <w:t>年</w:t>
            </w:r>
            <w:r>
              <w:rPr>
                <w:rFonts w:hint="eastAsia" w:asciiTheme="minorEastAsia" w:hAnsiTheme="minorEastAsia" w:eastAsiaTheme="minorEastAsia" w:cstheme="minorEastAsia"/>
                <w:color w:val="FF0000"/>
                <w:spacing w:val="-14"/>
                <w:sz w:val="24"/>
                <w:szCs w:val="24"/>
                <w:u w:val="single" w:color="auto"/>
              </w:rPr>
              <w:t xml:space="preserve"> </w:t>
            </w:r>
            <w:r>
              <w:rPr>
                <w:rFonts w:hint="eastAsia" w:asciiTheme="minorEastAsia" w:hAnsiTheme="minorEastAsia" w:eastAsiaTheme="minorEastAsia" w:cstheme="minorEastAsia"/>
                <w:color w:val="FF0000"/>
                <w:spacing w:val="-14"/>
                <w:sz w:val="24"/>
                <w:szCs w:val="24"/>
                <w:u w:val="single" w:color="auto"/>
                <w:lang w:val="en-US" w:eastAsia="zh-CN"/>
              </w:rPr>
              <w:t>4</w:t>
            </w:r>
            <w:r>
              <w:rPr>
                <w:rFonts w:hint="eastAsia" w:asciiTheme="minorEastAsia" w:hAnsiTheme="minorEastAsia" w:eastAsiaTheme="minorEastAsia" w:cstheme="minorEastAsia"/>
                <w:color w:val="FF0000"/>
                <w:spacing w:val="-14"/>
                <w:sz w:val="24"/>
                <w:szCs w:val="24"/>
                <w:u w:val="single" w:color="auto"/>
              </w:rPr>
              <w:t xml:space="preserve">  </w:t>
            </w:r>
            <w:r>
              <w:rPr>
                <w:rFonts w:hint="eastAsia" w:asciiTheme="minorEastAsia" w:hAnsiTheme="minorEastAsia" w:eastAsiaTheme="minorEastAsia" w:cstheme="minorEastAsia"/>
                <w:color w:val="FF0000"/>
                <w:spacing w:val="-105"/>
                <w:sz w:val="24"/>
                <w:szCs w:val="24"/>
              </w:rPr>
              <w:t xml:space="preserve"> </w:t>
            </w:r>
            <w:r>
              <w:rPr>
                <w:rFonts w:hint="eastAsia" w:asciiTheme="minorEastAsia" w:hAnsiTheme="minorEastAsia" w:eastAsiaTheme="minorEastAsia" w:cstheme="minorEastAsia"/>
                <w:color w:val="FF0000"/>
                <w:spacing w:val="-14"/>
                <w:sz w:val="24"/>
                <w:szCs w:val="24"/>
              </w:rPr>
              <w:t>月</w:t>
            </w:r>
            <w:r>
              <w:rPr>
                <w:rFonts w:hint="eastAsia" w:asciiTheme="minorEastAsia" w:hAnsiTheme="minorEastAsia" w:eastAsiaTheme="minorEastAsia" w:cstheme="minorEastAsia"/>
                <w:color w:val="FF0000"/>
                <w:spacing w:val="-14"/>
                <w:sz w:val="24"/>
                <w:szCs w:val="24"/>
                <w:u w:val="single" w:color="auto"/>
              </w:rPr>
              <w:t xml:space="preserve">  </w:t>
            </w:r>
            <w:r>
              <w:rPr>
                <w:rFonts w:hint="eastAsia" w:asciiTheme="minorEastAsia" w:hAnsiTheme="minorEastAsia" w:eastAsiaTheme="minorEastAsia" w:cstheme="minorEastAsia"/>
                <w:color w:val="FF0000"/>
                <w:spacing w:val="-14"/>
                <w:sz w:val="24"/>
                <w:szCs w:val="24"/>
                <w:u w:val="single" w:color="auto"/>
                <w:lang w:val="en-US" w:eastAsia="zh-CN"/>
              </w:rPr>
              <w:t>2</w:t>
            </w:r>
            <w:r>
              <w:rPr>
                <w:rFonts w:hint="eastAsia" w:asciiTheme="minorEastAsia" w:hAnsiTheme="minorEastAsia" w:eastAsiaTheme="minorEastAsia" w:cstheme="minorEastAsia"/>
                <w:color w:val="FF0000"/>
                <w:spacing w:val="-15"/>
                <w:sz w:val="24"/>
                <w:szCs w:val="24"/>
                <w:u w:val="single" w:color="auto"/>
              </w:rPr>
              <w:t xml:space="preserve"> </w:t>
            </w:r>
            <w:r>
              <w:rPr>
                <w:rFonts w:hint="eastAsia" w:asciiTheme="minorEastAsia" w:hAnsiTheme="minorEastAsia" w:eastAsiaTheme="minorEastAsia" w:cstheme="minorEastAsia"/>
                <w:color w:val="FF0000"/>
                <w:spacing w:val="-70"/>
                <w:sz w:val="24"/>
                <w:szCs w:val="24"/>
              </w:rPr>
              <w:t xml:space="preserve"> </w:t>
            </w:r>
            <w:r>
              <w:rPr>
                <w:rFonts w:hint="eastAsia" w:asciiTheme="minorEastAsia" w:hAnsiTheme="minorEastAsia" w:eastAsiaTheme="minorEastAsia" w:cstheme="minorEastAsia"/>
                <w:color w:val="FF0000"/>
                <w:spacing w:val="-15"/>
                <w:sz w:val="24"/>
                <w:szCs w:val="24"/>
              </w:rPr>
              <w:t>日</w:t>
            </w:r>
            <w:r>
              <w:rPr>
                <w:rFonts w:hint="eastAsia" w:asciiTheme="minorEastAsia" w:hAnsiTheme="minorEastAsia" w:eastAsiaTheme="minorEastAsia" w:cstheme="minorEastAsia"/>
                <w:color w:val="FF0000"/>
                <w:spacing w:val="60"/>
                <w:sz w:val="24"/>
                <w:szCs w:val="24"/>
                <w:u w:val="single" w:color="auto"/>
              </w:rPr>
              <w:t xml:space="preserve"> </w:t>
            </w:r>
            <w:r>
              <w:rPr>
                <w:rFonts w:hint="eastAsia" w:asciiTheme="minorEastAsia" w:hAnsiTheme="minorEastAsia" w:eastAsiaTheme="minorEastAsia" w:cstheme="minorEastAsia"/>
                <w:color w:val="FF0000"/>
                <w:spacing w:val="60"/>
                <w:sz w:val="24"/>
                <w:szCs w:val="24"/>
                <w:u w:val="single" w:color="auto"/>
                <w:lang w:val="en-US" w:eastAsia="zh-CN"/>
              </w:rPr>
              <w:t>9</w:t>
            </w:r>
            <w:r>
              <w:rPr>
                <w:rFonts w:hint="eastAsia" w:asciiTheme="minorEastAsia" w:hAnsiTheme="minorEastAsia" w:eastAsiaTheme="minorEastAsia" w:cstheme="minorEastAsia"/>
                <w:color w:val="FF0000"/>
                <w:spacing w:val="60"/>
                <w:sz w:val="24"/>
                <w:szCs w:val="24"/>
                <w:u w:val="single" w:color="auto"/>
              </w:rPr>
              <w:t xml:space="preserve"> </w:t>
            </w:r>
            <w:r>
              <w:rPr>
                <w:rFonts w:hint="eastAsia" w:asciiTheme="minorEastAsia" w:hAnsiTheme="minorEastAsia" w:eastAsiaTheme="minorEastAsia" w:cstheme="minorEastAsia"/>
                <w:color w:val="FF0000"/>
                <w:spacing w:val="-102"/>
                <w:sz w:val="24"/>
                <w:szCs w:val="24"/>
              </w:rPr>
              <w:t xml:space="preserve"> </w:t>
            </w:r>
            <w:r>
              <w:rPr>
                <w:rFonts w:hint="eastAsia" w:asciiTheme="minorEastAsia" w:hAnsiTheme="minorEastAsia" w:eastAsiaTheme="minorEastAsia" w:cstheme="minorEastAsia"/>
                <w:color w:val="FF0000"/>
                <w:spacing w:val="-15"/>
                <w:sz w:val="24"/>
                <w:szCs w:val="24"/>
              </w:rPr>
              <w:t>点</w:t>
            </w:r>
            <w:r>
              <w:rPr>
                <w:rFonts w:hint="eastAsia" w:asciiTheme="minorEastAsia" w:hAnsiTheme="minorEastAsia" w:eastAsiaTheme="minorEastAsia" w:cstheme="minorEastAsia"/>
                <w:color w:val="FF0000"/>
                <w:sz w:val="24"/>
                <w:szCs w:val="24"/>
                <w:u w:val="single" w:color="auto"/>
              </w:rPr>
              <w:t xml:space="preserve"> </w:t>
            </w:r>
            <w:r>
              <w:rPr>
                <w:rFonts w:hint="eastAsia" w:asciiTheme="minorEastAsia" w:hAnsiTheme="minorEastAsia" w:eastAsiaTheme="minorEastAsia" w:cstheme="minorEastAsia"/>
                <w:color w:val="FF0000"/>
                <w:sz w:val="24"/>
                <w:szCs w:val="24"/>
                <w:u w:val="single" w:color="auto"/>
                <w:lang w:val="en-US" w:eastAsia="zh-CN"/>
              </w:rPr>
              <w:t>0</w:t>
            </w:r>
            <w:r>
              <w:rPr>
                <w:rFonts w:hint="eastAsia" w:asciiTheme="minorEastAsia" w:hAnsiTheme="minorEastAsia" w:eastAsiaTheme="minorEastAsia" w:cstheme="minorEastAsia"/>
                <w:color w:val="FF0000"/>
                <w:sz w:val="24"/>
                <w:szCs w:val="24"/>
                <w:u w:val="single" w:color="auto"/>
              </w:rPr>
              <w:t xml:space="preserve">  </w:t>
            </w:r>
            <w:r>
              <w:rPr>
                <w:rFonts w:hint="eastAsia" w:asciiTheme="minorEastAsia" w:hAnsiTheme="minorEastAsia" w:eastAsiaTheme="minorEastAsia" w:cstheme="minorEastAsia"/>
                <w:color w:val="FF0000"/>
                <w:spacing w:val="-108"/>
                <w:sz w:val="24"/>
                <w:szCs w:val="24"/>
              </w:rPr>
              <w:t xml:space="preserve"> </w:t>
            </w:r>
            <w:r>
              <w:rPr>
                <w:rFonts w:hint="eastAsia" w:asciiTheme="minorEastAsia" w:hAnsiTheme="minorEastAsia" w:eastAsiaTheme="minorEastAsia" w:cstheme="minorEastAsia"/>
                <w:color w:val="FF0000"/>
                <w:spacing w:val="-15"/>
                <w:sz w:val="24"/>
                <w:szCs w:val="24"/>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磋商小组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14"/>
              <w:keepNext w:val="0"/>
              <w:keepLines w:val="0"/>
              <w:pageBreakBefore w:val="0"/>
              <w:widowControl/>
              <w:kinsoku w:val="0"/>
              <w:wordWrap/>
              <w:overflowPunct/>
              <w:topLinePunct w:val="0"/>
              <w:autoSpaceDE w:val="0"/>
              <w:autoSpaceDN w:val="0"/>
              <w:bidi w:val="0"/>
              <w:adjustRightInd w:val="0"/>
              <w:snapToGrid w:val="0"/>
              <w:spacing w:before="1" w:line="240" w:lineRule="auto"/>
              <w:ind w:left="125"/>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z w:val="24"/>
                <w:szCs w:val="24"/>
                <w:lang w:val="en-US" w:eastAsia="zh-CN"/>
              </w:rPr>
              <w:t>集中采购机构不收费</w:t>
            </w:r>
          </w:p>
          <w:p>
            <w:pPr>
              <w:pStyle w:val="14"/>
              <w:keepNext w:val="0"/>
              <w:keepLines w:val="0"/>
              <w:pageBreakBefore w:val="0"/>
              <w:widowControl/>
              <w:kinsoku w:val="0"/>
              <w:wordWrap/>
              <w:overflowPunct/>
              <w:topLinePunct w:val="0"/>
              <w:autoSpaceDE w:val="0"/>
              <w:autoSpaceDN w:val="0"/>
              <w:bidi w:val="0"/>
              <w:adjustRightInd w:val="0"/>
              <w:snapToGrid w:val="0"/>
              <w:spacing w:before="1" w:line="240" w:lineRule="auto"/>
              <w:ind w:left="125"/>
              <w:textAlignment w:val="baseline"/>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z w:val="24"/>
                <w:szCs w:val="24"/>
                <w:lang w:val="en-US" w:eastAsia="zh-CN"/>
              </w:rPr>
              <w:t>收费对象：</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采购人  </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lang w:val="en-US" w:eastAsia="zh-CN"/>
              </w:rPr>
              <w:t>中标人</w:t>
            </w:r>
          </w:p>
          <w:p>
            <w:pPr>
              <w:pStyle w:val="14"/>
              <w:keepNext w:val="0"/>
              <w:keepLines w:val="0"/>
              <w:pageBreakBefore w:val="0"/>
              <w:widowControl/>
              <w:kinsoku w:val="0"/>
              <w:wordWrap/>
              <w:overflowPunct/>
              <w:topLinePunct w:val="0"/>
              <w:autoSpaceDE w:val="0"/>
              <w:autoSpaceDN w:val="0"/>
              <w:bidi w:val="0"/>
              <w:adjustRightInd w:val="0"/>
              <w:snapToGrid w:val="0"/>
              <w:spacing w:before="1" w:line="240" w:lineRule="auto"/>
              <w:ind w:left="125" w:leftChars="0"/>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13"/>
                <w:sz w:val="24"/>
                <w:szCs w:val="24"/>
                <w:lang w:val="en-US" w:eastAsia="zh-CN"/>
              </w:rPr>
              <w:t>收费标准</w:t>
            </w:r>
            <w:r>
              <w:rPr>
                <w:rFonts w:hint="eastAsia" w:asciiTheme="minorEastAsia" w:hAnsiTheme="minorEastAsia" w:eastAsiaTheme="minorEastAsia" w:cstheme="minorEastAsia"/>
                <w:spacing w:val="-13"/>
                <w:sz w:val="24"/>
                <w:szCs w:val="24"/>
                <w:u w:val="none" w:color="auto"/>
                <w:lang w:val="en-US" w:eastAsia="zh-CN"/>
              </w:rPr>
              <w:t>：磋商</w:t>
            </w:r>
            <w:r>
              <w:rPr>
                <w:rFonts w:hint="eastAsia" w:asciiTheme="minorEastAsia" w:hAnsiTheme="minorEastAsia" w:eastAsiaTheme="minorEastAsia" w:cstheme="minorEastAsia"/>
                <w:sz w:val="24"/>
                <w:szCs w:val="24"/>
                <w:u w:val="none" w:color="auto"/>
              </w:rPr>
              <w:t>报价已经充分考虑了投标过程中发生的一切相关费用，代理费用参照《河南省招标代理服务收费指导意见》豫招协【2023】002号文件的规定收取，由中标人在领取中标通知书时向招标代理机构一次性支付。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w:t>
            </w:r>
          </w:p>
        </w:tc>
        <w:tc>
          <w:tcPr>
            <w:tcW w:w="7305" w:type="dxa"/>
            <w:tcBorders>
              <w:top w:val="single" w:color="auto" w:sz="6" w:space="0"/>
              <w:left w:val="single" w:color="auto" w:sz="6" w:space="0"/>
              <w:bottom w:val="single" w:color="auto" w:sz="12" w:space="0"/>
              <w:right w:val="single" w:color="auto" w:sz="12" w:space="0"/>
            </w:tcBorders>
            <w:noWrap w:val="0"/>
            <w:vAlign w:val="center"/>
          </w:tcPr>
          <w:p>
            <w:pPr>
              <w:pStyle w:val="14"/>
              <w:keepNext w:val="0"/>
              <w:keepLines w:val="0"/>
              <w:pageBreakBefore w:val="0"/>
              <w:widowControl/>
              <w:kinsoku w:val="0"/>
              <w:wordWrap/>
              <w:overflowPunct/>
              <w:topLinePunct w:val="0"/>
              <w:autoSpaceDE w:val="0"/>
              <w:autoSpaceDN w:val="0"/>
              <w:bidi w:val="0"/>
              <w:adjustRightInd w:val="0"/>
              <w:snapToGrid w:val="0"/>
              <w:spacing w:before="1" w:line="240" w:lineRule="auto"/>
              <w:ind w:left="126" w:leftChars="0"/>
              <w:textAlignment w:val="baseline"/>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13"/>
                <w:sz w:val="24"/>
                <w:szCs w:val="24"/>
                <w:lang w:val="en-US" w:eastAsia="zh-CN"/>
              </w:rPr>
              <w:t>本项目成交公示期结束3个工作日内领取成交通知书，成交人领取成交通知书后持成交通知书，于30日历天内按照采购人要求签订合同。否则采购人有权否决其投标，并顺延下一名成交候选人成交或重新组织招标。</w:t>
            </w:r>
          </w:p>
        </w:tc>
      </w:tr>
    </w:tbl>
    <w:p>
      <w:pPr>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br w:type="page"/>
      </w:r>
    </w:p>
    <w:p>
      <w:pPr>
        <w:pStyle w:val="12"/>
      </w:pPr>
    </w:p>
    <w:p>
      <w:pPr>
        <w:pStyle w:val="4"/>
        <w:spacing w:before="91" w:line="220" w:lineRule="auto"/>
        <w:ind w:left="3844"/>
        <w:rPr>
          <w:sz w:val="28"/>
          <w:szCs w:val="28"/>
        </w:rPr>
      </w:pPr>
      <w:r>
        <w:rPr>
          <w:spacing w:val="-1"/>
          <w:sz w:val="28"/>
          <w:szCs w:val="28"/>
          <w14:textOutline w14:w="1800" w14:cap="flat" w14:cmpd="sng">
            <w14:solidFill>
              <w14:srgbClr w14:val="000000"/>
            </w14:solidFill>
            <w14:prstDash w14:val="solid"/>
            <w14:miter w14:val="0"/>
          </w14:textOutline>
        </w:rPr>
        <w:t>供应商须知</w:t>
      </w:r>
    </w:p>
    <w:p>
      <w:pPr>
        <w:pStyle w:val="4"/>
        <w:spacing w:before="270" w:line="221" w:lineRule="auto"/>
        <w:ind w:left="3836"/>
        <w:rPr>
          <w:sz w:val="28"/>
          <w:szCs w:val="28"/>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w:t>
      </w:r>
      <w:r>
        <w:rPr>
          <w:spacing w:val="19"/>
          <w:sz w:val="28"/>
          <w:szCs w:val="28"/>
        </w:rPr>
        <w:t xml:space="preserve">  </w:t>
      </w:r>
      <w:r>
        <w:rPr>
          <w:spacing w:val="-10"/>
          <w:sz w:val="28"/>
          <w:szCs w:val="28"/>
          <w14:textOutline w14:w="1800" w14:cap="flat" w14:cmpd="sng">
            <w14:solidFill>
              <w14:srgbClr w14:val="000000"/>
            </w14:solidFill>
            <w14:prstDash w14:val="solid"/>
            <w14:miter w14:val="0"/>
          </w14:textOutline>
        </w:rPr>
        <w:t>明</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 xml:space="preserve"> 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 采购人、采购代理机构：指依法进行政府采购的国家机关、事业单位、团体 组织， 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 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1.3联合体：指两个以上的自然人、法人或者其他组织组成一个联合体，以一个供应商的身份共同参加政府采购。</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2.1资金来源为财政性资金</w:t>
      </w:r>
      <w:r>
        <w:rPr>
          <w:rFonts w:hint="eastAsia" w:asciiTheme="minorEastAsia" w:hAnsiTheme="minorEastAsia" w:eastAsiaTheme="minorEastAsia" w:cstheme="minorEastAsia"/>
          <w:color w:val="FF0000"/>
          <w:spacing w:val="7"/>
          <w:sz w:val="24"/>
          <w:szCs w:val="24"/>
          <w:u w:val="single"/>
          <w:lang w:val="en-US" w:eastAsia="zh-CN"/>
        </w:rPr>
        <w:t xml:space="preserve"> </w:t>
      </w:r>
      <w:r>
        <w:rPr>
          <w:rFonts w:hint="eastAsia" w:asciiTheme="minorEastAsia" w:hAnsiTheme="minorEastAsia" w:eastAsiaTheme="minorEastAsia" w:cstheme="minorEastAsia"/>
          <w:color w:val="FF0000"/>
          <w:sz w:val="24"/>
          <w:szCs w:val="24"/>
          <w:u w:val="single" w:color="auto"/>
          <w:lang w:val="en-US" w:eastAsia="zh-CN"/>
        </w:rPr>
        <w:t>85.951407</w:t>
      </w:r>
      <w:r>
        <w:rPr>
          <w:rFonts w:hint="eastAsia" w:asciiTheme="minorEastAsia" w:hAnsiTheme="minorEastAsia" w:eastAsiaTheme="minorEastAsia" w:cstheme="minorEastAsia"/>
          <w:color w:val="FF0000"/>
          <w:spacing w:val="7"/>
          <w:sz w:val="24"/>
          <w:szCs w:val="24"/>
          <w:u w:val="single"/>
          <w:lang w:val="en-US" w:eastAsia="zh-CN"/>
        </w:rPr>
        <w:t xml:space="preserve"> </w:t>
      </w:r>
      <w:r>
        <w:rPr>
          <w:rFonts w:hint="eastAsia" w:asciiTheme="minorEastAsia" w:hAnsiTheme="minorEastAsia" w:eastAsiaTheme="minorEastAsia" w:cstheme="minorEastAsia"/>
          <w:spacing w:val="7"/>
          <w:sz w:val="24"/>
          <w:szCs w:val="24"/>
          <w:u w:val="single"/>
          <w:lang w:val="en-US" w:eastAsia="zh-CN"/>
        </w:rPr>
        <w:t xml:space="preserve">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7"/>
          <w:sz w:val="24"/>
          <w:szCs w:val="24"/>
        </w:rPr>
        <w:t>和/或本项目采购中无法与财</w:t>
      </w:r>
      <w:r>
        <w:rPr>
          <w:rFonts w:hint="eastAsia" w:asciiTheme="minorEastAsia" w:hAnsiTheme="minorEastAsia" w:eastAsiaTheme="minorEastAsia" w:cstheme="minorEastAsia"/>
          <w:spacing w:val="6"/>
          <w:sz w:val="24"/>
          <w:szCs w:val="24"/>
        </w:rPr>
        <w:t>政性资金分割的非财政</w:t>
      </w:r>
      <w:r>
        <w:rPr>
          <w:rFonts w:hint="eastAsia" w:asciiTheme="minorEastAsia" w:hAnsiTheme="minorEastAsia" w:eastAsiaTheme="minorEastAsia" w:cstheme="minorEastAsia"/>
          <w:spacing w:val="-9"/>
          <w:sz w:val="24"/>
          <w:szCs w:val="24"/>
        </w:rPr>
        <w:t>性资金</w:t>
      </w:r>
      <w:r>
        <w:rPr>
          <w:rFonts w:hint="eastAsia" w:asciiTheme="minorEastAsia" w:hAnsiTheme="minorEastAsia" w:eastAsiaTheme="minorEastAsia" w:cstheme="minorEastAsia"/>
          <w:spacing w:val="7"/>
          <w:sz w:val="24"/>
          <w:szCs w:val="24"/>
          <w:u w:val="single"/>
          <w:lang w:val="en-US" w:eastAsia="zh-CN"/>
        </w:rPr>
        <w:t xml:space="preserve">   0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3.1若《</w:t>
      </w:r>
      <w:r>
        <w:rPr>
          <w:rFonts w:hint="eastAsia" w:asciiTheme="minorEastAsia" w:hAnsiTheme="minorEastAsia" w:eastAsiaTheme="minorEastAsia" w:cstheme="minorEastAsia"/>
          <w:spacing w:val="3"/>
          <w:sz w:val="24"/>
          <w:szCs w:val="24"/>
          <w:lang w:val="en-US" w:eastAsia="zh-CN"/>
        </w:rPr>
        <w:t>供应商</w:t>
      </w:r>
      <w:r>
        <w:rPr>
          <w:rFonts w:hint="eastAsia" w:asciiTheme="minorEastAsia" w:hAnsiTheme="minorEastAsia" w:eastAsiaTheme="minorEastAsia" w:cstheme="minorEastAsia"/>
          <w:spacing w:val="3"/>
          <w:sz w:val="24"/>
          <w:szCs w:val="24"/>
          <w:lang w:eastAsia="zh-CN"/>
        </w:rPr>
        <w:t>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3.2由于未参加现场考察或</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rPr>
        <w:t>自行承担不利评审后果。</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.1采购本国货物、工程和服务</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 政府采购应当采购本国货物、工程和服务。但有《中华人民共和国政府采购法》第十条规定情形的除外。</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 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.2中小企业、监狱企业及残疾人福利性单位</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.2.1中小企业定义：</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"5.2.1.1"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中小企业是指在中华人民共和国境内依法设立，依据国务院批准的中小企业划分标准确定的中型企业、小型企业和微型企业，但与大企业的负责人为同一人， 或者与大企业存在直接控股、管理关系的除外。符合中小企业划分标准的个体工商户， 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"5.2.1.2"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"5.2.1.3"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"5.2.1.4"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以联合体形式参加政府采购活动，联合体各方均为中小企业的， 联合体视同中小企业。其中，联合体各方均为小微企业的，联合体视同小微企业。</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 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7"/>
          <w:sz w:val="24"/>
          <w:szCs w:val="24"/>
        </w:rPr>
        <w:t>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"5.2.3.1"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安置的残疾人占本单位在职职工人数的比例不低于25%（含25%），并且安置的残疾人人数不少于 10人（含10人）；</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"5.2.3.2"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依法与安置的每位残疾人签订了一年以上（含一年）的劳动合同或服务协议；</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"5.2.3.3"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"5.2.3.4"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通过银行等金融机构向安置的每位残疾人，按月支付了不低于单位所在区县的月最低工资标准的工资；</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"5.2.3.5"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"5.2.3.6"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 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竞争性磋商公告</w:t>
      </w:r>
      <w:r>
        <w:rPr>
          <w:rFonts w:hint="eastAsia" w:asciiTheme="minorEastAsia" w:hAnsiTheme="minorEastAsia" w:eastAsiaTheme="minorEastAsia" w:cstheme="minorEastAsia"/>
          <w:spacing w:val="-8"/>
          <w:sz w:val="24"/>
          <w:szCs w:val="24"/>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 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 小微企业价格评审优惠的政策调整：见第四章《评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 政府采购节能产品、环境标志产品</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.3.1政府采购节能产品、环境标志产品实施品目清单管理。财政部、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 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val="en-US" w:eastAsia="zh-CN"/>
        </w:rPr>
        <w:t>响应</w:t>
      </w:r>
      <w:r>
        <w:rPr>
          <w:rFonts w:hint="eastAsia" w:asciiTheme="minorEastAsia" w:hAnsiTheme="minorEastAsia" w:eastAsiaTheme="minorEastAsia" w:cstheme="minorEastAsia"/>
          <w:b/>
          <w:bCs/>
          <w:spacing w:val="-8"/>
          <w:sz w:val="24"/>
          <w:szCs w:val="24"/>
        </w:rPr>
        <w:t>无效；</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 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程序、评审方法和评审标准》。（如涉及）。</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 正版软件</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 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 并以无线局域网认证产品政府采购 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 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 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（国办发〔2010〕47 号）、《财政部关于进一步做好政府机关使用</w:t>
      </w:r>
      <w:r>
        <w:rPr>
          <w:rFonts w:hint="eastAsia" w:asciiTheme="minorEastAsia" w:hAnsiTheme="minorEastAsia" w:eastAsiaTheme="minorEastAsia" w:cstheme="minorEastAsia"/>
          <w:spacing w:val="-6"/>
          <w:sz w:val="24"/>
          <w:szCs w:val="24"/>
        </w:rPr>
        <w:t>正版软件工作的通知》（财预〔2010〕536 号）。</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z w:val="24"/>
          <w:szCs w:val="24"/>
        </w:rPr>
        <w:t>网络安全专用产品</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 xml:space="preserve"> 采购需求标准</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 商品包装、快递包装政府采购需求标准（试行）</w:t>
      </w:r>
      <w:r>
        <w:rPr>
          <w:rFonts w:hint="eastAsia" w:asciiTheme="minorEastAsia" w:hAnsiTheme="minorEastAsia" w:eastAsiaTheme="minorEastAsia" w:cstheme="minorEastAsia"/>
          <w:spacing w:val="-12"/>
          <w:sz w:val="24"/>
          <w:szCs w:val="24"/>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 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.2绿色数据中心政府采购需求标准（试行）</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 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 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5.采购</w:t>
      </w:r>
      <w:r>
        <w:rPr>
          <w:rFonts w:hint="eastAsia" w:asciiTheme="minorEastAsia" w:hAnsiTheme="minorEastAsia" w:eastAsiaTheme="minorEastAsia" w:cstheme="minorEastAsia"/>
          <w:b/>
          <w:bCs/>
          <w:spacing w:val="-2"/>
          <w:sz w:val="24"/>
          <w:szCs w:val="24"/>
        </w:rPr>
        <w:t>费用</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pPr>
        <w:spacing w:line="360" w:lineRule="auto"/>
        <w:ind w:firstLine="567"/>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6、采购范围及适用法律</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6.1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6.3“货物”指供应商按采购文件规定，须向采购人提供的与本次采购相关的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  </w:t>
      </w:r>
      <w:r>
        <w:rPr>
          <w:rFonts w:hint="eastAsia" w:asciiTheme="minorEastAsia" w:hAnsiTheme="minorEastAsia" w:eastAsiaTheme="minorEastAsia" w:cstheme="minorEastAsia"/>
          <w:snapToGrid w:val="0"/>
          <w:color w:val="000000"/>
          <w:spacing w:val="-2"/>
          <w:kern w:val="0"/>
          <w:sz w:val="24"/>
          <w:szCs w:val="24"/>
          <w:u w:val="none"/>
          <w:lang w:val="en-US" w:eastAsia="zh-CN" w:bidi="ar-SA"/>
        </w:rPr>
        <w:t xml:space="preserve">。   </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6.4“服务”指采购文件规定供应商应承担的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软件和信息技术      </w:t>
      </w:r>
      <w:r>
        <w:rPr>
          <w:rFonts w:hint="eastAsia" w:asciiTheme="minorEastAsia" w:hAnsiTheme="minorEastAsia" w:eastAsiaTheme="minorEastAsia" w:cstheme="minorEastAsia"/>
          <w:snapToGrid w:val="0"/>
          <w:color w:val="000000"/>
          <w:spacing w:val="-2"/>
          <w:kern w:val="0"/>
          <w:sz w:val="24"/>
          <w:szCs w:val="24"/>
          <w:lang w:val="en-US" w:eastAsia="zh-CN" w:bidi="ar-SA"/>
        </w:rPr>
        <w:t>服务。</w:t>
      </w:r>
    </w:p>
    <w:p>
      <w:pPr>
        <w:pStyle w:val="4"/>
        <w:spacing w:before="181" w:line="219" w:lineRule="auto"/>
        <w:ind w:left="1088"/>
        <w:rPr>
          <w:sz w:val="24"/>
          <w:szCs w:val="24"/>
        </w:rPr>
      </w:pPr>
    </w:p>
    <w:p>
      <w:pPr>
        <w:spacing w:line="291" w:lineRule="auto"/>
        <w:rPr>
          <w:rFonts w:ascii="Arial"/>
          <w:sz w:val="21"/>
        </w:rPr>
      </w:pPr>
    </w:p>
    <w:p>
      <w:pPr>
        <w:spacing w:line="292" w:lineRule="auto"/>
        <w:rPr>
          <w:rFonts w:ascii="Arial"/>
          <w:sz w:val="21"/>
        </w:rPr>
      </w:pPr>
    </w:p>
    <w:p>
      <w:pPr>
        <w:pStyle w:val="4"/>
        <w:spacing w:before="91" w:line="221" w:lineRule="auto"/>
        <w:ind w:left="3217"/>
        <w:rPr>
          <w:sz w:val="28"/>
          <w:szCs w:val="28"/>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竞争性磋商文件</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lang w:val="en-US"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b/>
          <w:bCs/>
          <w:sz w:val="24"/>
          <w:szCs w:val="24"/>
        </w:rPr>
      </w:pPr>
      <w:r>
        <w:rPr>
          <w:rFonts w:hint="eastAsia"/>
          <w:b/>
          <w:bCs/>
          <w:sz w:val="24"/>
          <w:szCs w:val="24"/>
          <w:lang w:val="en-US" w:eastAsia="zh-CN"/>
        </w:rPr>
        <w:t>7.</w:t>
      </w:r>
      <w:r>
        <w:rPr>
          <w:b/>
          <w:bCs/>
          <w:sz w:val="24"/>
          <w:szCs w:val="24"/>
        </w:rPr>
        <w:t>竞争性磋商文件构成</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rFonts w:hint="eastAsia"/>
          <w:spacing w:val="-1"/>
          <w:sz w:val="24"/>
          <w:szCs w:val="24"/>
          <w:lang w:val="en-US" w:eastAsia="zh-CN"/>
        </w:rPr>
        <w:t>7</w:t>
      </w:r>
      <w:r>
        <w:rPr>
          <w:spacing w:val="-1"/>
          <w:sz w:val="24"/>
          <w:szCs w:val="24"/>
        </w:rPr>
        <w:t>.1</w:t>
      </w:r>
      <w:r>
        <w:rPr>
          <w:rFonts w:hint="eastAsia"/>
          <w:spacing w:val="-1"/>
          <w:sz w:val="24"/>
          <w:szCs w:val="24"/>
          <w:lang w:val="en-US" w:eastAsia="zh-CN"/>
        </w:rPr>
        <w:t xml:space="preserve"> </w:t>
      </w:r>
      <w:r>
        <w:rPr>
          <w:spacing w:val="-1"/>
          <w:sz w:val="24"/>
          <w:szCs w:val="24"/>
        </w:rPr>
        <w:t>竞争性磋商文件包括以下部分：</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spacing w:val="-1"/>
          <w:sz w:val="24"/>
          <w:szCs w:val="24"/>
        </w:rPr>
        <w:fldChar w:fldCharType="begin"/>
      </w:r>
      <w:r>
        <w:rPr>
          <w:spacing w:val="-1"/>
          <w:sz w:val="24"/>
          <w:szCs w:val="24"/>
        </w:rPr>
        <w:instrText xml:space="preserve"> HYPERLINK \l "bookmark1" </w:instrText>
      </w:r>
      <w:r>
        <w:rPr>
          <w:spacing w:val="-1"/>
          <w:sz w:val="24"/>
          <w:szCs w:val="24"/>
        </w:rPr>
        <w:fldChar w:fldCharType="separate"/>
      </w:r>
      <w:r>
        <w:rPr>
          <w:spacing w:val="-1"/>
          <w:sz w:val="24"/>
          <w:szCs w:val="24"/>
        </w:rPr>
        <w:t xml:space="preserve">第一章   </w:t>
      </w:r>
      <w:r>
        <w:rPr>
          <w:rFonts w:hint="eastAsia"/>
          <w:spacing w:val="-1"/>
          <w:sz w:val="24"/>
          <w:szCs w:val="24"/>
          <w:lang w:eastAsia="zh-CN"/>
        </w:rPr>
        <w:t>竞争性磋商公告</w:t>
      </w:r>
      <w:r>
        <w:rPr>
          <w:spacing w:val="-1"/>
          <w:sz w:val="24"/>
          <w:szCs w:val="24"/>
        </w:rPr>
        <w:t xml:space="preserve"> </w:t>
      </w:r>
      <w:r>
        <w:rPr>
          <w:spacing w:val="-1"/>
          <w:sz w:val="24"/>
          <w:szCs w:val="24"/>
        </w:rPr>
        <w:fldChar w:fldCharType="end"/>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spacing w:val="-1"/>
          <w:sz w:val="24"/>
          <w:szCs w:val="24"/>
        </w:rPr>
        <w:t>第二章   采购需求</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spacing w:val="-1"/>
          <w:sz w:val="24"/>
          <w:szCs w:val="24"/>
        </w:rPr>
        <w:t xml:space="preserve">第三章   供应商须知 </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spacing w:val="-1"/>
          <w:sz w:val="24"/>
          <w:szCs w:val="24"/>
        </w:rPr>
        <w:t xml:space="preserve">第四章   </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 xml:space="preserve">评审方法和评审标准 </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spacing w:val="-1"/>
          <w:sz w:val="24"/>
          <w:szCs w:val="24"/>
        </w:rPr>
        <w:t xml:space="preserve">第五章   </w:t>
      </w:r>
      <w:r>
        <w:rPr>
          <w:rFonts w:hint="eastAsia"/>
          <w:spacing w:val="-1"/>
          <w:sz w:val="24"/>
          <w:szCs w:val="24"/>
          <w:lang w:eastAsia="zh-CN"/>
        </w:rPr>
        <w:t>政府采购合同（草案）</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spacing w:val="-1"/>
          <w:sz w:val="24"/>
          <w:szCs w:val="24"/>
        </w:rPr>
        <w:t>第六章   响应文件格式</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7.2供应商应认真阅读竞争性磋商文件的全部内容。供应商应按照竞争性磋商文件要求提交响应文件并保证所提供的全部资料的真实性，并对竞争性磋商文件做出实质性响应，否则响应无效。</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8" w:firstLineChars="200"/>
        <w:textAlignment w:val="baseline"/>
        <w:rPr>
          <w:rFonts w:hint="eastAsia"/>
          <w:b/>
          <w:bCs/>
          <w:spacing w:val="-1"/>
          <w:sz w:val="24"/>
          <w:szCs w:val="24"/>
          <w:lang w:val="en-US" w:eastAsia="zh-CN"/>
        </w:rPr>
      </w:pPr>
      <w:r>
        <w:rPr>
          <w:rFonts w:hint="eastAsia"/>
          <w:b/>
          <w:bCs/>
          <w:spacing w:val="-1"/>
          <w:sz w:val="24"/>
          <w:szCs w:val="24"/>
          <w:lang w:val="en-US" w:eastAsia="zh-CN"/>
        </w:rPr>
        <w:t>8.对竞争性磋商文件的澄清或修改</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8.1</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可用补充文件的方式修正竞争性磋商文件，补充文件内容以公告的形式告知所有竞争性磋商文件收受人，该补充文件将成为竞争性磋商文件的组成部分，并替代所修正的部分。</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8.2</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可以酌情延长上传截止时间，并将此变更以公告形式通知所有竞争性磋商文件收受人。</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8.3澄清或者修改的内容为竞争性磋商文件的组成部分，并对所有获取竞争性磋商文件的潜在供应商具有约束力。澄清或者修改的内容可能影响响应文件编制的，将在提交首次响应文件截止之日5日前，以书面形式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通知所有获取磋商文件的供应商；不足5日的，将顺延上传响应文件截止时间。</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8" w:firstLineChars="200"/>
        <w:textAlignment w:val="baseline"/>
        <w:rPr>
          <w:rFonts w:hint="eastAsia"/>
          <w:b/>
          <w:bCs/>
          <w:spacing w:val="-1"/>
          <w:sz w:val="24"/>
          <w:szCs w:val="24"/>
          <w:lang w:val="en-US" w:eastAsia="zh-CN"/>
        </w:rPr>
      </w:pPr>
      <w:r>
        <w:rPr>
          <w:rFonts w:hint="eastAsia"/>
          <w:b/>
          <w:bCs/>
          <w:spacing w:val="-1"/>
          <w:sz w:val="24"/>
          <w:szCs w:val="24"/>
          <w:lang w:val="en-US" w:eastAsia="zh-CN"/>
        </w:rPr>
        <w:t>8.4政府采购项目实行网上受理，开标前所有信息保密。因此，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8.5供应商应关注是否有发布最新的澄清更正公告和更正的最新磋商文件（电子答疑文件），如有则需下载最新的磋商文件，并在此基础上制作最新的响应文件并上传。</w:t>
      </w:r>
    </w:p>
    <w:p>
      <w:pPr>
        <w:pStyle w:val="12"/>
        <w:rPr>
          <w:rFonts w:hint="eastAsia"/>
          <w:lang w:val="en-US" w:eastAsia="zh-CN"/>
        </w:rPr>
      </w:pPr>
    </w:p>
    <w:p>
      <w:pPr>
        <w:pStyle w:val="4"/>
        <w:spacing w:before="179" w:line="220" w:lineRule="auto"/>
        <w:ind w:left="20"/>
        <w:rPr>
          <w:sz w:val="24"/>
          <w:szCs w:val="24"/>
        </w:rPr>
      </w:pPr>
    </w:p>
    <w:p>
      <w:pPr>
        <w:pStyle w:val="4"/>
        <w:spacing w:before="179" w:line="220" w:lineRule="auto"/>
        <w:ind w:left="20"/>
        <w:rPr>
          <w:sz w:val="24"/>
          <w:szCs w:val="24"/>
        </w:rPr>
      </w:pPr>
    </w:p>
    <w:p>
      <w:pPr>
        <w:pStyle w:val="4"/>
        <w:spacing w:before="91" w:line="221" w:lineRule="auto"/>
        <w:ind w:left="3213"/>
        <w:rPr>
          <w:sz w:val="28"/>
          <w:szCs w:val="28"/>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pPr>
        <w:pStyle w:val="4"/>
        <w:spacing w:before="204" w:line="220" w:lineRule="auto"/>
        <w:ind w:left="16"/>
        <w:rPr>
          <w:rFonts w:hint="eastAsia" w:ascii="Arial" w:hAnsi="Arial" w:eastAsia="宋体" w:cs="Arial"/>
          <w:sz w:val="24"/>
          <w:szCs w:val="24"/>
          <w:lang w:val="en-US"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8" w:firstLineChars="200"/>
        <w:textAlignment w:val="baseline"/>
        <w:rPr>
          <w:rFonts w:hint="eastAsia"/>
          <w:spacing w:val="-1"/>
          <w:sz w:val="24"/>
          <w:szCs w:val="24"/>
          <w:lang w:val="en-US" w:eastAsia="zh-CN"/>
        </w:rPr>
      </w:pPr>
      <w:r>
        <w:rPr>
          <w:rFonts w:hint="eastAsia"/>
          <w:b/>
          <w:bCs/>
          <w:spacing w:val="-1"/>
          <w:sz w:val="24"/>
          <w:szCs w:val="24"/>
          <w:lang w:val="en-US" w:eastAsia="zh-CN"/>
        </w:rPr>
        <w:t>9. 响应范围、竞争性磋商文件中计量单位的使用及磋商语言</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9.1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9.2除竞争性磋商文件有特殊要求外，本项目磋商所使用的计量单位，应采用中华人民共和国法定计量单位。</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9.3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8" w:firstLineChars="200"/>
        <w:textAlignment w:val="baseline"/>
        <w:rPr>
          <w:rFonts w:hint="eastAsia"/>
          <w:spacing w:val="-1"/>
          <w:sz w:val="24"/>
          <w:szCs w:val="24"/>
          <w:lang w:val="en-US" w:eastAsia="zh-CN"/>
        </w:rPr>
      </w:pPr>
      <w:r>
        <w:rPr>
          <w:rFonts w:hint="eastAsia"/>
          <w:b/>
          <w:bCs/>
          <w:spacing w:val="-1"/>
          <w:sz w:val="24"/>
          <w:szCs w:val="24"/>
          <w:lang w:val="en-US" w:eastAsia="zh-CN"/>
        </w:rPr>
        <w:t>10.响应文件构成</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10.1供应商应当按照竞争性磋商文件的要求编制响应文件，并对其提交的响应文件的真实性、合法性承担法律责任。响应文件的部分格式要求，见第六章《响应文件格式》。</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10.2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 xml:space="preserve">10.3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企业电子营业执照生成并在截止时间前上传其加密版本，</w:t>
      </w:r>
      <w:r>
        <w:rPr>
          <w:rFonts w:hint="eastAsia" w:asciiTheme="minorEastAsia" w:hAnsiTheme="minorEastAsia" w:eastAsiaTheme="minorEastAsia" w:cstheme="minorEastAsia"/>
          <w:sz w:val="24"/>
          <w:szCs w:val="24"/>
          <w:lang w:val="en-US" w:eastAsia="zh-CN"/>
        </w:rPr>
        <w:t>根据磋商文件中规定的下载平台要求，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《电子营业执照应用平台系统操作手册-投标单位》。</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10.4</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10.6</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10.7</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11.报价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11.1 </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均以人民币报价。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11.2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 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磋商文件</w:t>
      </w:r>
      <w:r>
        <w:rPr>
          <w:rFonts w:hint="eastAsia" w:asciiTheme="minorEastAsia" w:hAnsiTheme="minorEastAsia" w:eastAsiaTheme="minorEastAsia" w:cstheme="minorEastAsia"/>
          <w:sz w:val="24"/>
          <w:szCs w:val="24"/>
        </w:rPr>
        <w:t>中有特殊规定的，从其规定。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11.2.1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11.2.2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采购人不得向供应商索要或者接受其给予的赠品、回扣或者与采购无关的其他商品、服务。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pPr>
        <w:keepNext w:val="0"/>
        <w:keepLines w:val="0"/>
        <w:pageBreakBefore w:val="0"/>
        <w:widowControl/>
        <w:kinsoku/>
        <w:wordWrap/>
        <w:overflowPunct/>
        <w:topLinePunct w:val="0"/>
        <w:autoSpaceDE/>
        <w:autoSpaceDN/>
        <w:bidi w:val="0"/>
        <w:adjustRightInd/>
        <w:snapToGrid/>
        <w:spacing w:after="0" w:line="360" w:lineRule="auto"/>
        <w:ind w:firstLine="476" w:firstLineChars="200"/>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11.5本项目将按供应商所提交的单价和总价来支付本项目所需的费用。对供应商没有填写单价和总价的内容,将被认为这些项目费用已包括在报价中。</w:t>
      </w:r>
    </w:p>
    <w:p>
      <w:pPr>
        <w:keepNext w:val="0"/>
        <w:keepLines w:val="0"/>
        <w:pageBreakBefore w:val="0"/>
        <w:widowControl/>
        <w:kinsoku/>
        <w:wordWrap/>
        <w:overflowPunct/>
        <w:topLinePunct w:val="0"/>
        <w:autoSpaceDE/>
        <w:autoSpaceDN/>
        <w:bidi w:val="0"/>
        <w:adjustRightInd/>
        <w:snapToGrid/>
        <w:spacing w:after="0" w:line="360" w:lineRule="auto"/>
        <w:ind w:firstLine="476" w:firstLineChars="200"/>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11.6磋商结束，供应商进行网上最终报价。</w:t>
      </w:r>
    </w:p>
    <w:p>
      <w:pPr>
        <w:keepNext w:val="0"/>
        <w:keepLines w:val="0"/>
        <w:pageBreakBefore w:val="0"/>
        <w:widowControl/>
        <w:kinsoku/>
        <w:wordWrap/>
        <w:overflowPunct/>
        <w:topLinePunct w:val="0"/>
        <w:autoSpaceDE/>
        <w:autoSpaceDN/>
        <w:bidi w:val="0"/>
        <w:adjustRightInd/>
        <w:snapToGrid/>
        <w:spacing w:after="0" w:line="360" w:lineRule="auto"/>
        <w:ind w:firstLine="476" w:firstLineChars="200"/>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11.7本次采购设有预算，供应商最终报价超过预算的，磋商小组将不予评议。</w:t>
      </w:r>
    </w:p>
    <w:p>
      <w:pPr>
        <w:keepNext w:val="0"/>
        <w:keepLines w:val="0"/>
        <w:pageBreakBefore w:val="0"/>
        <w:widowControl/>
        <w:kinsoku/>
        <w:wordWrap/>
        <w:overflowPunct/>
        <w:topLinePunct w:val="0"/>
        <w:autoSpaceDE/>
        <w:autoSpaceDN/>
        <w:bidi w:val="0"/>
        <w:adjustRightInd/>
        <w:snapToGrid/>
        <w:spacing w:after="0" w:line="360" w:lineRule="auto"/>
        <w:ind w:firstLine="476" w:firstLineChars="200"/>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11.8供应商的所有报价不得低于成本恶意竞争。</w:t>
      </w:r>
    </w:p>
    <w:p>
      <w:pPr>
        <w:keepNext w:val="0"/>
        <w:keepLines w:val="0"/>
        <w:pageBreakBefore w:val="0"/>
        <w:widowControl/>
        <w:kinsoku/>
        <w:wordWrap/>
        <w:overflowPunct/>
        <w:topLinePunct w:val="0"/>
        <w:autoSpaceDE/>
        <w:autoSpaceDN/>
        <w:bidi w:val="0"/>
        <w:adjustRightInd/>
        <w:snapToGrid/>
        <w:spacing w:after="0" w:line="360" w:lineRule="auto"/>
        <w:ind w:firstLine="478" w:firstLineChars="200"/>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12.响应有效期</w:t>
      </w:r>
    </w:p>
    <w:p>
      <w:pPr>
        <w:keepNext w:val="0"/>
        <w:keepLines w:val="0"/>
        <w:pageBreakBefore w:val="0"/>
        <w:widowControl/>
        <w:kinsoku/>
        <w:wordWrap/>
        <w:overflowPunct/>
        <w:topLinePunct w:val="0"/>
        <w:autoSpaceDE/>
        <w:autoSpaceDN/>
        <w:bidi w:val="0"/>
        <w:adjustRightInd/>
        <w:snapToGrid/>
        <w:spacing w:after="0" w:line="360" w:lineRule="auto"/>
        <w:ind w:firstLine="476" w:firstLineChars="200"/>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pPr>
        <w:keepNext w:val="0"/>
        <w:keepLines w:val="0"/>
        <w:pageBreakBefore w:val="0"/>
        <w:widowControl/>
        <w:kinsoku/>
        <w:wordWrap/>
        <w:overflowPunct/>
        <w:topLinePunct w:val="0"/>
        <w:autoSpaceDE/>
        <w:autoSpaceDN/>
        <w:bidi w:val="0"/>
        <w:adjustRightInd/>
        <w:snapToGrid/>
        <w:spacing w:after="0" w:line="360" w:lineRule="auto"/>
        <w:ind w:firstLine="476" w:firstLineChars="200"/>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12.2、特别情况下，采购代理机构、采购人可于响应有效期满之前要求供应商同意延长有效期，要求与答复均为书面形式。供应商可以拒绝上述要求。对于同意该要求的供应商，既不要求也不允许其修改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13.响应</w:t>
      </w:r>
      <w:r>
        <w:rPr>
          <w:rFonts w:hint="eastAsia" w:asciiTheme="minorEastAsia" w:hAnsiTheme="minorEastAsia" w:eastAsiaTheme="minorEastAsia" w:cstheme="minorEastAsia"/>
          <w:b/>
          <w:bCs/>
          <w:sz w:val="24"/>
          <w:szCs w:val="24"/>
        </w:rPr>
        <w:t>文件的签署、盖章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 电子响应文件必须在规定签章处电子签章或手写签字后扫描上传进响应文件。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 竞争性磋商文件要求盖章的内容，一般通过CA或电子营业执照加盖电子签章。</w:t>
      </w:r>
    </w:p>
    <w:p>
      <w:pPr>
        <w:pStyle w:val="4"/>
        <w:spacing w:before="122" w:line="190" w:lineRule="auto"/>
        <w:ind w:left="3239"/>
        <w:rPr>
          <w:spacing w:val="-4"/>
          <w:sz w:val="28"/>
          <w:szCs w:val="28"/>
          <w14:textOutline w14:w="1800" w14:cap="flat" w14:cmpd="sng">
            <w14:solidFill>
              <w14:srgbClr w14:val="000000"/>
            </w14:solidFill>
            <w14:prstDash w14:val="solid"/>
            <w14:miter w14:val="0"/>
          </w14:textOutline>
        </w:rPr>
      </w:pPr>
    </w:p>
    <w:p>
      <w:pPr>
        <w:pStyle w:val="4"/>
        <w:spacing w:before="122" w:line="190" w:lineRule="auto"/>
        <w:ind w:left="3239"/>
        <w:rPr>
          <w:spacing w:val="-4"/>
          <w:sz w:val="28"/>
          <w:szCs w:val="28"/>
          <w14:textOutline w14:w="1800" w14:cap="flat" w14:cmpd="sng">
            <w14:solidFill>
              <w14:srgbClr w14:val="000000"/>
            </w14:solidFill>
            <w14:prstDash w14:val="solid"/>
            <w14:miter w14:val="0"/>
          </w14:textOutline>
        </w:rPr>
      </w:pPr>
    </w:p>
    <w:p>
      <w:pPr>
        <w:pStyle w:val="4"/>
        <w:spacing w:before="122" w:line="190" w:lineRule="auto"/>
        <w:jc w:val="center"/>
        <w:rPr>
          <w:rFonts w:ascii="Arial Unicode MS" w:hAnsi="Arial Unicode MS" w:eastAsia="Arial Unicode MS" w:cs="Arial Unicode MS"/>
          <w:sz w:val="28"/>
          <w:szCs w:val="28"/>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napToGrid w:val="0"/>
          <w:color w:val="000000"/>
          <w:spacing w:val="-1"/>
          <w:kern w:val="0"/>
          <w:sz w:val="24"/>
          <w:szCs w:val="24"/>
          <w:lang w:val="en-US" w:eastAsia="zh-CN" w:bidi="ar-SA"/>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8" w:firstLineChars="200"/>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14.响应文件的提交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电子响应文件的提交是指使用南阳市公共资源交易中心网上交易系统或南阳市公共资源电子营业执照应用平台系统在上传截止时间前完成制作软件生成的加密电子响应文件的上传。未在上传截止时间前完成上传的，视为逾期提交。逾期提交的响应文件不予受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8" w:firstLineChars="200"/>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15.响应文件上传截止时间</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92" w:firstLineChars="200"/>
        <w:jc w:val="left"/>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15.1 供应商应在竞争性磋商文件要求响应文件上传截止时间前，将电子响应文件提交至电子交易平台。</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94" w:firstLineChars="200"/>
        <w:jc w:val="left"/>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16.响应文件的修改与撤回</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16.1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p>
    <w:p>
      <w:pPr>
        <w:spacing w:line="256" w:lineRule="auto"/>
        <w:rPr>
          <w:rFonts w:ascii="Arial"/>
          <w:sz w:val="21"/>
        </w:rPr>
      </w:pPr>
    </w:p>
    <w:p>
      <w:pPr>
        <w:pStyle w:val="4"/>
        <w:spacing w:before="353" w:line="219" w:lineRule="auto"/>
        <w:jc w:val="center"/>
        <w:rPr>
          <w:sz w:val="36"/>
          <w:szCs w:val="36"/>
          <w14:textOutline w14:w="2306" w14:cap="flat" w14:cmpd="sng">
            <w14:solidFill>
              <w14:srgbClr w14:val="000000"/>
            </w14:solidFill>
            <w14:prstDash w14:val="solid"/>
            <w14:miter w14:val="0"/>
          </w14:textOutline>
        </w:rPr>
      </w:pPr>
    </w:p>
    <w:p>
      <w:pPr>
        <w:pStyle w:val="4"/>
        <w:spacing w:before="353" w:line="219" w:lineRule="auto"/>
        <w:jc w:val="center"/>
        <w:rPr>
          <w:sz w:val="36"/>
          <w:szCs w:val="36"/>
          <w14:textOutline w14:w="2306" w14:cap="flat" w14:cmpd="sng">
            <w14:solidFill>
              <w14:srgbClr w14:val="000000"/>
            </w14:solidFill>
            <w14:prstDash w14:val="solid"/>
            <w14:miter w14:val="0"/>
          </w14:textOutline>
        </w:rPr>
      </w:pPr>
    </w:p>
    <w:p>
      <w:pPr>
        <w:pStyle w:val="4"/>
        <w:spacing w:before="353" w:line="219" w:lineRule="auto"/>
        <w:jc w:val="center"/>
        <w:rPr>
          <w:sz w:val="36"/>
          <w:szCs w:val="36"/>
          <w14:textOutline w14:w="2306" w14:cap="flat" w14:cmpd="sng">
            <w14:solidFill>
              <w14:srgbClr w14:val="000000"/>
            </w14:solidFill>
            <w14:prstDash w14:val="solid"/>
            <w14:miter w14:val="0"/>
          </w14:textOutline>
        </w:rPr>
      </w:pPr>
    </w:p>
    <w:p>
      <w:pPr>
        <w:pStyle w:val="4"/>
        <w:spacing w:before="353" w:line="219" w:lineRule="auto"/>
        <w:jc w:val="center"/>
        <w:rPr>
          <w:sz w:val="36"/>
          <w:szCs w:val="36"/>
          <w14:textOutline w14:w="2306" w14:cap="flat" w14:cmpd="sng">
            <w14:solidFill>
              <w14:srgbClr w14:val="000000"/>
            </w14:solidFill>
            <w14:prstDash w14:val="solid"/>
            <w14:miter w14:val="0"/>
          </w14:textOutline>
        </w:rPr>
      </w:pPr>
    </w:p>
    <w:p>
      <w:pPr>
        <w:pStyle w:val="4"/>
        <w:spacing w:before="353" w:line="219" w:lineRule="auto"/>
        <w:jc w:val="center"/>
        <w:rPr>
          <w:sz w:val="36"/>
          <w:szCs w:val="36"/>
          <w14:textOutline w14:w="2306" w14:cap="flat" w14:cmpd="sng">
            <w14:solidFill>
              <w14:srgbClr w14:val="000000"/>
            </w14:solidFill>
            <w14:prstDash w14:val="solid"/>
            <w14:miter w14:val="0"/>
          </w14:textOutline>
        </w:rPr>
      </w:pPr>
    </w:p>
    <w:p>
      <w:pPr>
        <w:pStyle w:val="4"/>
        <w:spacing w:before="353" w:line="219" w:lineRule="auto"/>
        <w:jc w:val="center"/>
        <w:rPr>
          <w:sz w:val="36"/>
          <w:szCs w:val="36"/>
          <w14:textOutline w14:w="2306" w14:cap="flat" w14:cmpd="sng">
            <w14:solidFill>
              <w14:srgbClr w14:val="000000"/>
            </w14:solidFill>
            <w14:prstDash w14:val="solid"/>
            <w14:miter w14:val="0"/>
          </w14:textOutline>
        </w:rPr>
      </w:pPr>
    </w:p>
    <w:p>
      <w:pPr>
        <w:pStyle w:val="4"/>
        <w:spacing w:before="353" w:line="219" w:lineRule="auto"/>
        <w:jc w:val="center"/>
        <w:rPr>
          <w:sz w:val="36"/>
          <w:szCs w:val="36"/>
          <w14:textOutline w14:w="2306" w14:cap="flat" w14:cmpd="sng">
            <w14:solidFill>
              <w14:srgbClr w14:val="000000"/>
            </w14:solidFill>
            <w14:prstDash w14:val="solid"/>
            <w14:miter w14:val="0"/>
          </w14:textOutline>
        </w:rPr>
      </w:pPr>
    </w:p>
    <w:p>
      <w:pPr>
        <w:pStyle w:val="4"/>
        <w:spacing w:before="353" w:line="219" w:lineRule="auto"/>
        <w:jc w:val="center"/>
        <w:rPr>
          <w:sz w:val="36"/>
          <w:szCs w:val="36"/>
          <w14:textOutline w14:w="2306" w14:cap="flat" w14:cmpd="sng">
            <w14:solidFill>
              <w14:srgbClr w14:val="000000"/>
            </w14:solidFill>
            <w14:prstDash w14:val="solid"/>
            <w14:miter w14:val="0"/>
          </w14:textOutline>
        </w:rPr>
      </w:pPr>
    </w:p>
    <w:p>
      <w:pPr>
        <w:pStyle w:val="4"/>
        <w:spacing w:before="353" w:line="219" w:lineRule="auto"/>
        <w:jc w:val="center"/>
        <w:rPr>
          <w:sz w:val="36"/>
          <w:szCs w:val="36"/>
          <w14:textOutline w14:w="2306" w14:cap="flat" w14:cmpd="sng">
            <w14:solidFill>
              <w14:srgbClr w14:val="000000"/>
            </w14:solidFill>
            <w14:prstDash w14:val="solid"/>
            <w14:miter w14:val="0"/>
          </w14:textOutline>
        </w:rPr>
      </w:pPr>
    </w:p>
    <w:p>
      <w:pPr>
        <w:pStyle w:val="4"/>
        <w:spacing w:before="353" w:line="219" w:lineRule="auto"/>
        <w:jc w:val="center"/>
        <w:rPr>
          <w:sz w:val="36"/>
          <w:szCs w:val="36"/>
          <w14:textOutline w14:w="2306" w14:cap="flat" w14:cmpd="sng">
            <w14:solidFill>
              <w14:srgbClr w14:val="000000"/>
            </w14:solidFill>
            <w14:prstDash w14:val="solid"/>
            <w14:miter w14:val="0"/>
          </w14:textOutline>
        </w:rPr>
      </w:pPr>
    </w:p>
    <w:p>
      <w:pPr>
        <w:pStyle w:val="4"/>
        <w:spacing w:before="353" w:line="219" w:lineRule="auto"/>
        <w:jc w:val="both"/>
        <w:rPr>
          <w:sz w:val="36"/>
          <w:szCs w:val="36"/>
          <w14:textOutline w14:w="2306" w14:cap="flat" w14:cmpd="sng">
            <w14:solidFill>
              <w14:srgbClr w14:val="000000"/>
            </w14:solidFill>
            <w14:prstDash w14:val="solid"/>
            <w14:miter w14:val="0"/>
          </w14:textOutline>
        </w:rPr>
      </w:pPr>
    </w:p>
    <w:p>
      <w:pPr>
        <w:pStyle w:val="4"/>
        <w:spacing w:before="353" w:line="219" w:lineRule="auto"/>
        <w:jc w:val="center"/>
        <w:rPr>
          <w:sz w:val="36"/>
          <w:szCs w:val="36"/>
          <w14:textOutline w14:w="2306" w14:cap="flat" w14:cmpd="sng">
            <w14:solidFill>
              <w14:srgbClr w14:val="000000"/>
            </w14:solidFill>
            <w14:prstDash w14:val="solid"/>
            <w14:miter w14:val="0"/>
          </w14:textOutline>
        </w:rPr>
      </w:pPr>
      <w:r>
        <w:rPr>
          <w:sz w:val="36"/>
          <w:szCs w:val="36"/>
          <w14:textOutline w14:w="2306" w14:cap="flat" w14:cmpd="sng">
            <w14:solidFill>
              <w14:srgbClr w14:val="000000"/>
            </w14:solidFill>
            <w14:prstDash w14:val="solid"/>
            <w14:miter w14:val="0"/>
          </w14:textOutline>
        </w:rPr>
        <w:t>第</w:t>
      </w:r>
      <w:r>
        <w:rPr>
          <w:rFonts w:hint="eastAsia"/>
          <w:sz w:val="36"/>
          <w:szCs w:val="36"/>
          <w:lang w:val="en-US" w:eastAsia="zh-CN"/>
          <w14:textOutline w14:w="2306" w14:cap="flat" w14:cmpd="sng">
            <w14:solidFill>
              <w14:srgbClr w14:val="000000"/>
            </w14:solidFill>
            <w14:prstDash w14:val="solid"/>
            <w14:miter w14:val="0"/>
          </w14:textOutline>
        </w:rPr>
        <w:t>四</w:t>
      </w:r>
      <w:r>
        <w:rPr>
          <w:sz w:val="36"/>
          <w:szCs w:val="36"/>
          <w14:textOutline w14:w="2306" w14:cap="flat" w14:cmpd="sng">
            <w14:solidFill>
              <w14:srgbClr w14:val="000000"/>
            </w14:solidFill>
            <w14:prstDash w14:val="solid"/>
            <w14:miter w14:val="0"/>
          </w14:textOutline>
        </w:rPr>
        <w:t xml:space="preserve">章   </w:t>
      </w:r>
      <w:r>
        <w:rPr>
          <w:rFonts w:hint="eastAsia"/>
          <w:sz w:val="36"/>
          <w:szCs w:val="36"/>
          <w14:textOutline w14:w="2306" w14:cap="flat" w14:cmpd="sng">
            <w14:solidFill>
              <w14:srgbClr w14:val="000000"/>
            </w14:solidFill>
            <w14:prstDash w14:val="solid"/>
            <w14:miter w14:val="0"/>
          </w14:textOutline>
        </w:rPr>
        <w:t>评</w:t>
      </w:r>
      <w:r>
        <w:rPr>
          <w:rFonts w:hint="eastAsia"/>
          <w:sz w:val="36"/>
          <w:szCs w:val="36"/>
          <w:lang w:val="en-US" w:eastAsia="zh-CN"/>
          <w14:textOutline w14:w="2306" w14:cap="flat" w14:cmpd="sng">
            <w14:solidFill>
              <w14:srgbClr w14:val="000000"/>
            </w14:solidFill>
            <w14:prstDash w14:val="solid"/>
            <w14:miter w14:val="0"/>
          </w14:textOutline>
        </w:rPr>
        <w:t>审</w:t>
      </w:r>
      <w:r>
        <w:rPr>
          <w:rFonts w:hint="eastAsia"/>
          <w:sz w:val="36"/>
          <w:szCs w:val="36"/>
          <w14:textOutline w14:w="2306" w14:cap="flat" w14:cmpd="sng">
            <w14:solidFill>
              <w14:srgbClr w14:val="000000"/>
            </w14:solidFill>
            <w14:prstDash w14:val="solid"/>
            <w14:miter w14:val="0"/>
          </w14:textOutline>
        </w:rPr>
        <w:t>程序、</w:t>
      </w:r>
      <w:r>
        <w:rPr>
          <w:sz w:val="36"/>
          <w:szCs w:val="36"/>
          <w14:textOutline w14:w="2306" w14:cap="flat" w14:cmpd="sng">
            <w14:solidFill>
              <w14:srgbClr w14:val="000000"/>
            </w14:solidFill>
            <w14:prstDash w14:val="solid"/>
            <w14:miter w14:val="0"/>
          </w14:textOutline>
        </w:rPr>
        <w:t>评审方法和评审标准</w:t>
      </w:r>
    </w:p>
    <w:p>
      <w:pPr>
        <w:pStyle w:val="4"/>
        <w:spacing w:before="256" w:line="220" w:lineRule="auto"/>
        <w:ind w:left="3702"/>
        <w:outlineLvl w:val="1"/>
        <w:rPr>
          <w:spacing w:val="-2"/>
          <w:sz w:val="24"/>
          <w:szCs w:val="24"/>
          <w14:textOutline w14:w="1537" w14:cap="flat" w14:cmpd="sng">
            <w14:solidFill>
              <w14:srgbClr w14:val="000000"/>
            </w14:solidFill>
            <w14:prstDash w14:val="solid"/>
            <w14:miter w14:val="0"/>
          </w14:textOutline>
        </w:rPr>
      </w:pP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一、编制、确认竞争性磋商文件</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根据采购项目特点和采购实际需求编制竞争性磋商文件，编制的竞争性磋商文件应由采购人审核并确认。</w:t>
      </w:r>
    </w:p>
    <w:p>
      <w:pPr>
        <w:tabs>
          <w:tab w:val="left" w:pos="743"/>
        </w:tabs>
        <w:spacing w:after="0"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 xml:space="preserve">    </w:t>
      </w:r>
    </w:p>
    <w:p>
      <w:pPr>
        <w:keepNext w:val="0"/>
        <w:keepLines w:val="0"/>
        <w:pageBreakBefore w:val="0"/>
        <w:widowControl/>
        <w:tabs>
          <w:tab w:val="left" w:pos="743"/>
        </w:tabs>
        <w:kinsoku w:val="0"/>
        <w:wordWrap/>
        <w:overflowPunct/>
        <w:topLinePunct w:val="0"/>
        <w:autoSpaceDE w:val="0"/>
        <w:autoSpaceDN w:val="0"/>
        <w:bidi w:val="0"/>
        <w:adjustRightInd w:val="0"/>
        <w:snapToGrid w:val="0"/>
        <w:spacing w:after="0" w:line="360" w:lineRule="auto"/>
        <w:ind w:firstLine="494" w:firstLineChars="200"/>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二、发布竞争性磋商公告，邀请供应商参加磋商</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竞争性磋商文件经采购人书面确认后，将在指定媒体和南阳市公共资源交易中心网发布竞争性磋商公告。供应商按照公告和竞争性磋商文件要求制作并递交响应文件。</w:t>
      </w:r>
    </w:p>
    <w:p>
      <w:pPr>
        <w:spacing w:after="0" w:line="360" w:lineRule="auto"/>
        <w:ind w:firstLine="480"/>
        <w:rPr>
          <w:rFonts w:hint="eastAsia" w:asciiTheme="minorEastAsia" w:hAnsiTheme="minorEastAsia" w:eastAsiaTheme="minorEastAsia" w:cstheme="minorEastAsia"/>
          <w:snapToGrid w:val="0"/>
          <w:color w:val="000000"/>
          <w:spacing w:val="3"/>
          <w:kern w:val="0"/>
          <w:sz w:val="24"/>
          <w:szCs w:val="24"/>
          <w:lang w:val="en-US" w:eastAsia="zh-CN" w:bidi="ar-SA"/>
        </w:rPr>
      </w:pPr>
    </w:p>
    <w:p>
      <w:pPr>
        <w:spacing w:after="0" w:line="360" w:lineRule="auto"/>
        <w:ind w:firstLine="480"/>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三、组建磋商小组</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竞争性磋商小组负责对响应文件进行评审、质疑、评估、比较、评分，组织磋商和最后报价。</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评审专家应当严格遵守评审工作纪律，按照客观、公正、审慎的原则，根据磋商文件规定的评审程序、评审方法和评审标准进行独立评审。</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pPr>
        <w:spacing w:after="0" w:line="360" w:lineRule="auto"/>
        <w:ind w:firstLine="492" w:firstLineChars="200"/>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 号)的规定，发放劳务报酬。</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94" w:firstLineChars="200"/>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pStyle w:val="9"/>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94"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outlineLvl w:val="1"/>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或电子营业执照扫码进行加密，供应商在解密前须自行检查CA或电子营业执照的有效性。解密时未在开启响应文件时间后30分钟内进行解密成功的视为撤销其响应文件（因电子开标系统原因除外）。</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94" w:firstLineChars="200"/>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94"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92"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磋商小组对供应商提交的响应文件进行评审。主要对响应文件的有效性、完整性和响应程度进行审查，具体包括：</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92"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1.资格性审查。</w:t>
      </w:r>
    </w:p>
    <w:tbl>
      <w:tblPr>
        <w:tblStyle w:val="13"/>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4065"/>
        <w:gridCol w:w="34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pPr>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0" w:type="dxa"/>
            <w:vAlign w:val="top"/>
          </w:tcPr>
          <w:p>
            <w:pPr>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4065" w:type="dxa"/>
            <w:vAlign w:val="top"/>
          </w:tcPr>
          <w:p>
            <w:pPr>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3449" w:type="dxa"/>
            <w:vAlign w:val="top"/>
          </w:tcPr>
          <w:p>
            <w:pPr>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9" w:type="dxa"/>
            <w:vAlign w:val="center"/>
          </w:tcPr>
          <w:p>
            <w:pPr>
              <w:pStyle w:val="14"/>
              <w:spacing w:line="454" w:lineRule="auto"/>
              <w:jc w:val="center"/>
              <w:rPr>
                <w:rFonts w:hint="eastAsia" w:asciiTheme="minorEastAsia" w:hAnsiTheme="minorEastAsia" w:eastAsiaTheme="minorEastAsia" w:cstheme="minorEastAsia"/>
              </w:rPr>
            </w:pPr>
          </w:p>
          <w:p>
            <w:pPr>
              <w:pStyle w:val="14"/>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0" w:type="dxa"/>
            <w:vAlign w:val="center"/>
          </w:tcPr>
          <w:p>
            <w:pPr>
              <w:spacing w:before="32" w:line="232" w:lineRule="auto"/>
              <w:ind w:left="112" w:right="10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4065" w:type="dxa"/>
            <w:vAlign w:val="top"/>
          </w:tcPr>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color w:val="FF0000"/>
                <w:spacing w:val="-2"/>
                <w:sz w:val="24"/>
                <w:szCs w:val="24"/>
                <w:lang w:val="en-US" w:eastAsia="zh-CN"/>
              </w:rPr>
              <w:t>2021</w:t>
            </w:r>
            <w:r>
              <w:rPr>
                <w:rFonts w:hint="eastAsia" w:asciiTheme="minorEastAsia" w:hAnsiTheme="minorEastAsia" w:eastAsiaTheme="minorEastAsia" w:cstheme="minorEastAsia"/>
                <w:spacing w:val="-2"/>
                <w:sz w:val="24"/>
                <w:szCs w:val="24"/>
                <w:lang w:val="en-US" w:eastAsia="zh-CN"/>
              </w:rPr>
              <w:t>年以来在经营活动中没有重大违法记录；</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3449" w:type="dxa"/>
            <w:vAlign w:val="top"/>
          </w:tcPr>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pPr>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pPr>
              <w:pStyle w:val="14"/>
              <w:spacing w:before="137" w:line="201" w:lineRule="auto"/>
              <w:ind w:left="24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50" w:type="dxa"/>
            <w:vAlign w:val="top"/>
          </w:tcPr>
          <w:p>
            <w:pPr>
              <w:spacing w:before="116" w:line="221" w:lineRule="auto"/>
              <w:ind w:left="13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4065" w:type="dxa"/>
            <w:vAlign w:val="top"/>
          </w:tcPr>
          <w:p>
            <w:pPr>
              <w:spacing w:before="116" w:line="219" w:lineRule="auto"/>
              <w:ind w:left="1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3449" w:type="dxa"/>
            <w:vAlign w:val="top"/>
          </w:tcPr>
          <w:p>
            <w:pPr>
              <w:pStyle w:val="14"/>
              <w:rPr>
                <w:rFonts w:hint="eastAsia" w:asciiTheme="minorEastAsia" w:hAnsiTheme="minorEastAsia" w:eastAsiaTheme="minorEastAsia" w:cs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pPr>
              <w:pStyle w:val="14"/>
              <w:spacing w:line="258" w:lineRule="auto"/>
              <w:rPr>
                <w:rFonts w:hint="eastAsia" w:asciiTheme="minorEastAsia" w:hAnsiTheme="minorEastAsia" w:eastAsiaTheme="minorEastAsia" w:cstheme="minorEastAsia"/>
              </w:rPr>
            </w:pPr>
          </w:p>
          <w:p>
            <w:pPr>
              <w:pStyle w:val="14"/>
              <w:spacing w:line="258" w:lineRule="auto"/>
              <w:rPr>
                <w:rFonts w:hint="eastAsia" w:asciiTheme="minorEastAsia" w:hAnsiTheme="minorEastAsia" w:eastAsiaTheme="minorEastAsia" w:cstheme="minorEastAsia"/>
              </w:rPr>
            </w:pPr>
          </w:p>
          <w:p>
            <w:pPr>
              <w:pStyle w:val="14"/>
              <w:spacing w:line="258" w:lineRule="auto"/>
              <w:rPr>
                <w:rFonts w:hint="eastAsia" w:asciiTheme="minorEastAsia" w:hAnsiTheme="minorEastAsia" w:eastAsiaTheme="minorEastAsia" w:cstheme="minorEastAsia"/>
              </w:rPr>
            </w:pPr>
          </w:p>
          <w:p>
            <w:pPr>
              <w:pStyle w:val="14"/>
              <w:spacing w:line="258" w:lineRule="auto"/>
              <w:rPr>
                <w:rFonts w:hint="eastAsia" w:asciiTheme="minorEastAsia" w:hAnsiTheme="minorEastAsia" w:eastAsiaTheme="minorEastAsia" w:cstheme="minorEastAsia"/>
              </w:rPr>
            </w:pPr>
          </w:p>
          <w:p>
            <w:pPr>
              <w:pStyle w:val="14"/>
              <w:spacing w:line="258" w:lineRule="auto"/>
              <w:rPr>
                <w:rFonts w:hint="eastAsia" w:asciiTheme="minorEastAsia" w:hAnsiTheme="minorEastAsia" w:eastAsiaTheme="minorEastAsia" w:cstheme="minorEastAsia"/>
              </w:rPr>
            </w:pPr>
          </w:p>
          <w:p>
            <w:pPr>
              <w:pStyle w:val="14"/>
              <w:spacing w:line="259" w:lineRule="auto"/>
              <w:rPr>
                <w:rFonts w:hint="eastAsia" w:asciiTheme="minorEastAsia" w:hAnsiTheme="minorEastAsia" w:eastAsiaTheme="minorEastAsia" w:cstheme="minorEastAsia"/>
              </w:rPr>
            </w:pPr>
          </w:p>
          <w:p>
            <w:pPr>
              <w:pStyle w:val="14"/>
              <w:spacing w:line="259" w:lineRule="auto"/>
              <w:rPr>
                <w:rFonts w:hint="eastAsia" w:asciiTheme="minorEastAsia" w:hAnsiTheme="minorEastAsia" w:eastAsiaTheme="minorEastAsia" w:cstheme="minorEastAsia"/>
              </w:rPr>
            </w:pPr>
          </w:p>
          <w:p>
            <w:pPr>
              <w:pStyle w:val="14"/>
              <w:spacing w:line="259" w:lineRule="auto"/>
              <w:rPr>
                <w:rFonts w:hint="eastAsia" w:asciiTheme="minorEastAsia" w:hAnsiTheme="minorEastAsia" w:eastAsiaTheme="minorEastAsia" w:cstheme="minorEastAsia"/>
              </w:rPr>
            </w:pPr>
          </w:p>
          <w:p>
            <w:pPr>
              <w:pStyle w:val="14"/>
              <w:spacing w:line="259" w:lineRule="auto"/>
              <w:rPr>
                <w:rFonts w:hint="eastAsia" w:asciiTheme="minorEastAsia" w:hAnsiTheme="minorEastAsia" w:eastAsiaTheme="minorEastAsia" w:cstheme="minorEastAsia"/>
              </w:rPr>
            </w:pPr>
          </w:p>
          <w:p>
            <w:pPr>
              <w:pStyle w:val="14"/>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0" w:type="dxa"/>
            <w:vAlign w:val="top"/>
          </w:tcPr>
          <w:p>
            <w:pPr>
              <w:pStyle w:val="14"/>
              <w:spacing w:line="253" w:lineRule="auto"/>
              <w:rPr>
                <w:rFonts w:hint="eastAsia" w:asciiTheme="minorEastAsia" w:hAnsiTheme="minorEastAsia" w:eastAsiaTheme="minorEastAsia" w:cstheme="minorEastAsia"/>
              </w:rPr>
            </w:pPr>
          </w:p>
          <w:p>
            <w:pPr>
              <w:pStyle w:val="14"/>
              <w:spacing w:line="253" w:lineRule="auto"/>
              <w:rPr>
                <w:rFonts w:hint="eastAsia" w:asciiTheme="minorEastAsia" w:hAnsiTheme="minorEastAsia" w:eastAsiaTheme="minorEastAsia" w:cstheme="minorEastAsia"/>
              </w:rPr>
            </w:pPr>
          </w:p>
          <w:p>
            <w:pPr>
              <w:pStyle w:val="14"/>
              <w:spacing w:line="253" w:lineRule="auto"/>
              <w:rPr>
                <w:rFonts w:hint="eastAsia" w:asciiTheme="minorEastAsia" w:hAnsiTheme="minorEastAsia" w:eastAsiaTheme="minorEastAsia" w:cstheme="minorEastAsia"/>
              </w:rPr>
            </w:pPr>
          </w:p>
          <w:p>
            <w:pPr>
              <w:pStyle w:val="14"/>
              <w:spacing w:line="253" w:lineRule="auto"/>
              <w:rPr>
                <w:rFonts w:hint="eastAsia" w:asciiTheme="minorEastAsia" w:hAnsiTheme="minorEastAsia" w:eastAsiaTheme="minorEastAsia" w:cstheme="minorEastAsia"/>
              </w:rPr>
            </w:pPr>
          </w:p>
          <w:p>
            <w:pPr>
              <w:pStyle w:val="14"/>
              <w:spacing w:line="253" w:lineRule="auto"/>
              <w:rPr>
                <w:rFonts w:hint="eastAsia" w:asciiTheme="minorEastAsia" w:hAnsiTheme="minorEastAsia" w:eastAsiaTheme="minorEastAsia" w:cstheme="minorEastAsia"/>
              </w:rPr>
            </w:pPr>
          </w:p>
          <w:p>
            <w:pPr>
              <w:pStyle w:val="14"/>
              <w:spacing w:line="253" w:lineRule="auto"/>
              <w:rPr>
                <w:rFonts w:hint="eastAsia" w:asciiTheme="minorEastAsia" w:hAnsiTheme="minorEastAsia" w:eastAsiaTheme="minorEastAsia" w:cstheme="minorEastAsia"/>
              </w:rPr>
            </w:pPr>
          </w:p>
          <w:p>
            <w:pPr>
              <w:pStyle w:val="14"/>
              <w:spacing w:line="254" w:lineRule="auto"/>
              <w:rPr>
                <w:rFonts w:hint="eastAsia" w:asciiTheme="minorEastAsia" w:hAnsiTheme="minorEastAsia" w:eastAsiaTheme="minorEastAsia" w:cstheme="minorEastAsia"/>
              </w:rPr>
            </w:pPr>
          </w:p>
          <w:p>
            <w:pPr>
              <w:pStyle w:val="14"/>
              <w:spacing w:line="254" w:lineRule="auto"/>
              <w:rPr>
                <w:rFonts w:hint="eastAsia" w:asciiTheme="minorEastAsia" w:hAnsiTheme="minorEastAsia" w:eastAsiaTheme="minorEastAsia" w:cstheme="minorEastAsia"/>
              </w:rPr>
            </w:pPr>
          </w:p>
          <w:p>
            <w:pPr>
              <w:pStyle w:val="14"/>
              <w:spacing w:line="254" w:lineRule="auto"/>
              <w:rPr>
                <w:rFonts w:hint="eastAsia" w:asciiTheme="minorEastAsia" w:hAnsiTheme="minorEastAsia" w:eastAsiaTheme="minorEastAsia" w:cstheme="minorEastAsia"/>
              </w:rPr>
            </w:pPr>
          </w:p>
          <w:p>
            <w:pPr>
              <w:spacing w:before="78" w:line="229" w:lineRule="auto"/>
              <w:ind w:left="112" w:right="105" w:firstLine="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4065" w:type="dxa"/>
            <w:vAlign w:val="top"/>
          </w:tcPr>
          <w:p>
            <w:pPr>
              <w:spacing w:before="36" w:line="215" w:lineRule="auto"/>
              <w:ind w:left="115" w:right="102" w:firstLine="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pPr>
              <w:pStyle w:val="14"/>
              <w:spacing w:before="4" w:line="220" w:lineRule="auto"/>
              <w:ind w:left="116" w:right="102" w:firstLine="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1"/>
                <w:sz w:val="24"/>
                <w:szCs w:val="24"/>
              </w:rPr>
              <w:t>文件。</w:t>
            </w:r>
          </w:p>
          <w:p>
            <w:pPr>
              <w:pStyle w:val="14"/>
              <w:spacing w:before="20" w:line="236" w:lineRule="auto"/>
              <w:ind w:left="113" w:right="102" w:firstLine="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3449" w:type="dxa"/>
            <w:vAlign w:val="top"/>
          </w:tcPr>
          <w:p>
            <w:pPr>
              <w:pStyle w:val="14"/>
              <w:spacing w:line="253" w:lineRule="auto"/>
              <w:rPr>
                <w:rFonts w:hint="eastAsia" w:asciiTheme="minorEastAsia" w:hAnsiTheme="minorEastAsia" w:eastAsiaTheme="minorEastAsia" w:cstheme="minorEastAsia"/>
              </w:rPr>
            </w:pPr>
          </w:p>
          <w:p>
            <w:pPr>
              <w:pStyle w:val="14"/>
              <w:spacing w:line="253" w:lineRule="auto"/>
              <w:rPr>
                <w:rFonts w:hint="eastAsia" w:asciiTheme="minorEastAsia" w:hAnsiTheme="minorEastAsia" w:eastAsiaTheme="minorEastAsia" w:cstheme="minorEastAsia"/>
              </w:rPr>
            </w:pPr>
          </w:p>
          <w:p>
            <w:pPr>
              <w:pStyle w:val="14"/>
              <w:spacing w:line="253" w:lineRule="auto"/>
              <w:rPr>
                <w:rFonts w:hint="eastAsia" w:asciiTheme="minorEastAsia" w:hAnsiTheme="minorEastAsia" w:eastAsiaTheme="minorEastAsia" w:cstheme="minorEastAsia"/>
              </w:rPr>
            </w:pPr>
          </w:p>
          <w:p>
            <w:pPr>
              <w:pStyle w:val="14"/>
              <w:spacing w:line="253" w:lineRule="auto"/>
              <w:rPr>
                <w:rFonts w:hint="eastAsia" w:asciiTheme="minorEastAsia" w:hAnsiTheme="minorEastAsia" w:eastAsiaTheme="minorEastAsia" w:cstheme="minorEastAsia"/>
              </w:rPr>
            </w:pPr>
          </w:p>
          <w:p>
            <w:pPr>
              <w:pStyle w:val="14"/>
              <w:spacing w:line="253" w:lineRule="auto"/>
              <w:rPr>
                <w:rFonts w:hint="eastAsia" w:asciiTheme="minorEastAsia" w:hAnsiTheme="minorEastAsia" w:eastAsiaTheme="minorEastAsia" w:cstheme="minorEastAsia"/>
              </w:rPr>
            </w:pPr>
          </w:p>
          <w:p>
            <w:pPr>
              <w:pStyle w:val="14"/>
              <w:spacing w:line="253" w:lineRule="auto"/>
              <w:rPr>
                <w:rFonts w:hint="eastAsia" w:asciiTheme="minorEastAsia" w:hAnsiTheme="minorEastAsia" w:eastAsiaTheme="minorEastAsia" w:cstheme="minorEastAsia"/>
              </w:rPr>
            </w:pPr>
          </w:p>
          <w:p>
            <w:pPr>
              <w:pStyle w:val="14"/>
              <w:spacing w:line="254" w:lineRule="auto"/>
              <w:rPr>
                <w:rFonts w:hint="eastAsia" w:asciiTheme="minorEastAsia" w:hAnsiTheme="minorEastAsia" w:eastAsiaTheme="minorEastAsia" w:cstheme="minorEastAsia"/>
              </w:rPr>
            </w:pPr>
          </w:p>
          <w:p>
            <w:pPr>
              <w:pStyle w:val="14"/>
              <w:spacing w:line="254" w:lineRule="auto"/>
              <w:rPr>
                <w:rFonts w:hint="eastAsia" w:asciiTheme="minorEastAsia" w:hAnsiTheme="minorEastAsia" w:eastAsiaTheme="minorEastAsia" w:cstheme="minorEastAsia"/>
              </w:rPr>
            </w:pPr>
          </w:p>
          <w:p>
            <w:pPr>
              <w:pStyle w:val="14"/>
              <w:spacing w:line="254" w:lineRule="auto"/>
              <w:rPr>
                <w:rFonts w:hint="eastAsia" w:asciiTheme="minorEastAsia" w:hAnsiTheme="minorEastAsia" w:eastAsiaTheme="minorEastAsia" w:cstheme="minorEastAsia"/>
              </w:rPr>
            </w:pPr>
          </w:p>
          <w:p>
            <w:pPr>
              <w:spacing w:before="78" w:line="229" w:lineRule="auto"/>
              <w:ind w:left="118" w:right="116" w:hanging="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pPr>
              <w:pStyle w:val="14"/>
              <w:spacing w:before="213" w:line="201" w:lineRule="auto"/>
              <w:ind w:left="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0" w:type="dxa"/>
            <w:vAlign w:val="top"/>
          </w:tcPr>
          <w:p>
            <w:pPr>
              <w:spacing w:before="35" w:line="224" w:lineRule="auto"/>
              <w:ind w:left="113" w:right="1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4065" w:type="dxa"/>
            <w:vAlign w:val="top"/>
          </w:tcPr>
          <w:p>
            <w:pPr>
              <w:spacing w:before="192" w:line="219"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tc>
        <w:tc>
          <w:tcPr>
            <w:tcW w:w="3449" w:type="dxa"/>
            <w:vAlign w:val="top"/>
          </w:tcPr>
          <w:p>
            <w:pPr>
              <w:pStyle w:val="14"/>
              <w:rPr>
                <w:rFonts w:hint="eastAsia" w:asciiTheme="minorEastAsia" w:hAnsiTheme="minorEastAsia" w:eastAsiaTheme="minorEastAsia" w:cstheme="minorEastAsia"/>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lang w:val="en-US" w:eastAsia="zh-CN" w:bidi="ar-SA"/>
        </w:rPr>
        <w:t>。</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是否符合竞争性磋商文件的各项要求。</w:t>
      </w:r>
    </w:p>
    <w:tbl>
      <w:tblPr>
        <w:tblStyle w:val="10"/>
        <w:tblpPr w:leftFromText="180" w:rightFromText="180" w:vertAnchor="text" w:tblpXSpec="center" w:tblpY="1"/>
        <w:tblOverlap w:val="never"/>
        <w:tblW w:w="9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blHeader/>
          <w:jc w:val="center"/>
        </w:trPr>
        <w:tc>
          <w:tcPr>
            <w:tcW w:w="879" w:type="dxa"/>
            <w:noWrap w:val="0"/>
            <w:vAlign w:val="center"/>
          </w:tcPr>
          <w:p>
            <w:pPr>
              <w:jc w:val="center"/>
              <w:rPr>
                <w:rFonts w:hint="eastAsia" w:ascii="宋体" w:hAnsi="宋体" w:cs="宋体"/>
                <w:b/>
                <w:bCs w:val="0"/>
                <w:sz w:val="24"/>
                <w:szCs w:val="24"/>
              </w:rPr>
            </w:pPr>
            <w:r>
              <w:rPr>
                <w:rFonts w:hint="eastAsia" w:ascii="宋体" w:hAnsi="宋体" w:eastAsia="宋体" w:cs="宋体"/>
                <w:b/>
                <w:bCs w:val="0"/>
                <w:sz w:val="24"/>
                <w:szCs w:val="24"/>
                <w:lang w:eastAsia="zh-CN"/>
              </w:rPr>
              <w:t>序</w:t>
            </w:r>
            <w:r>
              <w:rPr>
                <w:rFonts w:hint="eastAsia" w:ascii="宋体" w:hAnsi="宋体" w:cs="宋体"/>
                <w:b/>
                <w:bCs w:val="0"/>
                <w:sz w:val="24"/>
                <w:szCs w:val="24"/>
              </w:rPr>
              <w:t>号</w:t>
            </w:r>
          </w:p>
        </w:tc>
        <w:tc>
          <w:tcPr>
            <w:tcW w:w="3621" w:type="dxa"/>
            <w:noWrap w:val="0"/>
            <w:vAlign w:val="center"/>
          </w:tcPr>
          <w:p>
            <w:pPr>
              <w:jc w:val="center"/>
              <w:rPr>
                <w:rFonts w:hint="eastAsia" w:ascii="宋体" w:hAnsi="宋体" w:cs="宋体"/>
                <w:b/>
                <w:bCs w:val="0"/>
                <w:sz w:val="24"/>
                <w:szCs w:val="24"/>
              </w:rPr>
            </w:pPr>
            <w:r>
              <w:rPr>
                <w:rFonts w:hint="eastAsia" w:ascii="宋体" w:hAnsi="宋体" w:cs="宋体"/>
                <w:b/>
                <w:bCs w:val="0"/>
                <w:sz w:val="24"/>
                <w:szCs w:val="24"/>
              </w:rPr>
              <w:t>评审因素</w:t>
            </w:r>
          </w:p>
        </w:tc>
        <w:tc>
          <w:tcPr>
            <w:tcW w:w="5259" w:type="dxa"/>
            <w:noWrap w:val="0"/>
            <w:vAlign w:val="center"/>
          </w:tcPr>
          <w:p>
            <w:pPr>
              <w:jc w:val="center"/>
              <w:rPr>
                <w:rFonts w:hint="eastAsia" w:ascii="宋体" w:hAnsi="宋体" w:cs="宋体"/>
                <w:b/>
                <w:bCs w:val="0"/>
                <w:sz w:val="24"/>
                <w:szCs w:val="24"/>
              </w:rPr>
            </w:pPr>
            <w:r>
              <w:rPr>
                <w:rFonts w:hint="eastAsia" w:ascii="宋体" w:hAnsi="宋体" w:cs="宋体"/>
                <w:b/>
                <w:bCs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79" w:type="dxa"/>
            <w:noWrap w:val="0"/>
            <w:vAlign w:val="center"/>
          </w:tcPr>
          <w:p>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3621" w:type="dxa"/>
            <w:noWrap w:val="0"/>
            <w:vAlign w:val="center"/>
          </w:tcPr>
          <w:p>
            <w:pPr>
              <w:pStyle w:val="15"/>
              <w:spacing w:before="11"/>
              <w:jc w:val="center"/>
              <w:rPr>
                <w:b/>
                <w:sz w:val="24"/>
                <w:szCs w:val="24"/>
              </w:rPr>
            </w:pPr>
          </w:p>
          <w:p>
            <w:pPr>
              <w:pStyle w:val="15"/>
              <w:ind w:left="537" w:leftChars="0" w:right="494" w:rightChars="0"/>
              <w:jc w:val="center"/>
              <w:rPr>
                <w:rFonts w:hint="eastAsia" w:ascii="宋体" w:hAnsi="宋体" w:eastAsia="Arial" w:cs="宋体"/>
                <w:bCs/>
                <w:snapToGrid w:val="0"/>
                <w:color w:val="000000"/>
                <w:kern w:val="0"/>
                <w:sz w:val="24"/>
                <w:szCs w:val="24"/>
                <w:lang w:val="en-US" w:eastAsia="en-US" w:bidi="ar-SA"/>
              </w:rPr>
            </w:pPr>
            <w:r>
              <w:rPr>
                <w:rFonts w:hint="eastAsia"/>
                <w:sz w:val="24"/>
                <w:szCs w:val="24"/>
              </w:rPr>
              <w:t>响应人名称</w:t>
            </w:r>
          </w:p>
        </w:tc>
        <w:tc>
          <w:tcPr>
            <w:tcW w:w="5259" w:type="dxa"/>
            <w:noWrap w:val="0"/>
            <w:vAlign w:val="center"/>
          </w:tcPr>
          <w:p>
            <w:pPr>
              <w:pStyle w:val="15"/>
              <w:spacing w:before="11"/>
              <w:jc w:val="center"/>
              <w:rPr>
                <w:b/>
                <w:sz w:val="24"/>
                <w:szCs w:val="24"/>
              </w:rPr>
            </w:pPr>
          </w:p>
          <w:p>
            <w:pPr>
              <w:pStyle w:val="15"/>
              <w:ind w:left="43" w:leftChars="0"/>
              <w:jc w:val="center"/>
              <w:rPr>
                <w:rFonts w:hint="eastAsia" w:ascii="宋体" w:hAnsi="宋体" w:eastAsia="Arial" w:cs="宋体"/>
                <w:bCs/>
                <w:snapToGrid w:val="0"/>
                <w:color w:val="000000"/>
                <w:kern w:val="0"/>
                <w:sz w:val="24"/>
                <w:szCs w:val="24"/>
                <w:lang w:val="en-US" w:eastAsia="en-US" w:bidi="ar-SA"/>
              </w:rPr>
            </w:pPr>
            <w:r>
              <w:rPr>
                <w:rFonts w:hint="eastAsia"/>
                <w:sz w:val="24"/>
                <w:szCs w:val="24"/>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79" w:type="dxa"/>
            <w:noWrap w:val="0"/>
            <w:vAlign w:val="center"/>
          </w:tcPr>
          <w:p>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3621" w:type="dxa"/>
            <w:noWrap w:val="0"/>
            <w:vAlign w:val="center"/>
          </w:tcPr>
          <w:p>
            <w:pPr>
              <w:pStyle w:val="15"/>
              <w:spacing w:before="157"/>
              <w:ind w:left="498" w:leftChars="0" w:right="494" w:rightChars="0"/>
              <w:jc w:val="center"/>
              <w:rPr>
                <w:rFonts w:hint="eastAsia" w:ascii="宋体" w:hAnsi="宋体" w:eastAsia="Arial" w:cs="宋体"/>
                <w:bCs/>
                <w:snapToGrid w:val="0"/>
                <w:color w:val="000000"/>
                <w:kern w:val="0"/>
                <w:sz w:val="24"/>
                <w:szCs w:val="24"/>
                <w:lang w:val="en-US" w:eastAsia="en-US" w:bidi="ar-SA"/>
              </w:rPr>
            </w:pPr>
            <w:r>
              <w:rPr>
                <w:rFonts w:hint="eastAsia"/>
                <w:sz w:val="24"/>
                <w:szCs w:val="24"/>
              </w:rPr>
              <w:t>电子签章</w:t>
            </w:r>
          </w:p>
        </w:tc>
        <w:tc>
          <w:tcPr>
            <w:tcW w:w="5259" w:type="dxa"/>
            <w:noWrap w:val="0"/>
            <w:vAlign w:val="center"/>
          </w:tcPr>
          <w:p>
            <w:pPr>
              <w:pStyle w:val="15"/>
              <w:spacing w:before="157"/>
              <w:ind w:left="4" w:leftChars="0"/>
              <w:jc w:val="center"/>
              <w:rPr>
                <w:rFonts w:hint="eastAsia" w:ascii="宋体" w:hAnsi="宋体" w:eastAsia="Arial" w:cs="宋体"/>
                <w:bCs/>
                <w:snapToGrid w:val="0"/>
                <w:color w:val="000000"/>
                <w:kern w:val="0"/>
                <w:sz w:val="24"/>
                <w:szCs w:val="24"/>
                <w:lang w:val="en-US" w:eastAsia="en-US" w:bidi="ar-SA"/>
              </w:rPr>
            </w:pPr>
            <w:r>
              <w:rPr>
                <w:rFonts w:hint="eastAsia"/>
                <w:sz w:val="24"/>
                <w:szCs w:val="24"/>
              </w:rPr>
              <w:t>符合竞争性磋商文件要求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79" w:type="dxa"/>
            <w:noWrap w:val="0"/>
            <w:vAlign w:val="center"/>
          </w:tcPr>
          <w:p>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3621" w:type="dxa"/>
            <w:noWrap w:val="0"/>
            <w:vAlign w:val="center"/>
          </w:tcPr>
          <w:p>
            <w:pPr>
              <w:pStyle w:val="15"/>
              <w:spacing w:before="11"/>
              <w:jc w:val="center"/>
              <w:rPr>
                <w:b/>
                <w:sz w:val="24"/>
                <w:szCs w:val="24"/>
              </w:rPr>
            </w:pPr>
          </w:p>
          <w:p>
            <w:pPr>
              <w:pStyle w:val="15"/>
              <w:ind w:left="540" w:leftChars="0" w:right="492" w:rightChars="0"/>
              <w:jc w:val="center"/>
              <w:rPr>
                <w:rFonts w:hint="eastAsia" w:ascii="宋体" w:hAnsi="宋体" w:eastAsia="Arial" w:cs="宋体"/>
                <w:bCs/>
                <w:snapToGrid w:val="0"/>
                <w:color w:val="000000"/>
                <w:kern w:val="0"/>
                <w:sz w:val="24"/>
                <w:szCs w:val="24"/>
                <w:lang w:val="en-US" w:eastAsia="en-US" w:bidi="ar-SA"/>
              </w:rPr>
            </w:pPr>
            <w:r>
              <w:rPr>
                <w:rFonts w:hint="eastAsia"/>
                <w:sz w:val="24"/>
                <w:szCs w:val="24"/>
              </w:rPr>
              <w:t>响应文件格式</w:t>
            </w:r>
          </w:p>
        </w:tc>
        <w:tc>
          <w:tcPr>
            <w:tcW w:w="5259" w:type="dxa"/>
            <w:noWrap w:val="0"/>
            <w:vAlign w:val="center"/>
          </w:tcPr>
          <w:p>
            <w:pPr>
              <w:pStyle w:val="15"/>
              <w:spacing w:before="11"/>
              <w:jc w:val="center"/>
              <w:rPr>
                <w:b/>
                <w:sz w:val="24"/>
                <w:szCs w:val="24"/>
              </w:rPr>
            </w:pPr>
          </w:p>
          <w:p>
            <w:pPr>
              <w:pStyle w:val="15"/>
              <w:ind w:left="43" w:leftChars="0"/>
              <w:jc w:val="center"/>
              <w:rPr>
                <w:rFonts w:hint="eastAsia" w:ascii="宋体" w:hAnsi="宋体" w:eastAsia="Arial" w:cs="宋体"/>
                <w:bCs/>
                <w:snapToGrid w:val="0"/>
                <w:color w:val="000000"/>
                <w:kern w:val="0"/>
                <w:sz w:val="24"/>
                <w:szCs w:val="24"/>
                <w:lang w:val="en-US" w:eastAsia="en-US" w:bidi="ar-SA"/>
              </w:rPr>
            </w:pPr>
            <w:r>
              <w:rPr>
                <w:rFonts w:hint="eastAsia"/>
                <w:sz w:val="24"/>
                <w:szCs w:val="24"/>
              </w:rPr>
              <w:t>符合第六章“响应文件格式”的规定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79" w:type="dxa"/>
            <w:noWrap w:val="0"/>
            <w:vAlign w:val="center"/>
          </w:tcPr>
          <w:p>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4</w:t>
            </w:r>
          </w:p>
        </w:tc>
        <w:tc>
          <w:tcPr>
            <w:tcW w:w="3621" w:type="dxa"/>
            <w:noWrap w:val="0"/>
            <w:vAlign w:val="center"/>
          </w:tcPr>
          <w:p>
            <w:pPr>
              <w:pStyle w:val="15"/>
              <w:spacing w:before="157"/>
              <w:ind w:left="498" w:leftChars="0" w:right="494" w:rightChars="0"/>
              <w:jc w:val="center"/>
              <w:rPr>
                <w:rFonts w:hint="eastAsia" w:ascii="宋体" w:hAnsi="宋体" w:eastAsia="Arial" w:cs="宋体"/>
                <w:bCs/>
                <w:snapToGrid w:val="0"/>
                <w:color w:val="000000"/>
                <w:kern w:val="0"/>
                <w:sz w:val="24"/>
                <w:szCs w:val="24"/>
                <w:lang w:val="en-US" w:eastAsia="en-US" w:bidi="ar-SA"/>
              </w:rPr>
            </w:pPr>
            <w:r>
              <w:rPr>
                <w:rFonts w:hint="eastAsia"/>
                <w:sz w:val="24"/>
                <w:szCs w:val="24"/>
              </w:rPr>
              <w:t>报价唯一</w:t>
            </w:r>
          </w:p>
        </w:tc>
        <w:tc>
          <w:tcPr>
            <w:tcW w:w="5259" w:type="dxa"/>
            <w:noWrap w:val="0"/>
            <w:vAlign w:val="center"/>
          </w:tcPr>
          <w:p>
            <w:pPr>
              <w:pStyle w:val="15"/>
              <w:spacing w:before="157"/>
              <w:ind w:left="4" w:leftChars="0"/>
              <w:jc w:val="center"/>
              <w:rPr>
                <w:rFonts w:hint="eastAsia" w:ascii="宋体" w:hAnsi="宋体" w:eastAsia="Arial" w:cs="宋体"/>
                <w:bCs/>
                <w:snapToGrid w:val="0"/>
                <w:color w:val="000000"/>
                <w:kern w:val="0"/>
                <w:sz w:val="24"/>
                <w:szCs w:val="24"/>
                <w:lang w:val="en-US" w:eastAsia="en-US" w:bidi="ar-SA"/>
              </w:rPr>
            </w:pPr>
            <w:r>
              <w:rPr>
                <w:rFonts w:hint="eastAsia"/>
                <w:sz w:val="24"/>
                <w:szCs w:val="24"/>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79" w:type="dxa"/>
            <w:noWrap w:val="0"/>
            <w:vAlign w:val="center"/>
          </w:tcPr>
          <w:p>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3621" w:type="dxa"/>
            <w:noWrap w:val="0"/>
            <w:vAlign w:val="center"/>
          </w:tcPr>
          <w:p>
            <w:pPr>
              <w:pStyle w:val="15"/>
              <w:jc w:val="center"/>
              <w:rPr>
                <w:rFonts w:hint="eastAsia" w:ascii="宋体" w:hAnsi="宋体" w:cs="宋体"/>
                <w:b/>
                <w:sz w:val="24"/>
                <w:szCs w:val="24"/>
              </w:rPr>
            </w:pPr>
          </w:p>
          <w:p>
            <w:pPr>
              <w:pStyle w:val="15"/>
              <w:spacing w:before="1"/>
              <w:ind w:left="539" w:right="494"/>
              <w:jc w:val="center"/>
              <w:rPr>
                <w:rFonts w:hint="eastAsia" w:ascii="宋体" w:hAnsi="宋体" w:cs="宋体"/>
                <w:bCs/>
                <w:sz w:val="24"/>
                <w:szCs w:val="24"/>
              </w:rPr>
            </w:pPr>
            <w:r>
              <w:rPr>
                <w:rFonts w:hint="eastAsia" w:ascii="宋体" w:hAnsi="宋体" w:cs="宋体"/>
                <w:sz w:val="24"/>
                <w:szCs w:val="24"/>
              </w:rPr>
              <w:t>响应范围</w:t>
            </w:r>
          </w:p>
        </w:tc>
        <w:tc>
          <w:tcPr>
            <w:tcW w:w="5259" w:type="dxa"/>
            <w:noWrap w:val="0"/>
            <w:vAlign w:val="center"/>
          </w:tcPr>
          <w:p>
            <w:pPr>
              <w:pStyle w:val="15"/>
              <w:jc w:val="center"/>
              <w:rPr>
                <w:rFonts w:hint="eastAsia" w:ascii="宋体" w:hAnsi="宋体" w:cs="宋体"/>
                <w:b/>
                <w:sz w:val="24"/>
                <w:szCs w:val="24"/>
              </w:rPr>
            </w:pPr>
          </w:p>
          <w:p>
            <w:pPr>
              <w:pStyle w:val="15"/>
              <w:spacing w:before="1"/>
              <w:ind w:left="43"/>
              <w:jc w:val="center"/>
              <w:rPr>
                <w:rFonts w:hint="eastAsia" w:ascii="宋体" w:hAnsi="宋体" w:cs="宋体"/>
                <w:bCs/>
                <w:sz w:val="24"/>
                <w:szCs w:val="24"/>
              </w:rPr>
            </w:pPr>
            <w:r>
              <w:rPr>
                <w:rFonts w:hint="eastAsia" w:ascii="宋体" w:hAnsi="宋体" w:cs="宋体"/>
                <w:sz w:val="24"/>
                <w:szCs w:val="24"/>
              </w:rPr>
              <w:t>符合</w:t>
            </w:r>
            <w:r>
              <w:rPr>
                <w:rFonts w:hint="eastAsia" w:ascii="宋体" w:hAnsi="宋体" w:eastAsia="宋体" w:cs="宋体"/>
                <w:sz w:val="24"/>
                <w:szCs w:val="24"/>
                <w:lang w:eastAsia="zh-CN"/>
              </w:rPr>
              <w:t>文件</w:t>
            </w:r>
            <w:r>
              <w:rPr>
                <w:rFonts w:hint="eastAsia" w:ascii="宋体" w:hAnsi="宋体" w:cs="宋体"/>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79" w:type="dxa"/>
            <w:noWrap w:val="0"/>
            <w:vAlign w:val="center"/>
          </w:tcPr>
          <w:p>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6</w:t>
            </w:r>
          </w:p>
        </w:tc>
        <w:tc>
          <w:tcPr>
            <w:tcW w:w="3621" w:type="dxa"/>
            <w:noWrap w:val="0"/>
            <w:vAlign w:val="center"/>
          </w:tcPr>
          <w:p>
            <w:pPr>
              <w:pStyle w:val="15"/>
              <w:jc w:val="center"/>
              <w:rPr>
                <w:rFonts w:hint="eastAsia" w:ascii="宋体" w:hAnsi="宋体" w:cs="宋体"/>
                <w:b/>
                <w:sz w:val="24"/>
                <w:szCs w:val="24"/>
              </w:rPr>
            </w:pPr>
          </w:p>
          <w:p>
            <w:pPr>
              <w:pStyle w:val="15"/>
              <w:spacing w:before="1"/>
              <w:ind w:left="539" w:right="494"/>
              <w:jc w:val="center"/>
              <w:rPr>
                <w:rFonts w:hint="eastAsia" w:ascii="宋体" w:hAnsi="宋体" w:eastAsia="宋体" w:cs="宋体"/>
                <w:bCs/>
                <w:sz w:val="24"/>
                <w:szCs w:val="24"/>
                <w:lang w:eastAsia="zh-CN"/>
              </w:rPr>
            </w:pPr>
            <w:r>
              <w:rPr>
                <w:rFonts w:hint="eastAsia" w:ascii="宋体" w:hAnsi="宋体" w:eastAsia="宋体" w:cs="宋体"/>
                <w:sz w:val="24"/>
                <w:szCs w:val="24"/>
                <w:lang w:eastAsia="zh-CN"/>
              </w:rPr>
              <w:t>服务期限</w:t>
            </w:r>
          </w:p>
        </w:tc>
        <w:tc>
          <w:tcPr>
            <w:tcW w:w="5259" w:type="dxa"/>
            <w:noWrap w:val="0"/>
            <w:vAlign w:val="center"/>
          </w:tcPr>
          <w:p>
            <w:pPr>
              <w:pStyle w:val="15"/>
              <w:spacing w:before="1"/>
              <w:ind w:left="43"/>
              <w:jc w:val="center"/>
              <w:rPr>
                <w:rFonts w:hint="eastAsia" w:ascii="宋体" w:hAnsi="宋体" w:cs="宋体"/>
                <w:bCs/>
                <w:sz w:val="24"/>
                <w:szCs w:val="24"/>
              </w:rPr>
            </w:pPr>
            <w:r>
              <w:rPr>
                <w:rFonts w:hint="eastAsia" w:ascii="宋体" w:hAnsi="宋体" w:cs="宋体"/>
                <w:sz w:val="24"/>
                <w:szCs w:val="24"/>
              </w:rPr>
              <w:t>符合</w:t>
            </w:r>
            <w:r>
              <w:rPr>
                <w:rFonts w:hint="eastAsia" w:ascii="宋体" w:hAnsi="宋体" w:eastAsia="宋体" w:cs="宋体"/>
                <w:sz w:val="24"/>
                <w:szCs w:val="24"/>
                <w:lang w:eastAsia="zh-CN"/>
              </w:rPr>
              <w:t>文件</w:t>
            </w:r>
            <w:r>
              <w:rPr>
                <w:rFonts w:hint="eastAsia" w:ascii="宋体" w:hAnsi="宋体" w:cs="宋体"/>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79" w:type="dxa"/>
            <w:noWrap w:val="0"/>
            <w:vAlign w:val="center"/>
          </w:tcPr>
          <w:p>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7</w:t>
            </w:r>
          </w:p>
        </w:tc>
        <w:tc>
          <w:tcPr>
            <w:tcW w:w="3621" w:type="dxa"/>
            <w:noWrap w:val="0"/>
            <w:vAlign w:val="center"/>
          </w:tcPr>
          <w:p>
            <w:pPr>
              <w:pStyle w:val="15"/>
              <w:jc w:val="center"/>
              <w:rPr>
                <w:rFonts w:hint="eastAsia" w:ascii="宋体" w:hAnsi="宋体" w:cs="宋体"/>
                <w:b/>
                <w:sz w:val="24"/>
                <w:szCs w:val="24"/>
              </w:rPr>
            </w:pPr>
          </w:p>
          <w:p>
            <w:pPr>
              <w:pStyle w:val="15"/>
              <w:spacing w:before="1"/>
              <w:ind w:left="539" w:right="494"/>
              <w:jc w:val="center"/>
              <w:rPr>
                <w:rFonts w:hint="eastAsia" w:ascii="宋体" w:hAnsi="宋体" w:cs="宋体"/>
                <w:bCs/>
                <w:sz w:val="24"/>
                <w:szCs w:val="24"/>
              </w:rPr>
            </w:pPr>
            <w:r>
              <w:rPr>
                <w:rFonts w:hint="eastAsia" w:ascii="宋体" w:hAnsi="宋体" w:cs="宋体"/>
                <w:sz w:val="24"/>
                <w:szCs w:val="24"/>
              </w:rPr>
              <w:t>响应报价</w:t>
            </w:r>
          </w:p>
        </w:tc>
        <w:tc>
          <w:tcPr>
            <w:tcW w:w="5259" w:type="dxa"/>
            <w:noWrap w:val="0"/>
            <w:vAlign w:val="center"/>
          </w:tcPr>
          <w:p>
            <w:pPr>
              <w:pStyle w:val="15"/>
              <w:jc w:val="center"/>
              <w:rPr>
                <w:rFonts w:hint="eastAsia" w:ascii="宋体" w:hAnsi="宋体" w:cs="宋体"/>
                <w:b/>
                <w:sz w:val="24"/>
                <w:szCs w:val="24"/>
              </w:rPr>
            </w:pPr>
          </w:p>
          <w:p>
            <w:pPr>
              <w:pStyle w:val="15"/>
              <w:spacing w:before="1"/>
              <w:ind w:left="43"/>
              <w:jc w:val="center"/>
              <w:rPr>
                <w:rFonts w:hint="eastAsia" w:ascii="宋体" w:hAnsi="宋体" w:cs="宋体"/>
                <w:bCs/>
                <w:sz w:val="24"/>
                <w:szCs w:val="24"/>
              </w:rPr>
            </w:pPr>
            <w:r>
              <w:rPr>
                <w:rFonts w:hint="eastAsia" w:ascii="宋体" w:hAnsi="宋体" w:cs="宋体"/>
                <w:sz w:val="24"/>
                <w:szCs w:val="24"/>
              </w:rPr>
              <w:t>响应人的响应报价不得超出最高限价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79" w:type="dxa"/>
            <w:noWrap w:val="0"/>
            <w:vAlign w:val="center"/>
          </w:tcPr>
          <w:p>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8</w:t>
            </w:r>
          </w:p>
        </w:tc>
        <w:tc>
          <w:tcPr>
            <w:tcW w:w="3621" w:type="dxa"/>
            <w:noWrap w:val="0"/>
            <w:vAlign w:val="center"/>
          </w:tcPr>
          <w:p>
            <w:pPr>
              <w:pStyle w:val="15"/>
              <w:jc w:val="center"/>
              <w:rPr>
                <w:rFonts w:hint="eastAsia" w:ascii="宋体" w:hAnsi="宋体" w:cs="宋体"/>
                <w:b/>
                <w:sz w:val="24"/>
                <w:szCs w:val="24"/>
              </w:rPr>
            </w:pPr>
          </w:p>
          <w:p>
            <w:pPr>
              <w:pStyle w:val="15"/>
              <w:spacing w:before="1"/>
              <w:ind w:left="539" w:right="494"/>
              <w:jc w:val="center"/>
              <w:rPr>
                <w:rFonts w:hint="eastAsia" w:ascii="宋体" w:hAnsi="宋体" w:cs="宋体"/>
                <w:bCs/>
                <w:sz w:val="24"/>
                <w:szCs w:val="24"/>
              </w:rPr>
            </w:pPr>
            <w:r>
              <w:rPr>
                <w:rFonts w:hint="eastAsia" w:ascii="宋体" w:hAnsi="宋体" w:cs="宋体"/>
                <w:sz w:val="24"/>
                <w:szCs w:val="24"/>
              </w:rPr>
              <w:t>质量标准</w:t>
            </w:r>
          </w:p>
        </w:tc>
        <w:tc>
          <w:tcPr>
            <w:tcW w:w="5259" w:type="dxa"/>
            <w:noWrap w:val="0"/>
            <w:vAlign w:val="center"/>
          </w:tcPr>
          <w:p>
            <w:pPr>
              <w:pStyle w:val="15"/>
              <w:jc w:val="center"/>
              <w:rPr>
                <w:rFonts w:hint="eastAsia" w:ascii="宋体" w:hAnsi="宋体" w:cs="宋体"/>
                <w:b/>
                <w:sz w:val="24"/>
                <w:szCs w:val="24"/>
              </w:rPr>
            </w:pPr>
          </w:p>
          <w:p>
            <w:pPr>
              <w:pStyle w:val="15"/>
              <w:spacing w:before="1"/>
              <w:ind w:left="43"/>
              <w:jc w:val="center"/>
              <w:rPr>
                <w:rFonts w:hint="eastAsia" w:ascii="宋体" w:hAnsi="宋体" w:cs="宋体"/>
                <w:bCs/>
                <w:sz w:val="24"/>
                <w:szCs w:val="24"/>
              </w:rPr>
            </w:pPr>
            <w:r>
              <w:rPr>
                <w:rFonts w:hint="eastAsia" w:ascii="宋体" w:hAnsi="宋体" w:cs="宋体"/>
                <w:sz w:val="24"/>
                <w:szCs w:val="24"/>
              </w:rPr>
              <w:t>符合</w:t>
            </w:r>
            <w:r>
              <w:rPr>
                <w:rFonts w:hint="eastAsia" w:ascii="宋体" w:hAnsi="宋体" w:eastAsia="宋体" w:cs="宋体"/>
                <w:sz w:val="24"/>
                <w:szCs w:val="24"/>
                <w:lang w:eastAsia="zh-CN"/>
              </w:rPr>
              <w:t>文件</w:t>
            </w:r>
            <w:r>
              <w:rPr>
                <w:rFonts w:hint="eastAsia" w:ascii="宋体" w:hAnsi="宋体" w:cs="宋体"/>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79" w:type="dxa"/>
            <w:noWrap w:val="0"/>
            <w:vAlign w:val="center"/>
          </w:tcPr>
          <w:p>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9</w:t>
            </w:r>
          </w:p>
        </w:tc>
        <w:tc>
          <w:tcPr>
            <w:tcW w:w="3621" w:type="dxa"/>
            <w:noWrap w:val="0"/>
            <w:vAlign w:val="center"/>
          </w:tcPr>
          <w:p>
            <w:pPr>
              <w:pStyle w:val="15"/>
              <w:jc w:val="center"/>
              <w:rPr>
                <w:rFonts w:hint="eastAsia" w:ascii="宋体" w:hAnsi="宋体" w:cs="宋体"/>
                <w:sz w:val="24"/>
                <w:szCs w:val="24"/>
              </w:rPr>
            </w:pPr>
            <w:r>
              <w:rPr>
                <w:rFonts w:hint="eastAsia" w:ascii="宋体" w:hAnsi="宋体" w:cs="宋体"/>
                <w:sz w:val="24"/>
                <w:szCs w:val="24"/>
              </w:rPr>
              <w:t>质保期</w:t>
            </w:r>
          </w:p>
        </w:tc>
        <w:tc>
          <w:tcPr>
            <w:tcW w:w="5259" w:type="dxa"/>
            <w:noWrap w:val="0"/>
            <w:vAlign w:val="center"/>
          </w:tcPr>
          <w:p>
            <w:pPr>
              <w:pStyle w:val="15"/>
              <w:jc w:val="center"/>
              <w:rPr>
                <w:rFonts w:hint="eastAsia" w:ascii="宋体" w:hAnsi="宋体" w:cs="宋体"/>
                <w:b/>
                <w:sz w:val="24"/>
                <w:szCs w:val="24"/>
              </w:rPr>
            </w:pPr>
            <w:r>
              <w:rPr>
                <w:rFonts w:hint="eastAsia" w:ascii="宋体" w:hAnsi="宋体" w:cs="宋体"/>
                <w:sz w:val="24"/>
                <w:szCs w:val="24"/>
              </w:rPr>
              <w:t>符合</w:t>
            </w:r>
            <w:r>
              <w:rPr>
                <w:rFonts w:hint="eastAsia" w:ascii="宋体" w:hAnsi="宋体" w:eastAsia="宋体" w:cs="宋体"/>
                <w:sz w:val="24"/>
                <w:szCs w:val="24"/>
                <w:lang w:eastAsia="zh-CN"/>
              </w:rPr>
              <w:t>文件</w:t>
            </w:r>
            <w:r>
              <w:rPr>
                <w:rFonts w:hint="eastAsia" w:ascii="宋体" w:hAnsi="宋体" w:cs="宋体"/>
                <w:sz w:val="24"/>
                <w:szCs w:val="24"/>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879" w:type="dxa"/>
            <w:noWrap w:val="0"/>
            <w:vAlign w:val="center"/>
          </w:tcPr>
          <w:p>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10</w:t>
            </w:r>
          </w:p>
        </w:tc>
        <w:tc>
          <w:tcPr>
            <w:tcW w:w="3621" w:type="dxa"/>
            <w:noWrap w:val="0"/>
            <w:vAlign w:val="center"/>
          </w:tcPr>
          <w:p>
            <w:pPr>
              <w:pStyle w:val="15"/>
              <w:jc w:val="center"/>
              <w:rPr>
                <w:rFonts w:hint="eastAsia" w:ascii="宋体" w:hAnsi="宋体" w:cs="宋体"/>
                <w:b/>
                <w:sz w:val="24"/>
                <w:szCs w:val="24"/>
              </w:rPr>
            </w:pPr>
          </w:p>
          <w:p>
            <w:pPr>
              <w:pStyle w:val="15"/>
              <w:spacing w:before="1"/>
              <w:ind w:left="537" w:right="494"/>
              <w:jc w:val="center"/>
              <w:rPr>
                <w:rFonts w:hint="eastAsia" w:ascii="宋体" w:hAnsi="宋体" w:cs="宋体"/>
                <w:bCs/>
                <w:sz w:val="24"/>
                <w:szCs w:val="24"/>
              </w:rPr>
            </w:pPr>
            <w:r>
              <w:rPr>
                <w:rFonts w:hint="eastAsia" w:ascii="宋体" w:hAnsi="宋体" w:cs="宋体"/>
                <w:sz w:val="24"/>
                <w:szCs w:val="24"/>
              </w:rPr>
              <w:t>响应有效期</w:t>
            </w:r>
          </w:p>
        </w:tc>
        <w:tc>
          <w:tcPr>
            <w:tcW w:w="5259" w:type="dxa"/>
            <w:noWrap w:val="0"/>
            <w:vAlign w:val="center"/>
          </w:tcPr>
          <w:p>
            <w:pPr>
              <w:pStyle w:val="15"/>
              <w:spacing w:before="1"/>
              <w:ind w:left="43"/>
              <w:jc w:val="center"/>
              <w:rPr>
                <w:rFonts w:hint="eastAsia" w:ascii="宋体" w:hAnsi="宋体" w:cs="宋体"/>
                <w:bCs/>
                <w:sz w:val="24"/>
                <w:szCs w:val="24"/>
              </w:rPr>
            </w:pPr>
            <w:r>
              <w:rPr>
                <w:rFonts w:hint="eastAsia" w:ascii="宋体" w:hAnsi="宋体" w:cs="宋体"/>
                <w:sz w:val="24"/>
                <w:szCs w:val="24"/>
              </w:rPr>
              <w:t>符合</w:t>
            </w:r>
            <w:r>
              <w:rPr>
                <w:rFonts w:hint="eastAsia" w:ascii="宋体" w:hAnsi="宋体" w:eastAsia="宋体" w:cs="宋体"/>
                <w:sz w:val="24"/>
                <w:szCs w:val="24"/>
                <w:lang w:eastAsia="zh-CN"/>
              </w:rPr>
              <w:t>文件</w:t>
            </w:r>
            <w:r>
              <w:rPr>
                <w:rFonts w:hint="eastAsia" w:ascii="宋体" w:hAnsi="宋体" w:cs="宋体"/>
                <w:sz w:val="24"/>
                <w:szCs w:val="24"/>
              </w:rPr>
              <w:t>规定</w:t>
            </w:r>
          </w:p>
        </w:tc>
      </w:tr>
    </w:tbl>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5、未实质性响应磋商文件的响应文件按无效响应处理，磋商小组应当告知提交响应文件的供应商。</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5.1.1</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资格证明文件不全的，或者不符合竞争性磋商文件标明的资格要求的；</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5.1.2</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5.1.3</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5.1.4</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CA或电子营业执照</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pPr>
        <w:spacing w:after="0" w:line="360" w:lineRule="auto"/>
        <w:ind w:firstLine="494" w:firstLineChars="200"/>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5.1.5其他不符合磋商文件实质性要求的。</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5.2</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5.2.1</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5.2.2</w:t>
      </w:r>
      <w:r>
        <w:rPr>
          <w:rFonts w:hint="eastAsia" w:asciiTheme="minorEastAsia" w:hAnsiTheme="minorEastAsia" w:eastAsiaTheme="minorEastAsia" w:cstheme="minorEastAsia"/>
          <w:b/>
          <w:bCs/>
          <w:snapToGrid w:val="0"/>
          <w:color w:val="000000"/>
          <w:spacing w:val="3"/>
          <w:kern w:val="0"/>
          <w:sz w:val="24"/>
          <w:szCs w:val="24"/>
          <w:lang w:val="en-US" w:eastAsia="en-US" w:bidi="ar-SA"/>
        </w:rPr>
        <w:t xml:space="preserve">报价具有选择性； </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5.2.3</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sz w:val="24"/>
          <w:szCs w:val="24"/>
        </w:rPr>
      </w:pPr>
      <w:r>
        <w:rPr>
          <w:rFonts w:hint="eastAsia"/>
          <w:sz w:val="24"/>
          <w:szCs w:val="24"/>
          <w:lang w:val="en-US" w:eastAsia="zh-CN"/>
        </w:rPr>
        <w:t>6.</w:t>
      </w:r>
      <w:r>
        <w:rPr>
          <w:sz w:val="24"/>
          <w:szCs w:val="24"/>
        </w:rPr>
        <w:t>磋商、响应文件有关事项的澄清、说明或者更正和最后报价</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sz w:val="24"/>
          <w:szCs w:val="24"/>
        </w:rPr>
      </w:pPr>
      <w:r>
        <w:rPr>
          <w:rFonts w:hint="eastAsia"/>
          <w:sz w:val="24"/>
          <w:szCs w:val="24"/>
          <w:lang w:val="en-US" w:eastAsia="zh-CN"/>
        </w:rPr>
        <w:t>6</w:t>
      </w:r>
      <w:r>
        <w:rPr>
          <w:sz w:val="24"/>
          <w:szCs w:val="24"/>
        </w:rPr>
        <w:t>.1 磋商小组所有成员将集中与单一供应商分别进行磋商，并给予所有参加磋商的供应商平等的磋商机会。</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sz w:val="24"/>
          <w:szCs w:val="24"/>
        </w:rPr>
      </w:pPr>
      <w:r>
        <w:rPr>
          <w:rFonts w:hint="eastAsia"/>
          <w:sz w:val="24"/>
          <w:szCs w:val="24"/>
          <w:lang w:val="en-US" w:eastAsia="zh-CN"/>
        </w:rPr>
        <w:t>6</w:t>
      </w:r>
      <w:r>
        <w:rPr>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sz w:val="24"/>
          <w:szCs w:val="24"/>
        </w:rPr>
      </w:pPr>
      <w:r>
        <w:rPr>
          <w:rFonts w:hint="eastAsia"/>
          <w:sz w:val="24"/>
          <w:szCs w:val="24"/>
          <w:lang w:val="en-US" w:eastAsia="zh-CN"/>
        </w:rPr>
        <w:t>6</w:t>
      </w:r>
      <w:r>
        <w:rPr>
          <w:sz w:val="24"/>
          <w:szCs w:val="24"/>
        </w:rPr>
        <w:t>.3对磋商文件作出的实质性变动是磋商文件的有效组成部分，磋商小组应当及时</w:t>
      </w:r>
      <w:r>
        <w:rPr>
          <w:rFonts w:hint="eastAsia"/>
          <w:sz w:val="24"/>
          <w:szCs w:val="24"/>
          <w:lang w:val="en-US"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CA或</w:t>
      </w:r>
      <w:r>
        <w:rPr>
          <w:rFonts w:hint="eastAsia" w:ascii="宋体" w:hAnsi="宋体" w:eastAsia="宋体" w:cs="宋体"/>
          <w:snapToGrid w:val="0"/>
          <w:color w:val="000000"/>
          <w:kern w:val="0"/>
          <w:sz w:val="24"/>
          <w:szCs w:val="24"/>
          <w:lang w:val="en-US" w:eastAsia="en-US" w:bidi="ar-SA"/>
        </w:rPr>
        <w:t>电子营业执照签章。</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.5响应文件的澄清、说明或者更正：</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.5.1磋商小组在对响应文件的有效性、完整性和响应程度进行审查时，可以要求供应商对响应文件中含义不明确、同类问题表述不一致或者有明显文字和计算错误的内容等作出必要的澄清、说明或者更正。</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政府采购竞争性磋商采购方式管理暂行办法</w:t>
      </w:r>
      <w:r>
        <w:rPr>
          <w:rFonts w:hint="eastAsia" w:ascii="宋体" w:hAnsi="宋体" w:eastAsia="宋体" w:cs="宋体"/>
          <w:snapToGrid w:val="0"/>
          <w:color w:val="000000"/>
          <w:kern w:val="0"/>
          <w:sz w:val="24"/>
          <w:szCs w:val="24"/>
          <w:lang w:val="en-US" w:eastAsia="en-US" w:bidi="ar-SA"/>
        </w:rPr>
        <w:t>》第</w:t>
      </w:r>
      <w:r>
        <w:rPr>
          <w:rFonts w:hint="eastAsia" w:ascii="宋体" w:hAnsi="宋体" w:eastAsia="宋体" w:cs="宋体"/>
          <w:snapToGrid w:val="0"/>
          <w:color w:val="000000"/>
          <w:kern w:val="0"/>
          <w:sz w:val="24"/>
          <w:szCs w:val="24"/>
          <w:lang w:val="en-US" w:eastAsia="zh-CN" w:bidi="ar-SA"/>
        </w:rPr>
        <w:t>三</w:t>
      </w:r>
      <w:r>
        <w:rPr>
          <w:rFonts w:hint="eastAsia" w:ascii="宋体" w:hAnsi="宋体" w:eastAsia="宋体" w:cs="宋体"/>
          <w:snapToGrid w:val="0"/>
          <w:color w:val="000000"/>
          <w:kern w:val="0"/>
          <w:sz w:val="24"/>
          <w:szCs w:val="24"/>
          <w:lang w:val="en-US" w:eastAsia="en-US" w:bidi="ar-SA"/>
        </w:rPr>
        <w:t>条第</w:t>
      </w:r>
      <w:r>
        <w:rPr>
          <w:rFonts w:hint="eastAsia" w:ascii="宋体" w:hAnsi="宋体" w:eastAsia="宋体" w:cs="宋体"/>
          <w:snapToGrid w:val="0"/>
          <w:color w:val="000000"/>
          <w:kern w:val="0"/>
          <w:sz w:val="24"/>
          <w:szCs w:val="24"/>
          <w:lang w:val="en-US" w:eastAsia="zh-CN" w:bidi="ar-SA"/>
        </w:rPr>
        <w:t>四项</w:t>
      </w:r>
      <w:r>
        <w:rPr>
          <w:rFonts w:hint="eastAsia" w:ascii="宋体" w:hAnsi="宋体" w:eastAsia="宋体" w:cs="宋体"/>
          <w:snapToGrid w:val="0"/>
          <w:color w:val="000000"/>
          <w:kern w:val="0"/>
          <w:sz w:val="24"/>
          <w:szCs w:val="24"/>
          <w:lang w:val="en-US" w:eastAsia="en-US" w:bidi="ar-SA"/>
        </w:rPr>
        <w:t>规定的情形除外。最后报价是响应文件的有效组成部分。</w:t>
      </w:r>
    </w:p>
    <w:p>
      <w:pPr>
        <w:spacing w:after="0" w:line="360" w:lineRule="auto"/>
        <w:ind w:firstLine="480" w:firstLineChars="200"/>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.7磋商文件不能详细列明采购标的的技术、服务要求，需经磋商由供应商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交最后报价的供应商可以为2家；政府购买服务项目（含政府和社会资本合作项目），在采购过程中符合要求的供应商（社会资本）只有2家的，竞争性磋商采购活动可以继续进行。</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交最后报价之前，可以根据磋商情况退出磋商。</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.1最后报价须包含竞争性磋商文件全部内容，最后报价出现大写金额和小写金额不一致的，以大写金额为准</w:t>
      </w:r>
      <w:r>
        <w:rPr>
          <w:rFonts w:hint="eastAsia" w:cs="宋体"/>
          <w:snapToGrid w:val="0"/>
          <w:color w:val="000000"/>
          <w:kern w:val="0"/>
          <w:sz w:val="24"/>
          <w:szCs w:val="24"/>
          <w:lang w:val="en-US" w:eastAsia="zh-CN" w:bidi="ar-SA"/>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评审方法和评审标准</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.1本项目采用的评审方法为</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综合评分法。综合评分法，是指响应文件满足磋商文件全部实质性要求且按评审因素的量化指标评审得分最高的供应商为成交候选供应商的评审方法。</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.2竞争性磋商文件中没有规定的评审标准不得作为评审依据。</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.3非政府强制采购的节能产品或环境标志产品，依据品目清单和认证证书实施政府优先采购。优先采购的具体规定（如涉及</w:t>
      </w:r>
      <w:r>
        <w:rPr>
          <w:rFonts w:hint="eastAsia" w:cs="宋体"/>
          <w:snapToGrid w:val="0"/>
          <w:color w:val="000000"/>
          <w:kern w:val="0"/>
          <w:sz w:val="24"/>
          <w:szCs w:val="24"/>
          <w:u w:val="single"/>
          <w:lang w:val="en-US" w:eastAsia="en-US" w:bidi="ar-SA"/>
        </w:rPr>
        <w:t xml:space="preserve">）   </w:t>
      </w:r>
      <w:r>
        <w:rPr>
          <w:rFonts w:hint="eastAsia" w:cs="宋体"/>
          <w:snapToGrid w:val="0"/>
          <w:color w:val="000000"/>
          <w:kern w:val="0"/>
          <w:sz w:val="24"/>
          <w:szCs w:val="24"/>
          <w:u w:val="single"/>
          <w:lang w:val="en-US" w:eastAsia="zh-CN" w:bidi="ar-SA"/>
        </w:rPr>
        <w:t>/</w:t>
      </w:r>
      <w:r>
        <w:rPr>
          <w:rFonts w:hint="eastAsia" w:cs="宋体"/>
          <w:snapToGrid w:val="0"/>
          <w:color w:val="000000"/>
          <w:kern w:val="0"/>
          <w:sz w:val="24"/>
          <w:szCs w:val="24"/>
          <w:u w:val="single"/>
          <w:lang w:val="en-US" w:eastAsia="en-US" w:bidi="ar-SA"/>
        </w:rPr>
        <w:t xml:space="preserve">    </w:t>
      </w:r>
      <w:r>
        <w:rPr>
          <w:rFonts w:hint="eastAsia" w:cs="宋体"/>
          <w:snapToGrid w:val="0"/>
          <w:color w:val="000000"/>
          <w:kern w:val="0"/>
          <w:sz w:val="24"/>
          <w:szCs w:val="24"/>
          <w:lang w:val="en-US" w:eastAsia="en-US" w:bidi="ar-SA"/>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sz w:val="24"/>
          <w:szCs w:val="24"/>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.4 关于无线局域网认证产品政府采购清单中的产品，优先采购的具体规定（如涉及）</w:t>
      </w:r>
      <w:r>
        <w:rPr>
          <w:rFonts w:hint="eastAsia" w:cs="宋体"/>
          <w:snapToGrid w:val="0"/>
          <w:color w:val="000000"/>
          <w:kern w:val="0"/>
          <w:sz w:val="24"/>
          <w:szCs w:val="24"/>
          <w:u w:val="single"/>
          <w:lang w:val="en-US" w:eastAsia="en-US" w:bidi="ar-SA"/>
        </w:rPr>
        <w:t xml:space="preserve">   </w:t>
      </w:r>
      <w:r>
        <w:rPr>
          <w:rFonts w:hint="eastAsia" w:cs="宋体"/>
          <w:snapToGrid w:val="0"/>
          <w:color w:val="000000"/>
          <w:kern w:val="0"/>
          <w:sz w:val="24"/>
          <w:szCs w:val="24"/>
          <w:u w:val="single"/>
          <w:lang w:val="en-US" w:eastAsia="zh-CN" w:bidi="ar-SA"/>
        </w:rPr>
        <w:t>/</w:t>
      </w:r>
      <w:r>
        <w:rPr>
          <w:rFonts w:hint="eastAsia" w:cs="宋体"/>
          <w:snapToGrid w:val="0"/>
          <w:color w:val="000000"/>
          <w:kern w:val="0"/>
          <w:sz w:val="24"/>
          <w:szCs w:val="24"/>
          <w:u w:val="single"/>
          <w:lang w:val="en-US" w:eastAsia="en-US" w:bidi="ar-SA"/>
        </w:rPr>
        <w:t xml:space="preserve">    </w:t>
      </w:r>
      <w:r>
        <w:rPr>
          <w:spacing w:val="-25"/>
          <w:sz w:val="24"/>
          <w:szCs w:val="24"/>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确定成交候选人名单</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9</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2</w:t>
      </w:r>
      <w:r>
        <w:rPr>
          <w:rFonts w:hint="eastAsia" w:cs="宋体"/>
          <w:b/>
          <w:bCs/>
          <w:snapToGrid w:val="0"/>
          <w:color w:val="000000"/>
          <w:kern w:val="0"/>
          <w:sz w:val="24"/>
          <w:szCs w:val="24"/>
          <w:lang w:val="en-US" w:eastAsia="en-US" w:bidi="ar-SA"/>
        </w:rPr>
        <w:t>磋商小组要对评分汇总情况进行复核，特别是对排名第一的、报价最低的、响应文件被认定为无效的情形进行重点复核。</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磋商小组根据上述供应商排序，依次推荐排序前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采购人书面授权磋商小组直接确定成交供应商。</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报告违法行为</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Arial"/>
          <w:sz w:val="21"/>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.1磋商小组在评审过程中发现供应商有行贿、</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供虚假材料或者串通等违法行为时，有向采购人、采购代理机构或者有关部门报告的职责。</w:t>
      </w:r>
    </w:p>
    <w:p>
      <w:pPr>
        <w:pStyle w:val="4"/>
        <w:spacing w:before="78" w:line="221" w:lineRule="auto"/>
        <w:ind w:left="3942"/>
        <w:outlineLvl w:val="1"/>
        <w:rPr>
          <w:sz w:val="24"/>
          <w:szCs w:val="24"/>
        </w:rPr>
      </w:pPr>
      <w:r>
        <w:rPr>
          <w:spacing w:val="-2"/>
          <w:sz w:val="24"/>
          <w:szCs w:val="24"/>
          <w14:textOutline w14:w="1537" w14:cap="flat" w14:cmpd="sng">
            <w14:solidFill>
              <w14:srgbClr w14:val="000000"/>
            </w14:solidFill>
            <w14:prstDash w14:val="solid"/>
            <w14:miter w14:val="0"/>
          </w14:textOutline>
        </w:rPr>
        <w:t>评审标准</w:t>
      </w:r>
    </w:p>
    <w:p>
      <w:pPr>
        <w:spacing w:before="40"/>
      </w:pPr>
    </w:p>
    <w:p>
      <w:pPr>
        <w:spacing w:before="39"/>
      </w:pPr>
    </w:p>
    <w:tbl>
      <w:tblPr>
        <w:tblStyle w:val="13"/>
        <w:tblW w:w="96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461"/>
        <w:gridCol w:w="913"/>
        <w:gridCol w:w="1448"/>
        <w:gridCol w:w="49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pPr>
              <w:spacing w:before="40" w:line="208" w:lineRule="auto"/>
              <w:ind w:left="19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461" w:type="dxa"/>
            <w:vAlign w:val="top"/>
          </w:tcPr>
          <w:p>
            <w:pPr>
              <w:spacing w:before="40" w:line="208" w:lineRule="auto"/>
              <w:ind w:left="26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913" w:type="dxa"/>
            <w:vAlign w:val="top"/>
          </w:tcPr>
          <w:p>
            <w:pPr>
              <w:spacing w:before="40" w:line="208" w:lineRule="auto"/>
              <w:ind w:left="2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1448" w:type="dxa"/>
            <w:vAlign w:val="top"/>
          </w:tcPr>
          <w:p>
            <w:pPr>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评分标准</w:t>
            </w:r>
          </w:p>
        </w:tc>
        <w:tc>
          <w:tcPr>
            <w:tcW w:w="4972" w:type="dxa"/>
            <w:vAlign w:val="top"/>
          </w:tcPr>
          <w:p>
            <w:pPr>
              <w:spacing w:before="40" w:line="208"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说明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6" w:hRule="atLeast"/>
          <w:jc w:val="center"/>
        </w:trPr>
        <w:tc>
          <w:tcPr>
            <w:tcW w:w="839" w:type="dxa"/>
            <w:vAlign w:val="center"/>
          </w:tcPr>
          <w:p>
            <w:pPr>
              <w:pStyle w:val="14"/>
              <w:jc w:val="center"/>
              <w:rPr>
                <w:rFonts w:hint="eastAsia" w:asciiTheme="minorEastAsia" w:hAnsiTheme="minorEastAsia" w:eastAsiaTheme="minorEastAsia" w:cstheme="minorEastAsia"/>
                <w:sz w:val="24"/>
                <w:szCs w:val="24"/>
                <w:lang w:val="en-US" w:eastAsia="zh-CN"/>
              </w:rPr>
            </w:pPr>
          </w:p>
          <w:p>
            <w:pPr>
              <w:pStyle w:val="14"/>
              <w:jc w:val="center"/>
              <w:rPr>
                <w:rFonts w:hint="eastAsia" w:asciiTheme="minorEastAsia" w:hAnsiTheme="minorEastAsia" w:eastAsiaTheme="minorEastAsia" w:cstheme="minorEastAsia"/>
                <w:sz w:val="24"/>
                <w:szCs w:val="24"/>
                <w:lang w:val="en-US" w:eastAsia="zh-CN"/>
              </w:rPr>
            </w:pPr>
          </w:p>
          <w:p>
            <w:pPr>
              <w:pStyle w:val="14"/>
              <w:jc w:val="center"/>
              <w:rPr>
                <w:rFonts w:hint="eastAsia" w:asciiTheme="minorEastAsia" w:hAnsiTheme="minorEastAsia" w:eastAsiaTheme="minorEastAsia" w:cstheme="minorEastAsia"/>
                <w:sz w:val="24"/>
                <w:szCs w:val="24"/>
                <w:lang w:val="en-US" w:eastAsia="zh-CN"/>
              </w:rPr>
            </w:pPr>
          </w:p>
          <w:p>
            <w:pPr>
              <w:pStyle w:val="14"/>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461" w:type="dxa"/>
            <w:vAlign w:val="center"/>
          </w:tcPr>
          <w:p>
            <w:pPr>
              <w:spacing w:before="78" w:line="219" w:lineRule="auto"/>
              <w:jc w:val="center"/>
              <w:rPr>
                <w:rFonts w:hint="eastAsia" w:asciiTheme="minorEastAsia" w:hAnsiTheme="minorEastAsia" w:eastAsiaTheme="minorEastAsia" w:cstheme="minorEastAsia"/>
                <w:spacing w:val="-3"/>
                <w:sz w:val="24"/>
                <w:szCs w:val="24"/>
              </w:rPr>
            </w:pPr>
          </w:p>
          <w:p>
            <w:pPr>
              <w:spacing w:before="78" w:line="219" w:lineRule="auto"/>
              <w:ind w:left="272"/>
              <w:jc w:val="center"/>
              <w:rPr>
                <w:rFonts w:hint="eastAsia" w:asciiTheme="minorEastAsia" w:hAnsiTheme="minorEastAsia" w:eastAsiaTheme="minorEastAsia" w:cstheme="minorEastAsia"/>
                <w:spacing w:val="-3"/>
                <w:sz w:val="24"/>
                <w:szCs w:val="24"/>
              </w:rPr>
            </w:pPr>
          </w:p>
          <w:p>
            <w:pPr>
              <w:spacing w:before="78" w:line="21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磋商</w:t>
            </w:r>
            <w:r>
              <w:rPr>
                <w:rFonts w:hint="eastAsia" w:asciiTheme="minorEastAsia" w:hAnsiTheme="minorEastAsia" w:eastAsiaTheme="minorEastAsia" w:cstheme="minorEastAsia"/>
                <w:spacing w:val="-3"/>
                <w:sz w:val="24"/>
                <w:szCs w:val="24"/>
              </w:rPr>
              <w:t>报价</w:t>
            </w:r>
          </w:p>
        </w:tc>
        <w:tc>
          <w:tcPr>
            <w:tcW w:w="913" w:type="dxa"/>
            <w:vAlign w:val="center"/>
          </w:tcPr>
          <w:p>
            <w:pPr>
              <w:pStyle w:val="14"/>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w:t>
            </w:r>
          </w:p>
        </w:tc>
        <w:tc>
          <w:tcPr>
            <w:tcW w:w="1448" w:type="dxa"/>
            <w:vAlign w:val="top"/>
          </w:tcPr>
          <w:p>
            <w:pPr>
              <w:spacing w:before="191" w:line="235" w:lineRule="auto"/>
              <w:ind w:left="113" w:right="10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pacing w:val="10"/>
                <w:sz w:val="24"/>
                <w:szCs w:val="24"/>
              </w:rPr>
              <w:t>文件要求且</w:t>
            </w:r>
            <w:r>
              <w:rPr>
                <w:rFonts w:hint="eastAsia" w:asciiTheme="minorEastAsia" w:hAnsiTheme="minorEastAsia" w:eastAsiaTheme="minorEastAsia" w:cstheme="minorEastAsia"/>
                <w:spacing w:val="10"/>
                <w:sz w:val="24"/>
                <w:szCs w:val="24"/>
                <w:lang w:val="en-US" w:eastAsia="zh-CN"/>
              </w:rPr>
              <w:t>磋商</w:t>
            </w:r>
            <w:r>
              <w:rPr>
                <w:rFonts w:hint="eastAsia" w:asciiTheme="minorEastAsia" w:hAnsiTheme="minorEastAsia" w:eastAsiaTheme="minorEastAsia" w:cstheme="minorEastAsia"/>
                <w:spacing w:val="10"/>
                <w:sz w:val="24"/>
                <w:szCs w:val="24"/>
              </w:rPr>
              <w:t>价格最低</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13"/>
                <w:sz w:val="24"/>
                <w:szCs w:val="24"/>
              </w:rPr>
              <w:t>的</w:t>
            </w:r>
            <w:r>
              <w:rPr>
                <w:rFonts w:hint="eastAsia" w:asciiTheme="minorEastAsia" w:hAnsiTheme="minorEastAsia" w:eastAsiaTheme="minorEastAsia" w:cstheme="minorEastAsia"/>
                <w:spacing w:val="-13"/>
                <w:sz w:val="24"/>
                <w:szCs w:val="24"/>
                <w:lang w:val="en-US" w:eastAsia="zh-CN"/>
              </w:rPr>
              <w:t>磋商</w:t>
            </w:r>
            <w:r>
              <w:rPr>
                <w:rFonts w:hint="eastAsia" w:asciiTheme="minorEastAsia" w:hAnsiTheme="minorEastAsia" w:eastAsiaTheme="minorEastAsia" w:cstheme="minorEastAsia"/>
                <w:spacing w:val="-13"/>
                <w:sz w:val="24"/>
                <w:szCs w:val="24"/>
              </w:rPr>
              <w:t>报价为评标基准价， 其价格分</w:t>
            </w:r>
            <w:r>
              <w:rPr>
                <w:rFonts w:hint="eastAsia" w:asciiTheme="minorEastAsia" w:hAnsiTheme="minorEastAsia" w:eastAsiaTheme="minorEastAsia" w:cstheme="minorEastAsia"/>
                <w:spacing w:val="-6"/>
                <w:sz w:val="24"/>
                <w:szCs w:val="24"/>
              </w:rPr>
              <w:t>为满分。其他</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6"/>
                <w:sz w:val="24"/>
                <w:szCs w:val="24"/>
              </w:rPr>
              <w:t>的价格分统一按</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rPr>
              <w:t>照下列公式计算：</w:t>
            </w:r>
          </w:p>
          <w:p>
            <w:pPr>
              <w:pStyle w:val="14"/>
              <w:spacing w:before="26" w:line="228" w:lineRule="auto"/>
              <w:ind w:left="111" w:leftChars="0" w:right="103" w:rightChars="0" w:firstLine="4"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报价得分</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7"/>
                <w:sz w:val="24"/>
                <w:szCs w:val="24"/>
              </w:rPr>
              <w:t>评标基准价/</w:t>
            </w: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12"/>
                <w:sz w:val="24"/>
                <w:szCs w:val="24"/>
              </w:rPr>
              <w:t>报价）×分值。</w:t>
            </w:r>
          </w:p>
        </w:tc>
        <w:tc>
          <w:tcPr>
            <w:tcW w:w="4972" w:type="dxa"/>
            <w:vAlign w:val="top"/>
          </w:tcPr>
          <w:p>
            <w:pPr>
              <w:spacing w:before="191" w:line="235" w:lineRule="auto"/>
              <w:ind w:left="113" w:leftChars="0" w:right="103" w:righ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lang w:eastAsia="zh-CN"/>
              </w:rPr>
              <w:t>注：根据《政府采购促进中小企业发展管理办法》（财库﹝2020﹞46 号）、《关于进一步加大政府采购支持中小企业力度的通知》《财政部 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4"/>
                <w:szCs w:val="24"/>
                <w:lang w:val="en-US" w:eastAsia="zh-CN" w:bidi="ar-SA"/>
              </w:rPr>
              <w:t>响应</w:t>
            </w:r>
            <w:r>
              <w:rPr>
                <w:rFonts w:hint="eastAsia" w:asciiTheme="minorEastAsia" w:hAnsiTheme="minorEastAsia" w:eastAsiaTheme="minorEastAsia" w:cstheme="minorEastAsia"/>
                <w:spacing w:val="-13"/>
                <w:sz w:val="24"/>
                <w:szCs w:val="24"/>
                <w:lang w:eastAsia="zh-CN"/>
              </w:rPr>
              <w:t>文件中提交了《</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13"/>
                <w:sz w:val="24"/>
                <w:szCs w:val="24"/>
                <w:lang w:eastAsia="zh-CN"/>
              </w:rPr>
              <w:t>企业类型声明函》或《残疾人福利性单位声明函》或省级以上监狱管理局、戒毒管理局（含新疆生产建设兵团）出具的属于监狱企业的证明文件的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13"/>
                <w:sz w:val="24"/>
                <w:szCs w:val="24"/>
                <w:lang w:eastAsia="zh-CN"/>
              </w:rPr>
              <w:t>，其</w:t>
            </w:r>
            <w:r>
              <w:rPr>
                <w:rFonts w:hint="eastAsia" w:asciiTheme="minorEastAsia" w:hAnsiTheme="minorEastAsia" w:eastAsiaTheme="minorEastAsia" w:cstheme="minorEastAsia"/>
                <w:spacing w:val="-13"/>
                <w:sz w:val="24"/>
                <w:szCs w:val="24"/>
                <w:lang w:val="en-US" w:eastAsia="zh-CN"/>
              </w:rPr>
              <w:t>磋商</w:t>
            </w:r>
            <w:r>
              <w:rPr>
                <w:rFonts w:hint="eastAsia" w:asciiTheme="minorEastAsia" w:hAnsiTheme="minorEastAsia" w:eastAsiaTheme="minorEastAsia" w:cstheme="minorEastAsia"/>
                <w:spacing w:val="-13"/>
                <w:sz w:val="24"/>
                <w:szCs w:val="24"/>
                <w:lang w:eastAsia="zh-CN"/>
              </w:rPr>
              <w:t>报价扣除</w:t>
            </w:r>
            <w:r>
              <w:rPr>
                <w:rFonts w:hint="eastAsia" w:asciiTheme="minorEastAsia" w:hAnsiTheme="minorEastAsia" w:eastAsiaTheme="minorEastAsia" w:cstheme="minorEastAsia"/>
                <w:spacing w:val="-13"/>
                <w:sz w:val="24"/>
                <w:szCs w:val="24"/>
                <w:u w:val="single"/>
                <w:lang w:val="en-US" w:eastAsia="zh-CN"/>
              </w:rPr>
              <w:t xml:space="preserve"> 10 </w:t>
            </w:r>
            <w:r>
              <w:rPr>
                <w:rFonts w:hint="eastAsia" w:asciiTheme="minorEastAsia" w:hAnsiTheme="minorEastAsia" w:eastAsiaTheme="minorEastAsia" w:cstheme="minorEastAsia"/>
                <w:spacing w:val="-13"/>
                <w:sz w:val="24"/>
                <w:szCs w:val="24"/>
                <w:lang w:eastAsia="zh-CN"/>
              </w:rPr>
              <w:t>%后参与评审。对于同时属于小微企业、监狱企业或残疾人福利性单位的，不重复进行</w:t>
            </w:r>
            <w:r>
              <w:rPr>
                <w:rFonts w:hint="eastAsia" w:asciiTheme="minorEastAsia" w:hAnsiTheme="minorEastAsia" w:eastAsiaTheme="minorEastAsia" w:cstheme="minorEastAsia"/>
                <w:spacing w:val="-13"/>
                <w:sz w:val="24"/>
                <w:szCs w:val="24"/>
                <w:lang w:val="en-US" w:eastAsia="zh-CN"/>
              </w:rPr>
              <w:t>磋商</w:t>
            </w:r>
            <w:r>
              <w:rPr>
                <w:rFonts w:hint="eastAsia" w:asciiTheme="minorEastAsia" w:hAnsiTheme="minorEastAsia" w:eastAsiaTheme="minorEastAsia" w:cstheme="minorEastAsia"/>
                <w:spacing w:val="-13"/>
                <w:sz w:val="24"/>
                <w:szCs w:val="24"/>
                <w:lang w:eastAsia="zh-CN"/>
              </w:rPr>
              <w:t>报价扣除。（</w:t>
            </w:r>
            <w:r>
              <w:rPr>
                <w:rFonts w:hint="eastAsia" w:asciiTheme="minorEastAsia" w:hAnsiTheme="minorEastAsia" w:eastAsiaTheme="minorEastAsia" w:cstheme="minorEastAsia"/>
                <w:spacing w:val="-13"/>
                <w:sz w:val="24"/>
                <w:szCs w:val="24"/>
                <w:lang w:val="en-US" w:eastAsia="zh-CN"/>
              </w:rPr>
              <w:t>专门面向中小企业的项目除外</w:t>
            </w:r>
            <w:r>
              <w:rPr>
                <w:rFonts w:hint="eastAsia" w:asciiTheme="minorEastAsia" w:hAnsiTheme="minorEastAsia" w:eastAsiaTheme="minorEastAsia" w:cstheme="minorEastAsia"/>
                <w:spacing w:val="-13"/>
                <w:sz w:val="24"/>
                <w:szCs w:val="24"/>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Align w:val="center"/>
          </w:tcPr>
          <w:p>
            <w:pPr>
              <w:pStyle w:val="14"/>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2</w:t>
            </w:r>
          </w:p>
        </w:tc>
        <w:tc>
          <w:tcPr>
            <w:tcW w:w="1461" w:type="dxa"/>
            <w:vAlign w:val="center"/>
          </w:tcPr>
          <w:p>
            <w:pPr>
              <w:spacing w:before="78" w:line="219" w:lineRule="auto"/>
              <w:ind w:firstLine="214" w:firstLineChars="10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技术或方案</w:t>
            </w:r>
          </w:p>
        </w:tc>
        <w:tc>
          <w:tcPr>
            <w:tcW w:w="913" w:type="dxa"/>
            <w:vAlign w:val="center"/>
          </w:tcPr>
          <w:p>
            <w:pPr>
              <w:pStyle w:val="14"/>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30</w:t>
            </w:r>
          </w:p>
        </w:tc>
        <w:tc>
          <w:tcPr>
            <w:tcW w:w="6420" w:type="dxa"/>
            <w:gridSpan w:val="2"/>
            <w:vAlign w:val="top"/>
          </w:tcPr>
          <w:p>
            <w:pPr>
              <w:pStyle w:val="14"/>
              <w:keepNext w:val="0"/>
              <w:keepLines w:val="0"/>
              <w:pageBreakBefore w:val="0"/>
              <w:widowControl/>
              <w:kinsoku w:val="0"/>
              <w:wordWrap/>
              <w:overflowPunct/>
              <w:topLinePunct w:val="0"/>
              <w:autoSpaceDE w:val="0"/>
              <w:autoSpaceDN w:val="0"/>
              <w:bidi w:val="0"/>
              <w:adjustRightInd w:val="0"/>
              <w:snapToGrid w:val="0"/>
              <w:spacing w:before="33" w:line="360" w:lineRule="auto"/>
              <w:ind w:left="74" w:right="23" w:firstLine="0"/>
              <w:jc w:val="both"/>
              <w:textAlignment w:val="baseline"/>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1、供应商提供的设备，完全满足竞争性磋商文件技术规范要求，设备性能满足或优于竞争性磋商文件技术规范要求，得基本分30分；</w:t>
            </w:r>
          </w:p>
          <w:p>
            <w:pPr>
              <w:pStyle w:val="14"/>
              <w:keepNext w:val="0"/>
              <w:keepLines w:val="0"/>
              <w:pageBreakBefore w:val="0"/>
              <w:widowControl/>
              <w:kinsoku w:val="0"/>
              <w:wordWrap/>
              <w:overflowPunct/>
              <w:topLinePunct w:val="0"/>
              <w:autoSpaceDE w:val="0"/>
              <w:autoSpaceDN w:val="0"/>
              <w:bidi w:val="0"/>
              <w:adjustRightInd w:val="0"/>
              <w:snapToGrid w:val="0"/>
              <w:spacing w:before="33" w:line="360" w:lineRule="auto"/>
              <w:ind w:left="74" w:right="23" w:firstLine="0"/>
              <w:jc w:val="both"/>
              <w:textAlignment w:val="baseline"/>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2、技术规格及要求的参数，“★”项实质性响应条款每有1项负偏离扣3分，除“★”项实质性响应条款外，每有1项负偏离扣2分，扣完为止（响应文件内的技术参数可提供产品检测报告等相关资料印证）。</w:t>
            </w:r>
          </w:p>
          <w:p>
            <w:pPr>
              <w:pStyle w:val="14"/>
              <w:keepNext w:val="0"/>
              <w:keepLines w:val="0"/>
              <w:pageBreakBefore w:val="0"/>
              <w:widowControl/>
              <w:kinsoku w:val="0"/>
              <w:wordWrap/>
              <w:overflowPunct/>
              <w:topLinePunct w:val="0"/>
              <w:autoSpaceDE w:val="0"/>
              <w:autoSpaceDN w:val="0"/>
              <w:bidi w:val="0"/>
              <w:adjustRightInd w:val="0"/>
              <w:snapToGrid w:val="0"/>
              <w:spacing w:before="33" w:line="360" w:lineRule="auto"/>
              <w:ind w:left="74" w:right="23" w:firstLine="0"/>
              <w:jc w:val="both"/>
              <w:textAlignment w:val="baseline"/>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napToGrid w:val="0"/>
                <w:color w:val="000000"/>
                <w:spacing w:val="-13"/>
                <w:kern w:val="0"/>
                <w:sz w:val="24"/>
                <w:szCs w:val="24"/>
                <w:lang w:val="en-US" w:eastAsia="en-US" w:bidi="ar-SA"/>
              </w:rPr>
              <w:t>注：技术条款必须如实响应，如发现虚假响应，则取消响应资格。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pPr>
              <w:pStyle w:val="14"/>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3</w:t>
            </w:r>
          </w:p>
        </w:tc>
        <w:tc>
          <w:tcPr>
            <w:tcW w:w="1461" w:type="dxa"/>
            <w:vMerge w:val="restart"/>
            <w:vAlign w:val="center"/>
          </w:tcPr>
          <w:p>
            <w:pPr>
              <w:spacing w:before="157" w:line="220" w:lineRule="auto"/>
              <w:ind w:left="148" w:leftChars="0"/>
              <w:jc w:val="center"/>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
                <w:sz w:val="24"/>
                <w:szCs w:val="24"/>
                <w:lang w:val="en-US" w:eastAsia="zh-CN"/>
              </w:rPr>
              <w:t>综合实力</w:t>
            </w:r>
          </w:p>
        </w:tc>
        <w:tc>
          <w:tcPr>
            <w:tcW w:w="913" w:type="dxa"/>
            <w:vMerge w:val="restart"/>
            <w:vAlign w:val="center"/>
          </w:tcPr>
          <w:p>
            <w:pPr>
              <w:pStyle w:val="14"/>
              <w:jc w:val="center"/>
              <w:rPr>
                <w:rFonts w:hint="default"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40</w:t>
            </w:r>
          </w:p>
        </w:tc>
        <w:tc>
          <w:tcPr>
            <w:tcW w:w="1448" w:type="dxa"/>
            <w:vAlign w:val="center"/>
          </w:tcPr>
          <w:p>
            <w:pPr>
              <w:jc w:val="center"/>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项目管理机构设置（4分）</w:t>
            </w:r>
          </w:p>
        </w:tc>
        <w:tc>
          <w:tcPr>
            <w:tcW w:w="4972" w:type="dxa"/>
            <w:vAlign w:val="center"/>
          </w:tcPr>
          <w:p>
            <w:pPr>
              <w:spacing w:line="360" w:lineRule="auto"/>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1、拟派往本项目的项目负责人具有ITSS项目经理证书或信息系统集成项目管理工程师证书的2分。</w:t>
            </w:r>
          </w:p>
          <w:p>
            <w:pPr>
              <w:spacing w:line="360" w:lineRule="auto"/>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2、拟派往本项目的项目组成员具有ITSS工程师证书、网络工程师证书、信息系统项目管理师证书、系统分析师的每有一项得0.5分，最多得2分。（同一人员具有多个证书的不累计计分）</w:t>
            </w:r>
          </w:p>
          <w:p>
            <w:pPr>
              <w:spacing w:line="360" w:lineRule="auto"/>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注：以上人员需提供供应商与之签订的劳动合同和供应商为其缴纳社保证明(社保证明材料指社保机构出具的社保养老证明，以本次竞争性磋商公告发布日期后出具为准，无社保机构盖章的证明和无时间显示的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pPr>
              <w:pStyle w:val="14"/>
              <w:jc w:val="center"/>
              <w:rPr>
                <w:rFonts w:hint="eastAsia" w:asciiTheme="minorEastAsia" w:hAnsiTheme="minorEastAsia" w:eastAsiaTheme="minorEastAsia" w:cstheme="minorEastAsia"/>
                <w:sz w:val="24"/>
                <w:szCs w:val="24"/>
                <w:lang w:val="en-US" w:eastAsia="zh-CN"/>
              </w:rPr>
            </w:pPr>
          </w:p>
        </w:tc>
        <w:tc>
          <w:tcPr>
            <w:tcW w:w="1461" w:type="dxa"/>
            <w:vMerge w:val="continue"/>
            <w:vAlign w:val="center"/>
          </w:tcPr>
          <w:p>
            <w:pPr>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913" w:type="dxa"/>
            <w:vMerge w:val="continue"/>
            <w:vAlign w:val="center"/>
          </w:tcPr>
          <w:p>
            <w:pPr>
              <w:pStyle w:val="14"/>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48" w:type="dxa"/>
            <w:vAlign w:val="center"/>
          </w:tcPr>
          <w:p>
            <w:pPr>
              <w:spacing w:line="360" w:lineRule="auto"/>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业绩</w:t>
            </w:r>
          </w:p>
          <w:p>
            <w:pPr>
              <w:spacing w:line="360" w:lineRule="auto"/>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tc>
        <w:tc>
          <w:tcPr>
            <w:tcW w:w="4972" w:type="dxa"/>
            <w:vAlign w:val="center"/>
          </w:tcPr>
          <w:p>
            <w:pPr>
              <w:spacing w:line="360" w:lineRule="auto"/>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供应商自2020年1月1日以来承接过类似项目业绩，每提供一份完整业绩得1分（需提供中标通知书、合同扫描件，时间以合同签订时间为准），本项最多得3分。</w:t>
            </w:r>
          </w:p>
          <w:p>
            <w:pPr>
              <w:spacing w:line="360" w:lineRule="auto"/>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供应商拟派项目负责人自2020年1月1日以来承接过类似项目业绩，每提供一份完整业绩得1分（需提供中标通知书、合同扫描件，时间以合同签订时间为准），项目负责人业绩与供应商企业业绩不重复计分，本项最多得2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pPr>
              <w:pStyle w:val="14"/>
              <w:jc w:val="center"/>
              <w:rPr>
                <w:rFonts w:hint="eastAsia" w:asciiTheme="minorEastAsia" w:hAnsiTheme="minorEastAsia" w:eastAsiaTheme="minorEastAsia" w:cstheme="minorEastAsia"/>
                <w:sz w:val="24"/>
                <w:szCs w:val="24"/>
                <w:lang w:val="en-US" w:eastAsia="zh-CN"/>
              </w:rPr>
            </w:pPr>
          </w:p>
        </w:tc>
        <w:tc>
          <w:tcPr>
            <w:tcW w:w="1461" w:type="dxa"/>
            <w:vMerge w:val="continue"/>
            <w:vAlign w:val="center"/>
          </w:tcPr>
          <w:p>
            <w:pPr>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913" w:type="dxa"/>
            <w:vMerge w:val="continue"/>
            <w:vAlign w:val="center"/>
          </w:tcPr>
          <w:p>
            <w:pPr>
              <w:pStyle w:val="14"/>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48" w:type="dxa"/>
            <w:vAlign w:val="center"/>
          </w:tcPr>
          <w:p>
            <w:pPr>
              <w:spacing w:line="360" w:lineRule="auto"/>
              <w:jc w:val="both"/>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企业综合实力（</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tc>
        <w:tc>
          <w:tcPr>
            <w:tcW w:w="4972" w:type="dxa"/>
            <w:vAlign w:val="center"/>
          </w:tcPr>
          <w:p>
            <w:pPr>
              <w:spacing w:line="360" w:lineRule="auto"/>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eastAsia="zh-CN"/>
              </w:rPr>
              <w:t>具有</w:t>
            </w:r>
            <w:r>
              <w:rPr>
                <w:rFonts w:hint="eastAsia" w:asciiTheme="minorEastAsia" w:hAnsiTheme="minorEastAsia" w:eastAsiaTheme="minorEastAsia" w:cstheme="minorEastAsia"/>
                <w:sz w:val="24"/>
                <w:szCs w:val="24"/>
              </w:rPr>
              <w:t>“水库工程标准化信息管理系统”</w:t>
            </w:r>
            <w:r>
              <w:rPr>
                <w:rFonts w:hint="eastAsia" w:asciiTheme="minorEastAsia" w:hAnsiTheme="minorEastAsia" w:eastAsiaTheme="minorEastAsia" w:cstheme="minorEastAsia"/>
                <w:sz w:val="24"/>
                <w:szCs w:val="24"/>
                <w:lang w:eastAsia="zh-CN"/>
              </w:rPr>
              <w:t>类知识产权，并被</w:t>
            </w:r>
            <w:r>
              <w:rPr>
                <w:rFonts w:hint="eastAsia" w:asciiTheme="minorEastAsia" w:hAnsiTheme="minorEastAsia" w:eastAsiaTheme="minorEastAsia" w:cstheme="minorEastAsia"/>
                <w:sz w:val="24"/>
                <w:szCs w:val="24"/>
              </w:rPr>
              <w:t>列入水利部《水利先进实用技术重点推广指导目录》的得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分，提供相关证书扫描件加盖公章。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pPr>
              <w:pStyle w:val="14"/>
              <w:jc w:val="center"/>
              <w:rPr>
                <w:rFonts w:hint="eastAsia" w:asciiTheme="minorEastAsia" w:hAnsiTheme="minorEastAsia" w:eastAsiaTheme="minorEastAsia" w:cstheme="minorEastAsia"/>
                <w:sz w:val="24"/>
                <w:szCs w:val="24"/>
                <w:lang w:val="en-US" w:eastAsia="zh-CN"/>
              </w:rPr>
            </w:pPr>
          </w:p>
        </w:tc>
        <w:tc>
          <w:tcPr>
            <w:tcW w:w="1461" w:type="dxa"/>
            <w:vMerge w:val="continue"/>
            <w:vAlign w:val="center"/>
          </w:tcPr>
          <w:p>
            <w:pPr>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913" w:type="dxa"/>
            <w:vMerge w:val="continue"/>
            <w:vAlign w:val="center"/>
          </w:tcPr>
          <w:p>
            <w:pPr>
              <w:pStyle w:val="14"/>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48" w:type="dxa"/>
            <w:vAlign w:val="center"/>
          </w:tcPr>
          <w:p>
            <w:pPr>
              <w:jc w:val="center"/>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bCs/>
                <w:sz w:val="24"/>
                <w:szCs w:val="24"/>
              </w:rPr>
              <w:t>总体方案（</w:t>
            </w:r>
            <w:r>
              <w:rPr>
                <w:rFonts w:hint="eastAsia" w:asciiTheme="minorEastAsia" w:hAnsiTheme="minorEastAsia" w:eastAsiaTheme="minorEastAsia" w:cstheme="minorEastAsia"/>
                <w:bCs/>
                <w:sz w:val="24"/>
                <w:szCs w:val="24"/>
                <w:lang w:val="en-US" w:eastAsia="zh-CN"/>
              </w:rPr>
              <w:t>3</w:t>
            </w:r>
            <w:r>
              <w:rPr>
                <w:rFonts w:hint="eastAsia" w:asciiTheme="minorEastAsia" w:hAnsiTheme="minorEastAsia" w:eastAsiaTheme="minorEastAsia" w:cstheme="minorEastAsia"/>
                <w:bCs/>
                <w:sz w:val="24"/>
                <w:szCs w:val="24"/>
              </w:rPr>
              <w:t>分）</w:t>
            </w:r>
          </w:p>
        </w:tc>
        <w:tc>
          <w:tcPr>
            <w:tcW w:w="4972" w:type="dxa"/>
            <w:vAlign w:val="center"/>
          </w:tcPr>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根据供应商总体方案的技术架构安全可靠性，逻辑层次的清晰性，功能的完整性、可行性，系统具备的开放性、可维护性等进行打分。</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第一档：总体方案完整，逻辑性层次清晰，可行性强</w:t>
            </w:r>
            <w:r>
              <w:rPr>
                <w:rFonts w:hint="eastAsia" w:asciiTheme="minorEastAsia" w:hAnsiTheme="minorEastAsia" w:eastAsiaTheme="minorEastAsia" w:cstheme="minorEastAsia"/>
                <w:bCs/>
                <w:sz w:val="24"/>
                <w:szCs w:val="24"/>
                <w:lang w:eastAsia="zh-CN"/>
              </w:rPr>
              <w:t>的</w:t>
            </w:r>
            <w:r>
              <w:rPr>
                <w:rFonts w:hint="eastAsia" w:asciiTheme="minorEastAsia" w:hAnsiTheme="minorEastAsia" w:eastAsiaTheme="minorEastAsia" w:cstheme="minorEastAsia"/>
                <w:bCs/>
                <w:sz w:val="24"/>
                <w:szCs w:val="24"/>
                <w:lang w:val="en-US" w:eastAsia="zh-CN"/>
              </w:rPr>
              <w:t>3</w:t>
            </w:r>
            <w:r>
              <w:rPr>
                <w:rFonts w:hint="eastAsia" w:asciiTheme="minorEastAsia" w:hAnsiTheme="minorEastAsia" w:eastAsiaTheme="minorEastAsia" w:cstheme="minorEastAsia"/>
                <w:bCs/>
                <w:sz w:val="24"/>
                <w:szCs w:val="24"/>
              </w:rPr>
              <w:t>分；</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第二档：总体方案较完整，逻辑性层次较清晰，有可行性</w:t>
            </w:r>
            <w:r>
              <w:rPr>
                <w:rFonts w:hint="eastAsia" w:asciiTheme="minorEastAsia" w:hAnsiTheme="minorEastAsia" w:eastAsiaTheme="minorEastAsia" w:cstheme="minorEastAsia"/>
                <w:bCs/>
                <w:sz w:val="24"/>
                <w:szCs w:val="24"/>
                <w:lang w:eastAsia="zh-CN"/>
              </w:rPr>
              <w:t>的</w:t>
            </w: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rPr>
              <w:t>分；</w:t>
            </w:r>
          </w:p>
          <w:p>
            <w:pPr>
              <w:spacing w:line="360" w:lineRule="auto"/>
              <w:ind w:firstLine="480" w:firstLineChars="2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第三档：总体方案一般，逻辑性、可行性一般</w:t>
            </w:r>
            <w:r>
              <w:rPr>
                <w:rFonts w:hint="eastAsia" w:asciiTheme="minorEastAsia" w:hAnsiTheme="minorEastAsia" w:eastAsiaTheme="minorEastAsia" w:cstheme="minorEastAsia"/>
                <w:bCs/>
                <w:sz w:val="24"/>
                <w:szCs w:val="24"/>
                <w:lang w:eastAsia="zh-CN"/>
              </w:rPr>
              <w:t>的</w:t>
            </w:r>
            <w:r>
              <w:rPr>
                <w:rFonts w:hint="eastAsia" w:asciiTheme="minorEastAsia" w:hAnsiTheme="minorEastAsia" w:eastAsiaTheme="minorEastAsia" w:cstheme="minorEastAsia"/>
                <w:bCs/>
                <w:sz w:val="24"/>
                <w:szCs w:val="24"/>
              </w:rPr>
              <w:t>1分；</w:t>
            </w:r>
          </w:p>
          <w:p>
            <w:pPr>
              <w:spacing w:line="360" w:lineRule="auto"/>
              <w:ind w:firstLine="480" w:firstLineChars="200"/>
              <w:rPr>
                <w:rFonts w:hint="eastAsia" w:asciiTheme="minorEastAsia" w:hAnsiTheme="minorEastAsia" w:eastAsiaTheme="minorEastAsia" w:cstheme="minorEastAsia"/>
                <w:bCs/>
                <w:snapToGrid w:val="0"/>
                <w:color w:val="000000"/>
                <w:kern w:val="0"/>
                <w:sz w:val="24"/>
                <w:szCs w:val="24"/>
                <w:lang w:val="en-US" w:eastAsia="zh-CN" w:bidi="ar-SA"/>
              </w:rPr>
            </w:pPr>
            <w:r>
              <w:rPr>
                <w:rFonts w:hint="eastAsia" w:asciiTheme="minorEastAsia" w:hAnsiTheme="minorEastAsia" w:eastAsiaTheme="minorEastAsia" w:cstheme="minorEastAsia"/>
                <w:sz w:val="24"/>
                <w:szCs w:val="24"/>
              </w:rPr>
              <w:t>以上项目缺项或不符合</w:t>
            </w:r>
            <w:r>
              <w:rPr>
                <w:rFonts w:hint="eastAsia" w:asciiTheme="minorEastAsia" w:hAnsiTheme="minorEastAsia" w:eastAsiaTheme="minorEastAsia" w:cstheme="minorEastAsia"/>
                <w:sz w:val="24"/>
                <w:szCs w:val="24"/>
                <w:lang w:eastAsia="zh-CN"/>
              </w:rPr>
              <w:t>竞争性磋商文件</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pPr>
              <w:pStyle w:val="14"/>
              <w:jc w:val="center"/>
              <w:rPr>
                <w:rFonts w:hint="eastAsia" w:asciiTheme="minorEastAsia" w:hAnsiTheme="minorEastAsia" w:eastAsiaTheme="minorEastAsia" w:cstheme="minorEastAsia"/>
                <w:sz w:val="24"/>
                <w:szCs w:val="24"/>
                <w:lang w:val="en-US" w:eastAsia="zh-CN"/>
              </w:rPr>
            </w:pPr>
          </w:p>
        </w:tc>
        <w:tc>
          <w:tcPr>
            <w:tcW w:w="1461" w:type="dxa"/>
            <w:vMerge w:val="continue"/>
            <w:vAlign w:val="center"/>
          </w:tcPr>
          <w:p>
            <w:pPr>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913" w:type="dxa"/>
            <w:vMerge w:val="continue"/>
            <w:vAlign w:val="center"/>
          </w:tcPr>
          <w:p>
            <w:pPr>
              <w:pStyle w:val="14"/>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48" w:type="dxa"/>
            <w:vMerge w:val="restart"/>
            <w:vAlign w:val="center"/>
          </w:tcPr>
          <w:p>
            <w:pPr>
              <w:spacing w:line="360" w:lineRule="auto"/>
              <w:jc w:val="center"/>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详细建设及监测方案</w:t>
            </w:r>
          </w:p>
          <w:p>
            <w:pPr>
              <w:spacing w:line="360" w:lineRule="auto"/>
              <w:ind w:firstLine="234" w:firstLineChars="0"/>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bCs/>
                <w:sz w:val="24"/>
                <w:szCs w:val="24"/>
                <w:highlight w:val="none"/>
              </w:rPr>
              <w:t>（</w:t>
            </w:r>
            <w:r>
              <w:rPr>
                <w:rFonts w:hint="eastAsia" w:asciiTheme="minorEastAsia" w:hAnsiTheme="minorEastAsia" w:eastAsiaTheme="minorEastAsia" w:cstheme="minorEastAsia"/>
                <w:bCs/>
                <w:sz w:val="24"/>
                <w:szCs w:val="24"/>
                <w:highlight w:val="none"/>
                <w:lang w:val="en-US" w:eastAsia="zh-CN"/>
              </w:rPr>
              <w:t>12</w:t>
            </w:r>
            <w:r>
              <w:rPr>
                <w:rFonts w:hint="eastAsia" w:asciiTheme="minorEastAsia" w:hAnsiTheme="minorEastAsia" w:eastAsiaTheme="minorEastAsia" w:cstheme="minorEastAsia"/>
                <w:bCs/>
                <w:sz w:val="24"/>
                <w:szCs w:val="24"/>
                <w:highlight w:val="none"/>
              </w:rPr>
              <w:t>分）</w:t>
            </w:r>
          </w:p>
        </w:tc>
        <w:tc>
          <w:tcPr>
            <w:tcW w:w="4972" w:type="dxa"/>
            <w:vAlign w:val="center"/>
          </w:tcPr>
          <w:p>
            <w:pPr>
              <w:numPr>
                <w:ilvl w:val="0"/>
                <w:numId w:val="2"/>
              </w:num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供应商能够准确、详细、清晰的描述项目现状、系统架构、资源规划、业务逻辑、功能开发、权限配置、数据交互、监测系统集成、联调部署等内容进行打分；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第一档：内容完整、完全符合</w:t>
            </w:r>
            <w:r>
              <w:rPr>
                <w:rFonts w:hint="eastAsia" w:asciiTheme="minorEastAsia" w:hAnsiTheme="minorEastAsia" w:eastAsiaTheme="minorEastAsia" w:cstheme="minorEastAsia"/>
                <w:sz w:val="24"/>
                <w:szCs w:val="24"/>
                <w:lang w:eastAsia="zh-CN"/>
              </w:rPr>
              <w:t>竞争性磋商文件</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第二档：内容基本完整、基本符合</w:t>
            </w:r>
            <w:r>
              <w:rPr>
                <w:rFonts w:hint="eastAsia" w:asciiTheme="minorEastAsia" w:hAnsiTheme="minorEastAsia" w:eastAsiaTheme="minorEastAsia" w:cstheme="minorEastAsia"/>
                <w:sz w:val="24"/>
                <w:szCs w:val="24"/>
                <w:lang w:eastAsia="zh-CN"/>
              </w:rPr>
              <w:t>竞争性磋商文件</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第三档：内容一般，符合</w:t>
            </w:r>
            <w:r>
              <w:rPr>
                <w:rFonts w:hint="eastAsia" w:asciiTheme="minorEastAsia" w:hAnsiTheme="minorEastAsia" w:eastAsiaTheme="minorEastAsia" w:cstheme="minorEastAsia"/>
                <w:sz w:val="24"/>
                <w:szCs w:val="24"/>
                <w:lang w:eastAsia="zh-CN"/>
              </w:rPr>
              <w:t>竞争性磋商文件</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1分。</w:t>
            </w:r>
          </w:p>
          <w:p>
            <w:pPr>
              <w:spacing w:line="360" w:lineRule="auto"/>
              <w:ind w:firstLine="480" w:firstLineChars="200"/>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rPr>
              <w:t>以上项目缺项或不符合</w:t>
            </w:r>
            <w:r>
              <w:rPr>
                <w:rFonts w:hint="eastAsia" w:asciiTheme="minorEastAsia" w:hAnsiTheme="minorEastAsia" w:eastAsiaTheme="minorEastAsia" w:cstheme="minorEastAsia"/>
                <w:sz w:val="24"/>
                <w:szCs w:val="24"/>
                <w:lang w:eastAsia="zh-CN"/>
              </w:rPr>
              <w:t>竞争性磋商文件</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pPr>
              <w:pStyle w:val="14"/>
              <w:jc w:val="center"/>
              <w:rPr>
                <w:rFonts w:hint="eastAsia" w:asciiTheme="minorEastAsia" w:hAnsiTheme="minorEastAsia" w:eastAsiaTheme="minorEastAsia" w:cstheme="minorEastAsia"/>
                <w:sz w:val="24"/>
                <w:szCs w:val="24"/>
                <w:lang w:val="en-US" w:eastAsia="zh-CN"/>
              </w:rPr>
            </w:pPr>
          </w:p>
        </w:tc>
        <w:tc>
          <w:tcPr>
            <w:tcW w:w="1461" w:type="dxa"/>
            <w:vMerge w:val="continue"/>
            <w:vAlign w:val="center"/>
          </w:tcPr>
          <w:p>
            <w:pPr>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913" w:type="dxa"/>
            <w:vMerge w:val="continue"/>
            <w:vAlign w:val="center"/>
          </w:tcPr>
          <w:p>
            <w:pPr>
              <w:pStyle w:val="14"/>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48" w:type="dxa"/>
            <w:vMerge w:val="continue"/>
            <w:vAlign w:val="top"/>
          </w:tcPr>
          <w:p>
            <w:pPr>
              <w:pStyle w:val="14"/>
              <w:spacing w:before="26" w:line="228" w:lineRule="auto"/>
              <w:ind w:left="111" w:right="103" w:firstLine="4"/>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4972" w:type="dxa"/>
            <w:vAlign w:val="center"/>
          </w:tcPr>
          <w:p>
            <w:pPr>
              <w:numPr>
                <w:ilvl w:val="0"/>
                <w:numId w:val="2"/>
              </w:num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供应商建设系统和监测系统开发实施管理自动化过程（自动识别险情、自动化报警等）成熟度，体现整个过程的量化反馈及先进的新思想、新技术促使开发过程持续不断改进等内容进行打分。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第一档：内容完整、完全符合</w:t>
            </w:r>
            <w:r>
              <w:rPr>
                <w:rFonts w:hint="eastAsia" w:asciiTheme="minorEastAsia" w:hAnsiTheme="minorEastAsia" w:eastAsiaTheme="minorEastAsia" w:cstheme="minorEastAsia"/>
                <w:sz w:val="24"/>
                <w:szCs w:val="24"/>
                <w:lang w:eastAsia="zh-CN"/>
              </w:rPr>
              <w:t>竞争性磋商文件</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第二档：内容基本完整、基本符合</w:t>
            </w:r>
            <w:r>
              <w:rPr>
                <w:rFonts w:hint="eastAsia" w:asciiTheme="minorEastAsia" w:hAnsiTheme="minorEastAsia" w:eastAsiaTheme="minorEastAsia" w:cstheme="minorEastAsia"/>
                <w:sz w:val="24"/>
                <w:szCs w:val="24"/>
                <w:lang w:eastAsia="zh-CN"/>
              </w:rPr>
              <w:t>竞争性磋商文件</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第三档：内容一般，符合</w:t>
            </w:r>
            <w:r>
              <w:rPr>
                <w:rFonts w:hint="eastAsia" w:asciiTheme="minorEastAsia" w:hAnsiTheme="minorEastAsia" w:eastAsiaTheme="minorEastAsia" w:cstheme="minorEastAsia"/>
                <w:sz w:val="24"/>
                <w:szCs w:val="24"/>
                <w:lang w:eastAsia="zh-CN"/>
              </w:rPr>
              <w:t>竞争性磋商文件</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1分。</w:t>
            </w:r>
          </w:p>
          <w:p>
            <w:pPr>
              <w:spacing w:line="360" w:lineRule="auto"/>
              <w:ind w:left="420" w:leftChars="200"/>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rPr>
              <w:t>以上项目缺项或不符合</w:t>
            </w:r>
            <w:r>
              <w:rPr>
                <w:rFonts w:hint="eastAsia" w:asciiTheme="minorEastAsia" w:hAnsiTheme="minorEastAsia" w:eastAsiaTheme="minorEastAsia" w:cstheme="minorEastAsia"/>
                <w:sz w:val="24"/>
                <w:szCs w:val="24"/>
                <w:lang w:eastAsia="zh-CN"/>
              </w:rPr>
              <w:t>竞争性磋商文件</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pPr>
              <w:pStyle w:val="14"/>
              <w:jc w:val="center"/>
              <w:rPr>
                <w:rFonts w:hint="eastAsia" w:asciiTheme="minorEastAsia" w:hAnsiTheme="minorEastAsia" w:eastAsiaTheme="minorEastAsia" w:cstheme="minorEastAsia"/>
                <w:sz w:val="24"/>
                <w:szCs w:val="24"/>
                <w:lang w:val="en-US" w:eastAsia="zh-CN"/>
              </w:rPr>
            </w:pPr>
          </w:p>
        </w:tc>
        <w:tc>
          <w:tcPr>
            <w:tcW w:w="1461" w:type="dxa"/>
            <w:vMerge w:val="continue"/>
            <w:vAlign w:val="center"/>
          </w:tcPr>
          <w:p>
            <w:pPr>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913" w:type="dxa"/>
            <w:vMerge w:val="continue"/>
            <w:vAlign w:val="center"/>
          </w:tcPr>
          <w:p>
            <w:pPr>
              <w:pStyle w:val="14"/>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48" w:type="dxa"/>
            <w:vMerge w:val="continue"/>
            <w:vAlign w:val="top"/>
          </w:tcPr>
          <w:p>
            <w:pPr>
              <w:pStyle w:val="14"/>
              <w:spacing w:before="26" w:line="228" w:lineRule="auto"/>
              <w:ind w:left="111" w:right="103" w:firstLine="4"/>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4972" w:type="dxa"/>
            <w:vAlign w:val="top"/>
          </w:tcPr>
          <w:p>
            <w:pPr>
              <w:numPr>
                <w:ilvl w:val="0"/>
                <w:numId w:val="2"/>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供应商拟派项目成员，配备合理程度，职责清晰程度，组织严密性，团队效能是否得以充分发挥等方面进行打分；</w:t>
            </w:r>
          </w:p>
          <w:p>
            <w:pPr>
              <w:spacing w:line="360" w:lineRule="auto"/>
              <w:ind w:left="420"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第一档：人员配备合理，职责清晰，组织严密</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pPr>
              <w:spacing w:line="360" w:lineRule="auto"/>
              <w:ind w:left="420"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第二档：人员配备基本合理，职责基本清晰，组织基本严密</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p>
            <w:pPr>
              <w:spacing w:line="360" w:lineRule="auto"/>
              <w:ind w:left="420" w:left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第三档：有人员配备方案，但是职责不明确</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1分；</w:t>
            </w:r>
          </w:p>
          <w:p>
            <w:pPr>
              <w:spacing w:line="360" w:lineRule="auto"/>
              <w:ind w:left="420" w:leftChars="200"/>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rPr>
              <w:t>以上项目缺项或不符合</w:t>
            </w:r>
            <w:r>
              <w:rPr>
                <w:rFonts w:hint="eastAsia" w:asciiTheme="minorEastAsia" w:hAnsiTheme="minorEastAsia" w:eastAsiaTheme="minorEastAsia" w:cstheme="minorEastAsia"/>
                <w:sz w:val="24"/>
                <w:szCs w:val="24"/>
                <w:lang w:eastAsia="zh-CN"/>
              </w:rPr>
              <w:t>竞争性磋商文件</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jc w:val="center"/>
        </w:trPr>
        <w:tc>
          <w:tcPr>
            <w:tcW w:w="839" w:type="dxa"/>
            <w:vMerge w:val="continue"/>
            <w:vAlign w:val="center"/>
          </w:tcPr>
          <w:p>
            <w:pPr>
              <w:pStyle w:val="14"/>
              <w:jc w:val="center"/>
              <w:rPr>
                <w:rFonts w:hint="eastAsia" w:asciiTheme="minorEastAsia" w:hAnsiTheme="minorEastAsia" w:eastAsiaTheme="minorEastAsia" w:cstheme="minorEastAsia"/>
                <w:sz w:val="24"/>
                <w:szCs w:val="24"/>
                <w:lang w:val="en-US" w:eastAsia="zh-CN"/>
              </w:rPr>
            </w:pPr>
          </w:p>
        </w:tc>
        <w:tc>
          <w:tcPr>
            <w:tcW w:w="1461" w:type="dxa"/>
            <w:vMerge w:val="continue"/>
            <w:vAlign w:val="center"/>
          </w:tcPr>
          <w:p>
            <w:pPr>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913" w:type="dxa"/>
            <w:vMerge w:val="continue"/>
            <w:vAlign w:val="center"/>
          </w:tcPr>
          <w:p>
            <w:pPr>
              <w:pStyle w:val="14"/>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48" w:type="dxa"/>
            <w:vMerge w:val="continue"/>
            <w:vAlign w:val="top"/>
          </w:tcPr>
          <w:p>
            <w:pPr>
              <w:pStyle w:val="14"/>
              <w:spacing w:before="26" w:line="228" w:lineRule="auto"/>
              <w:ind w:left="111" w:right="103" w:firstLine="4"/>
              <w:rPr>
                <w:rFonts w:hint="eastAsia" w:asciiTheme="minorEastAsia" w:hAnsiTheme="minorEastAsia" w:eastAsiaTheme="minorEastAsia" w:cstheme="minorEastAsia"/>
                <w:snapToGrid w:val="0"/>
                <w:color w:val="000000"/>
                <w:spacing w:val="-13"/>
                <w:kern w:val="0"/>
                <w:sz w:val="24"/>
                <w:szCs w:val="24"/>
                <w:lang w:val="en-US" w:eastAsia="en-US" w:bidi="ar-SA"/>
              </w:rPr>
            </w:pPr>
          </w:p>
        </w:tc>
        <w:tc>
          <w:tcPr>
            <w:tcW w:w="4972" w:type="dxa"/>
            <w:vAlign w:val="top"/>
          </w:tcPr>
          <w:p>
            <w:pPr>
              <w:numPr>
                <w:ilvl w:val="0"/>
                <w:numId w:val="2"/>
              </w:num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供应商质量保障体系完整性，措施严密程度，能够确保本项目的服务质量进行打分。</w:t>
            </w:r>
          </w:p>
          <w:p>
            <w:pPr>
              <w:numPr>
                <w:ilvl w:val="0"/>
                <w:numId w:val="0"/>
              </w:numPr>
              <w:spacing w:line="360" w:lineRule="auto"/>
              <w:ind w:firstLine="240"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第一档：质量保障体系完整，措施严密，服务质量好</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pPr>
              <w:numPr>
                <w:ilvl w:val="0"/>
                <w:numId w:val="0"/>
              </w:numPr>
              <w:spacing w:line="360" w:lineRule="auto"/>
              <w:ind w:firstLine="240"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第二档：质量保障体系基本完整，措施比较严密，服务质量较好</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p>
            <w:pPr>
              <w:numPr>
                <w:ilvl w:val="0"/>
                <w:numId w:val="0"/>
              </w:numPr>
              <w:spacing w:line="360" w:lineRule="auto"/>
              <w:ind w:firstLine="240"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第三档：有质量保障体系和措施，服务质量一般得1分；</w:t>
            </w:r>
          </w:p>
          <w:p>
            <w:pPr>
              <w:spacing w:line="360" w:lineRule="auto"/>
              <w:ind w:firstLine="240" w:firstLineChars="100"/>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rPr>
              <w:t>以上项目缺项或不符合</w:t>
            </w:r>
            <w:r>
              <w:rPr>
                <w:rFonts w:hint="eastAsia" w:asciiTheme="minorEastAsia" w:hAnsiTheme="minorEastAsia" w:eastAsiaTheme="minorEastAsia" w:cstheme="minorEastAsia"/>
                <w:sz w:val="24"/>
                <w:szCs w:val="24"/>
                <w:lang w:eastAsia="zh-CN"/>
              </w:rPr>
              <w:t>竞争性磋商文件</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pPr>
              <w:pStyle w:val="14"/>
              <w:jc w:val="center"/>
              <w:rPr>
                <w:rFonts w:hint="eastAsia" w:asciiTheme="minorEastAsia" w:hAnsiTheme="minorEastAsia" w:eastAsiaTheme="minorEastAsia" w:cstheme="minorEastAsia"/>
                <w:sz w:val="24"/>
                <w:szCs w:val="24"/>
                <w:lang w:val="en-US" w:eastAsia="zh-CN"/>
              </w:rPr>
            </w:pPr>
          </w:p>
        </w:tc>
        <w:tc>
          <w:tcPr>
            <w:tcW w:w="1461" w:type="dxa"/>
            <w:vMerge w:val="continue"/>
            <w:vAlign w:val="center"/>
          </w:tcPr>
          <w:p>
            <w:pPr>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913" w:type="dxa"/>
            <w:vMerge w:val="continue"/>
            <w:vAlign w:val="center"/>
          </w:tcPr>
          <w:p>
            <w:pPr>
              <w:pStyle w:val="14"/>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48" w:type="dxa"/>
            <w:vAlign w:val="center"/>
          </w:tcPr>
          <w:p>
            <w:pPr>
              <w:spacing w:line="360" w:lineRule="auto"/>
              <w:jc w:val="center"/>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应急预案、故障处理及异常数据处理方案</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p>
        </w:tc>
        <w:tc>
          <w:tcPr>
            <w:tcW w:w="4972" w:type="dxa"/>
            <w:vAlign w:val="center"/>
          </w:tcPr>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第一档：对采购需求理解准确，提供了具体可行的应急预案，制定完善的工作流程图，系统地阐述应急的判别与处置，并提供详细、全面的应急情况及解决方案，能完全满足采购需求的，得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第二档：提供的应急预案具有一定的可行性，制定的工作流程图不完整，提供的应急的判别与处置、应急情况及解决方案具有一定的针对性，能较好的满足采购需求的，得</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第三档：提供的应急预案可行性一般，提供的应急的判别与处置、应急情况及解决方案略有欠缺，基本满足采购需求的，得1分；</w:t>
            </w:r>
          </w:p>
          <w:p>
            <w:pPr>
              <w:spacing w:line="360" w:lineRule="auto"/>
              <w:ind w:firstLine="480" w:firstLineChars="200"/>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rPr>
              <w:t>以上项目缺项或不符合</w:t>
            </w:r>
            <w:r>
              <w:rPr>
                <w:rFonts w:hint="eastAsia" w:asciiTheme="minorEastAsia" w:hAnsiTheme="minorEastAsia" w:eastAsiaTheme="minorEastAsia" w:cstheme="minorEastAsia"/>
                <w:sz w:val="24"/>
                <w:szCs w:val="24"/>
                <w:lang w:eastAsia="zh-CN"/>
              </w:rPr>
              <w:t>竞争性磋商文件</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pPr>
              <w:pStyle w:val="14"/>
              <w:jc w:val="center"/>
              <w:rPr>
                <w:rFonts w:hint="eastAsia" w:asciiTheme="minorEastAsia" w:hAnsiTheme="minorEastAsia" w:eastAsiaTheme="minorEastAsia" w:cstheme="minorEastAsia"/>
                <w:sz w:val="24"/>
                <w:szCs w:val="24"/>
                <w:lang w:val="en-US" w:eastAsia="zh-CN"/>
              </w:rPr>
            </w:pPr>
          </w:p>
        </w:tc>
        <w:tc>
          <w:tcPr>
            <w:tcW w:w="1461" w:type="dxa"/>
            <w:vMerge w:val="continue"/>
            <w:vAlign w:val="center"/>
          </w:tcPr>
          <w:p>
            <w:pPr>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913" w:type="dxa"/>
            <w:vMerge w:val="continue"/>
            <w:vAlign w:val="center"/>
          </w:tcPr>
          <w:p>
            <w:pPr>
              <w:pStyle w:val="14"/>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48" w:type="dxa"/>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安全要求</w:t>
            </w:r>
          </w:p>
          <w:p>
            <w:pPr>
              <w:spacing w:line="360" w:lineRule="auto"/>
              <w:rPr>
                <w:rFonts w:hint="eastAsia" w:asciiTheme="minorEastAsia" w:hAnsiTheme="minorEastAsia" w:eastAsiaTheme="minorEastAsia" w:cstheme="minorEastAsia"/>
                <w:bCs/>
                <w:snapToGrid w:val="0"/>
                <w:color w:val="000000"/>
                <w:kern w:val="0"/>
                <w:sz w:val="24"/>
                <w:szCs w:val="24"/>
                <w:lang w:val="en-US" w:eastAsia="en-US" w:bidi="ar-SA"/>
              </w:rPr>
            </w:pPr>
            <w:r>
              <w:rPr>
                <w:rFonts w:hint="eastAsia" w:asciiTheme="minorEastAsia" w:hAnsiTheme="minorEastAsia" w:eastAsiaTheme="minorEastAsia" w:cstheme="minorEastAsia"/>
                <w:sz w:val="24"/>
                <w:szCs w:val="24"/>
              </w:rPr>
              <w:t>（3分）</w:t>
            </w:r>
          </w:p>
        </w:tc>
        <w:tc>
          <w:tcPr>
            <w:tcW w:w="4972" w:type="dxa"/>
            <w:vAlign w:val="center"/>
          </w:tcPr>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对供应商所建系统的安全性、是否有足够的手段保护数据不被篡改、盗用进行打分；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第一档：遵循最优的安全原则，具备完善的安全机制</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3分；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第二档：供应商安全意识较强，有安全机制得2分；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第三档：供应商有安全意识，安全机制一般得1分；</w:t>
            </w:r>
          </w:p>
          <w:p>
            <w:pPr>
              <w:pStyle w:val="16"/>
              <w:ind w:firstLine="480" w:firstLineChars="200"/>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rPr>
              <w:t>以上项目缺项或不符合</w:t>
            </w:r>
            <w:r>
              <w:rPr>
                <w:rFonts w:hint="eastAsia" w:asciiTheme="minorEastAsia" w:hAnsiTheme="minorEastAsia" w:eastAsiaTheme="minorEastAsia" w:cstheme="minorEastAsia"/>
                <w:sz w:val="24"/>
                <w:szCs w:val="24"/>
                <w:lang w:eastAsia="zh-CN"/>
              </w:rPr>
              <w:t>竞争性磋商文件</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pPr>
              <w:pStyle w:val="14"/>
              <w:jc w:val="center"/>
              <w:rPr>
                <w:rFonts w:hint="eastAsia" w:asciiTheme="minorEastAsia" w:hAnsiTheme="minorEastAsia" w:eastAsiaTheme="minorEastAsia" w:cstheme="minorEastAsia"/>
                <w:sz w:val="24"/>
                <w:szCs w:val="24"/>
                <w:lang w:val="en-US" w:eastAsia="zh-CN"/>
              </w:rPr>
            </w:pPr>
          </w:p>
        </w:tc>
        <w:tc>
          <w:tcPr>
            <w:tcW w:w="1461" w:type="dxa"/>
            <w:vMerge w:val="continue"/>
            <w:vAlign w:val="center"/>
          </w:tcPr>
          <w:p>
            <w:pPr>
              <w:spacing w:before="157" w:line="220" w:lineRule="auto"/>
              <w:ind w:left="148" w:leftChars="0"/>
              <w:jc w:val="center"/>
              <w:rPr>
                <w:rFonts w:hint="eastAsia" w:asciiTheme="minorEastAsia" w:hAnsiTheme="minorEastAsia" w:eastAsiaTheme="minorEastAsia" w:cstheme="minorEastAsia"/>
                <w:spacing w:val="-2"/>
                <w:sz w:val="24"/>
                <w:szCs w:val="24"/>
                <w:lang w:val="en-US" w:eastAsia="zh-CN"/>
              </w:rPr>
            </w:pPr>
          </w:p>
        </w:tc>
        <w:tc>
          <w:tcPr>
            <w:tcW w:w="913" w:type="dxa"/>
            <w:vMerge w:val="continue"/>
            <w:vAlign w:val="center"/>
          </w:tcPr>
          <w:p>
            <w:pPr>
              <w:pStyle w:val="14"/>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48" w:type="dxa"/>
            <w:vAlign w:val="center"/>
          </w:tcPr>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培训要求</w:t>
            </w:r>
          </w:p>
          <w:p>
            <w:pPr>
              <w:spacing w:line="360" w:lineRule="auto"/>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p>
        </w:tc>
        <w:tc>
          <w:tcPr>
            <w:tcW w:w="4972" w:type="dxa"/>
            <w:vAlign w:val="center"/>
          </w:tcPr>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第一档：供应商提供的培训方式全面可行，培训内容包含系系统的基础知识、系统操作及故障维护，培训计划合理，可操作性强，得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第二档：供应商提供的培训方式具有一定的可行性，培训内容仅包含系统的基础操作，培训计划不能切合实际，可操作性一般，得2分；</w:t>
            </w:r>
          </w:p>
          <w:p>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第三档：供应商提供的培训方式可行性差，培训内容与本项目不符，培训计划无法满足项目要求，得1分；</w:t>
            </w:r>
          </w:p>
          <w:p>
            <w:pPr>
              <w:spacing w:line="360" w:lineRule="auto"/>
              <w:ind w:firstLine="480" w:firstLineChars="200"/>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rPr>
              <w:t>以上项目缺项或不符合</w:t>
            </w:r>
            <w:r>
              <w:rPr>
                <w:rFonts w:hint="eastAsia" w:asciiTheme="minorEastAsia" w:hAnsiTheme="minorEastAsia" w:eastAsiaTheme="minorEastAsia" w:cstheme="minorEastAsia"/>
                <w:sz w:val="24"/>
                <w:szCs w:val="24"/>
                <w:lang w:eastAsia="zh-CN"/>
              </w:rPr>
              <w:t>竞争性磋商文件</w:t>
            </w:r>
            <w:r>
              <w:rPr>
                <w:rFonts w:hint="eastAsia" w:asciiTheme="minorEastAsia" w:hAnsiTheme="minorEastAsia" w:eastAsiaTheme="minorEastAsia" w:cstheme="minorEastAsia"/>
                <w:sz w:val="24"/>
                <w:szCs w:val="24"/>
              </w:rPr>
              <w:t>要求</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pPr>
              <w:pStyle w:val="14"/>
              <w:jc w:val="center"/>
              <w:rPr>
                <w:rFonts w:hint="eastAsia" w:asciiTheme="minorEastAsia" w:hAnsiTheme="minorEastAsia" w:eastAsiaTheme="minorEastAsia" w:cstheme="minorEastAsia"/>
                <w:snapToGrid w:val="0"/>
                <w:color w:val="000000"/>
                <w:kern w:val="0"/>
                <w:sz w:val="24"/>
                <w:szCs w:val="24"/>
                <w:lang w:val="en-US" w:eastAsia="zh-CN" w:bidi="ar-SA"/>
              </w:rPr>
            </w:pPr>
          </w:p>
        </w:tc>
        <w:tc>
          <w:tcPr>
            <w:tcW w:w="1461" w:type="dxa"/>
            <w:vMerge w:val="continue"/>
            <w:vAlign w:val="center"/>
          </w:tcPr>
          <w:p>
            <w:pPr>
              <w:spacing w:before="157" w:line="220" w:lineRule="auto"/>
              <w:ind w:left="148" w:leftChars="0"/>
              <w:jc w:val="center"/>
              <w:rPr>
                <w:rFonts w:hint="eastAsia" w:asciiTheme="minorEastAsia" w:hAnsiTheme="minorEastAsia" w:eastAsiaTheme="minorEastAsia" w:cstheme="minorEastAsia"/>
                <w:snapToGrid w:val="0"/>
                <w:color w:val="000000"/>
                <w:kern w:val="0"/>
                <w:sz w:val="24"/>
                <w:szCs w:val="24"/>
                <w:lang w:val="en-US" w:eastAsia="zh-CN" w:bidi="ar-SA"/>
              </w:rPr>
            </w:pPr>
          </w:p>
        </w:tc>
        <w:tc>
          <w:tcPr>
            <w:tcW w:w="913" w:type="dxa"/>
            <w:vMerge w:val="continue"/>
            <w:vAlign w:val="center"/>
          </w:tcPr>
          <w:p>
            <w:pPr>
              <w:pStyle w:val="14"/>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p>
        </w:tc>
        <w:tc>
          <w:tcPr>
            <w:tcW w:w="1448" w:type="dxa"/>
            <w:vAlign w:val="top"/>
          </w:tcPr>
          <w:p>
            <w:pPr>
              <w:pStyle w:val="14"/>
              <w:spacing w:before="26" w:line="228" w:lineRule="auto"/>
              <w:ind w:left="111" w:right="103" w:firstLine="4"/>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asciiTheme="minorEastAsia" w:hAnsiTheme="minorEastAsia" w:eastAsiaTheme="minorEastAsia" w:cstheme="minorEastAsia"/>
                <w:sz w:val="24"/>
                <w:szCs w:val="24"/>
              </w:rPr>
              <w:t>信用评价（2分）</w:t>
            </w:r>
          </w:p>
        </w:tc>
        <w:tc>
          <w:tcPr>
            <w:tcW w:w="4972" w:type="dxa"/>
            <w:vAlign w:val="top"/>
          </w:tcPr>
          <w:p>
            <w:pPr>
              <w:pStyle w:val="14"/>
              <w:keepNext w:val="0"/>
              <w:keepLines w:val="0"/>
              <w:pageBreakBefore w:val="0"/>
              <w:widowControl/>
              <w:kinsoku w:val="0"/>
              <w:wordWrap/>
              <w:overflowPunct/>
              <w:topLinePunct w:val="0"/>
              <w:autoSpaceDE w:val="0"/>
              <w:autoSpaceDN w:val="0"/>
              <w:bidi w:val="0"/>
              <w:adjustRightInd w:val="0"/>
              <w:snapToGrid w:val="0"/>
              <w:spacing w:before="33" w:line="360" w:lineRule="auto"/>
              <w:ind w:left="74" w:right="23" w:firstLine="428" w:firstLineChars="200"/>
              <w:jc w:val="both"/>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根据南阳市政府采购信用评价实施办法，诚信指数高的供应商（供应商），在参加南阳市本级的政府采购活动时，享受政策支持，在采用综合评分法的项目中，三星级的加1分，四星级的加2分；供应商（供应商）可在响应文件递交截止前三个工作日，登录“南阳市政府采购信用管理系统”在线打印《南阳市政府采购供应商信用记录表》，作为响应文件的组成部分提交，评审时作为享受政策支持的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Align w:val="center"/>
          </w:tcPr>
          <w:p>
            <w:pPr>
              <w:pStyle w:val="14"/>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4</w:t>
            </w:r>
          </w:p>
        </w:tc>
        <w:tc>
          <w:tcPr>
            <w:tcW w:w="1461" w:type="dxa"/>
            <w:vAlign w:val="center"/>
          </w:tcPr>
          <w:p>
            <w:pPr>
              <w:spacing w:before="78" w:line="219" w:lineRule="auto"/>
              <w:ind w:firstLine="214" w:firstLineChars="100"/>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售后服务或其他</w:t>
            </w:r>
          </w:p>
        </w:tc>
        <w:tc>
          <w:tcPr>
            <w:tcW w:w="913" w:type="dxa"/>
            <w:vAlign w:val="center"/>
          </w:tcPr>
          <w:p>
            <w:pPr>
              <w:pStyle w:val="14"/>
              <w:jc w:val="center"/>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3</w:t>
            </w:r>
          </w:p>
        </w:tc>
        <w:tc>
          <w:tcPr>
            <w:tcW w:w="6420" w:type="dxa"/>
            <w:gridSpan w:val="2"/>
            <w:vAlign w:val="top"/>
          </w:tcPr>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供应商需要编制售后服务方案，列明售后服务期起止时间、服务人员、响应时间、响应流程、故障级别、故障排除时间、服务方式、服务地点、重大疑难问题解决方式、服务人员数量及能力水平、质保期外所能提供的免费服务及收费服务内容、收费标准</w:t>
            </w:r>
            <w:r>
              <w:rPr>
                <w:rFonts w:hint="eastAsia" w:ascii="宋体" w:hAnsi="宋体" w:cs="宋体"/>
                <w:sz w:val="24"/>
                <w:szCs w:val="24"/>
                <w:lang w:eastAsia="zh-CN"/>
              </w:rPr>
              <w:t>或</w:t>
            </w:r>
            <w:r>
              <w:rPr>
                <w:rFonts w:hint="eastAsia" w:ascii="宋体" w:hAnsi="宋体" w:cs="宋体"/>
                <w:sz w:val="24"/>
                <w:szCs w:val="24"/>
              </w:rPr>
              <w:t>其他优惠服务措施；</w:t>
            </w:r>
          </w:p>
          <w:p>
            <w:pPr>
              <w:spacing w:line="360" w:lineRule="auto"/>
              <w:ind w:firstLine="480" w:firstLineChars="200"/>
              <w:jc w:val="both"/>
              <w:rPr>
                <w:rFonts w:hint="eastAsia" w:ascii="宋体" w:hAnsi="宋体" w:cs="宋体"/>
                <w:sz w:val="24"/>
                <w:szCs w:val="24"/>
              </w:rPr>
            </w:pPr>
            <w:r>
              <w:rPr>
                <w:rFonts w:hint="eastAsia" w:ascii="宋体" w:hAnsi="宋体" w:cs="宋体"/>
                <w:sz w:val="24"/>
                <w:szCs w:val="24"/>
              </w:rPr>
              <w:t>第一档：服务措施及方案完整</w:t>
            </w:r>
            <w:r>
              <w:rPr>
                <w:rFonts w:hint="eastAsia" w:ascii="宋体" w:hAnsi="宋体" w:cs="宋体"/>
                <w:sz w:val="24"/>
                <w:szCs w:val="24"/>
                <w:lang w:eastAsia="zh-CN"/>
              </w:rPr>
              <w:t>的</w:t>
            </w:r>
            <w:r>
              <w:rPr>
                <w:rFonts w:hint="eastAsia" w:ascii="宋体" w:hAnsi="宋体" w:cs="宋体"/>
                <w:sz w:val="24"/>
                <w:szCs w:val="24"/>
              </w:rPr>
              <w:t>3分；</w:t>
            </w:r>
          </w:p>
          <w:p>
            <w:pPr>
              <w:spacing w:line="360" w:lineRule="auto"/>
              <w:ind w:firstLine="480" w:firstLineChars="200"/>
              <w:jc w:val="both"/>
              <w:rPr>
                <w:rFonts w:hint="eastAsia" w:ascii="宋体" w:hAnsi="宋体" w:cs="宋体"/>
                <w:sz w:val="24"/>
                <w:szCs w:val="24"/>
              </w:rPr>
            </w:pPr>
            <w:r>
              <w:rPr>
                <w:rFonts w:hint="eastAsia" w:cs="宋体"/>
                <w:sz w:val="24"/>
                <w:szCs w:val="24"/>
              </w:rPr>
              <w:t>第二档：</w:t>
            </w:r>
            <w:r>
              <w:rPr>
                <w:rFonts w:hint="eastAsia" w:ascii="宋体" w:hAnsi="宋体" w:cs="宋体"/>
                <w:sz w:val="24"/>
                <w:szCs w:val="24"/>
              </w:rPr>
              <w:t>服务措施及方案较为完整</w:t>
            </w:r>
            <w:r>
              <w:rPr>
                <w:rFonts w:hint="eastAsia" w:ascii="宋体" w:hAnsi="宋体" w:cs="宋体"/>
                <w:sz w:val="24"/>
                <w:szCs w:val="24"/>
                <w:lang w:eastAsia="zh-CN"/>
              </w:rPr>
              <w:t>的</w:t>
            </w:r>
            <w:r>
              <w:rPr>
                <w:rFonts w:hint="eastAsia" w:ascii="宋体" w:hAnsi="宋体" w:cs="宋体"/>
                <w:sz w:val="24"/>
                <w:szCs w:val="24"/>
              </w:rPr>
              <w:t>2分；</w:t>
            </w:r>
          </w:p>
          <w:p>
            <w:pPr>
              <w:pStyle w:val="16"/>
              <w:keepNext w:val="0"/>
              <w:keepLines w:val="0"/>
              <w:ind w:firstLine="420"/>
              <w:rPr>
                <w:sz w:val="24"/>
                <w:szCs w:val="24"/>
              </w:rPr>
            </w:pPr>
            <w:r>
              <w:rPr>
                <w:rFonts w:hint="eastAsia" w:cs="宋体"/>
                <w:sz w:val="24"/>
                <w:szCs w:val="24"/>
              </w:rPr>
              <w:t>第三档：服务措施及方案一般得1分；</w:t>
            </w:r>
          </w:p>
          <w:p>
            <w:pPr>
              <w:pStyle w:val="14"/>
              <w:spacing w:before="33" w:line="235" w:lineRule="auto"/>
              <w:ind w:left="76" w:right="23" w:firstLine="2"/>
              <w:jc w:val="both"/>
              <w:rPr>
                <w:rFonts w:hint="eastAsia" w:asciiTheme="minorEastAsia" w:hAnsiTheme="minorEastAsia" w:eastAsiaTheme="minorEastAsia" w:cstheme="minorEastAsia"/>
                <w:snapToGrid w:val="0"/>
                <w:color w:val="000000"/>
                <w:spacing w:val="-13"/>
                <w:kern w:val="0"/>
                <w:sz w:val="24"/>
                <w:szCs w:val="24"/>
                <w:lang w:val="en-US" w:eastAsia="en-US" w:bidi="ar-SA"/>
              </w:rPr>
            </w:pPr>
            <w:r>
              <w:rPr>
                <w:rFonts w:hint="eastAsia" w:cs="宋体"/>
                <w:sz w:val="24"/>
                <w:szCs w:val="24"/>
              </w:rPr>
              <w:t>以上项目缺项或不符合</w:t>
            </w:r>
            <w:r>
              <w:rPr>
                <w:rFonts w:hint="eastAsia" w:cs="宋体"/>
                <w:sz w:val="24"/>
                <w:szCs w:val="24"/>
                <w:lang w:eastAsia="zh-CN"/>
              </w:rPr>
              <w:t>竞争性磋商文件</w:t>
            </w:r>
            <w:r>
              <w:rPr>
                <w:rFonts w:hint="eastAsia" w:cs="宋体"/>
                <w:sz w:val="24"/>
                <w:szCs w:val="24"/>
              </w:rPr>
              <w:t>要求</w:t>
            </w:r>
            <w:r>
              <w:rPr>
                <w:rFonts w:hint="eastAsia" w:cs="宋体"/>
                <w:sz w:val="24"/>
                <w:szCs w:val="24"/>
                <w:lang w:eastAsia="zh-CN"/>
              </w:rPr>
              <w:t>的</w:t>
            </w:r>
            <w:r>
              <w:rPr>
                <w:rFonts w:hint="eastAsia" w:cs="宋体"/>
                <w:sz w:val="24"/>
                <w:szCs w:val="24"/>
              </w:rPr>
              <w:t>0分。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300" w:type="dxa"/>
            <w:gridSpan w:val="2"/>
            <w:vAlign w:val="top"/>
          </w:tcPr>
          <w:p>
            <w:pPr>
              <w:spacing w:before="42" w:line="206" w:lineRule="auto"/>
              <w:ind w:left="93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合计</w:t>
            </w:r>
          </w:p>
        </w:tc>
        <w:tc>
          <w:tcPr>
            <w:tcW w:w="913" w:type="dxa"/>
            <w:vAlign w:val="top"/>
          </w:tcPr>
          <w:p>
            <w:pPr>
              <w:pStyle w:val="14"/>
              <w:spacing w:before="59" w:line="202" w:lineRule="auto"/>
              <w:ind w:left="26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100</w:t>
            </w:r>
          </w:p>
        </w:tc>
        <w:tc>
          <w:tcPr>
            <w:tcW w:w="6420" w:type="dxa"/>
            <w:gridSpan w:val="2"/>
            <w:vAlign w:val="top"/>
          </w:tcPr>
          <w:p>
            <w:pPr>
              <w:pStyle w:val="14"/>
              <w:rPr>
                <w:rFonts w:hint="eastAsia" w:asciiTheme="minorEastAsia" w:hAnsiTheme="minorEastAsia" w:eastAsiaTheme="minorEastAsia" w:cstheme="minorEastAsia"/>
                <w:sz w:val="24"/>
                <w:szCs w:val="24"/>
              </w:rPr>
            </w:pPr>
          </w:p>
        </w:tc>
      </w:tr>
    </w:tbl>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90" w:firstLineChars="200"/>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备注：严格执行《南阳市政府采购负面清单》，根据实际项目需要设置科学合理的评分因素及分值。</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有下列情况之一的，</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宣布本项目终止：</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11.1</w:t>
      </w:r>
      <w:r>
        <w:rPr>
          <w:rFonts w:hint="eastAsia" w:ascii="宋体" w:hAnsi="宋体" w:eastAsia="宋体" w:cs="宋体"/>
          <w:snapToGrid w:val="0"/>
          <w:color w:val="000000"/>
          <w:kern w:val="0"/>
          <w:sz w:val="24"/>
          <w:szCs w:val="24"/>
          <w:lang w:val="en-US" w:eastAsia="en-US" w:bidi="ar-SA"/>
        </w:rPr>
        <w:t>因情况变化，不再符合规定的竞争性磋商采购方式适用情形的；</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11.2</w:t>
      </w:r>
      <w:r>
        <w:rPr>
          <w:rFonts w:hint="eastAsia" w:ascii="宋体" w:hAnsi="宋体" w:eastAsia="宋体" w:cs="宋体"/>
          <w:snapToGrid w:val="0"/>
          <w:color w:val="000000"/>
          <w:kern w:val="0"/>
          <w:sz w:val="24"/>
          <w:szCs w:val="24"/>
          <w:lang w:val="en-US" w:eastAsia="en-US" w:bidi="ar-SA"/>
        </w:rPr>
        <w:t>出现影响采购公正的违法、违规行为的；</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11.3</w:t>
      </w:r>
      <w:r>
        <w:rPr>
          <w:rFonts w:hint="eastAsia" w:ascii="宋体" w:hAnsi="宋体" w:eastAsia="宋体" w:cs="宋体"/>
          <w:snapToGrid w:val="0"/>
          <w:color w:val="000000"/>
          <w:kern w:val="0"/>
          <w:sz w:val="24"/>
          <w:szCs w:val="24"/>
          <w:lang w:val="en-US" w:eastAsia="en-US" w:bidi="ar-SA"/>
        </w:rPr>
        <w:t>法律法规规定的其他情况。</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w:t>
      </w:r>
      <w:r>
        <w:rPr>
          <w:rFonts w:hint="eastAsia" w:asciiTheme="minorEastAsia" w:hAnsiTheme="minorEastAsia" w:eastAsiaTheme="minorEastAsia" w:cstheme="minorEastAsia"/>
          <w:spacing w:val="-13"/>
          <w:sz w:val="24"/>
          <w:szCs w:val="24"/>
          <w:lang w:val="en-US" w:eastAsia="zh-CN"/>
        </w:rPr>
        <w:t>15</w:t>
      </w:r>
      <w:r>
        <w:rPr>
          <w:rFonts w:hint="eastAsia" w:asciiTheme="minorEastAsia" w:hAnsiTheme="minorEastAsia" w:eastAsiaTheme="minorEastAsia" w:cstheme="minorEastAsia"/>
          <w:spacing w:val="-13"/>
          <w:sz w:val="24"/>
          <w:szCs w:val="24"/>
          <w:lang w:eastAsia="zh-CN"/>
        </w:rPr>
        <w:t>﹞</w:t>
      </w:r>
      <w:r>
        <w:rPr>
          <w:rFonts w:hint="eastAsia" w:ascii="宋体" w:hAnsi="宋体" w:eastAsia="宋体" w:cs="宋体"/>
          <w:snapToGrid w:val="0"/>
          <w:color w:val="000000"/>
          <w:kern w:val="0"/>
          <w:sz w:val="24"/>
          <w:szCs w:val="24"/>
          <w:lang w:val="en-US" w:eastAsia="en-US" w:bidi="ar-SA"/>
        </w:rPr>
        <w:t>124号）等规定执行。</w:t>
      </w:r>
    </w:p>
    <w:p>
      <w:pPr>
        <w:spacing w:after="0" w:line="360" w:lineRule="auto"/>
        <w:jc w:val="both"/>
        <w:rPr>
          <w:rFonts w:hint="eastAsia" w:ascii="仿宋_GB2312" w:hAnsi="仿宋_GB2312" w:eastAsia="仿宋_GB2312" w:cs="仿宋_GB2312"/>
          <w:b/>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成交供应商确定后，</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将在“河南省政府采购网”和“南阳市公共资源交易中心网”上发布成交公告。</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1.2</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2.1</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公共服务平台或</w:t>
      </w:r>
      <w:r>
        <w:rPr>
          <w:rFonts w:hint="eastAsia" w:ascii="宋体" w:hAnsi="宋体" w:eastAsia="宋体" w:cs="宋体"/>
          <w:snapToGrid w:val="0"/>
          <w:color w:val="000000"/>
          <w:kern w:val="0"/>
          <w:sz w:val="24"/>
          <w:szCs w:val="24"/>
          <w:lang w:val="en-US" w:eastAsia="en-US" w:bidi="ar-SA"/>
        </w:rPr>
        <w:t>电子营业执照应用平台”向成交供应商发出电子成交通知书，成交供应商可登陆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南阳市公共资源交易平台会员系统或电子营业执照应用平台</w:t>
      </w:r>
      <w:r>
        <w:rPr>
          <w:rFonts w:hint="eastAsia" w:ascii="宋体" w:hAnsi="宋体" w:eastAsia="宋体" w:cs="宋体"/>
          <w:snapToGrid w:val="0"/>
          <w:color w:val="000000"/>
          <w:kern w:val="0"/>
          <w:sz w:val="24"/>
          <w:szCs w:val="24"/>
          <w:lang w:val="en-US" w:eastAsia="en-US" w:bidi="ar-SA"/>
        </w:rPr>
        <w:t>，自行打印加盖电子签章的成交通知书。</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2.2</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3.1</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签订政府采购合同，逾期无故不签订的，按《政府采购竞争性磋商采购方式管理暂行办法》及有关规定处理。</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3.2</w:t>
      </w:r>
      <w:r>
        <w:rPr>
          <w:rFonts w:hint="eastAsia" w:ascii="宋体" w:hAnsi="宋体" w:eastAsia="宋体" w:cs="宋体"/>
          <w:snapToGrid w:val="0"/>
          <w:color w:val="000000"/>
          <w:kern w:val="0"/>
          <w:sz w:val="24"/>
          <w:szCs w:val="24"/>
          <w:lang w:val="en-US" w:eastAsia="en-US" w:bidi="ar-SA"/>
        </w:rPr>
        <w:t>竞争性磋商文件、响应文件、供应商在磋商过程中的承诺以及确认材料，均为合同的有效组成部分。</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3.3</w:t>
      </w:r>
      <w:r>
        <w:rPr>
          <w:rFonts w:hint="eastAsia" w:ascii="宋体" w:hAnsi="宋体" w:eastAsia="宋体" w:cs="宋体"/>
          <w:snapToGrid w:val="0"/>
          <w:color w:val="000000"/>
          <w:kern w:val="0"/>
          <w:sz w:val="24"/>
          <w:szCs w:val="24"/>
          <w:lang w:val="en-US" w:eastAsia="en-US" w:bidi="ar-SA"/>
        </w:rPr>
        <w:t>如果成交供应商不按其响应文件承诺和竞争性磋商文件要求签订政府采购合同，采购人将取消其成交资格。</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在线接收，请质疑人上传质疑函原件扫描件到南阳市公共资源交易系统或南阳市公共资源电子营业执照应用平台并电话通知到项目负责人。</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pPr>
        <w:spacing w:after="0" w:line="360" w:lineRule="auto"/>
        <w:rPr>
          <w:rFonts w:hint="eastAsia" w:ascii="宋体" w:hAnsi="宋体" w:eastAsia="宋体" w:cs="宋体"/>
          <w:snapToGrid w:val="0"/>
          <w:color w:val="000000"/>
          <w:kern w:val="0"/>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供应商必须由法定代表人或授权代表参加磋商，随时接受磋商小组的询问、质疑，并按照磋商小组的要求答复。</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供应商自行承担参加竞争性磋商的全部费用。</w:t>
      </w:r>
    </w:p>
    <w:p>
      <w:pPr>
        <w:spacing w:line="360" w:lineRule="auto"/>
        <w:ind w:firstLine="480"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本竞争性磋商文件最终解释权归</w:t>
      </w:r>
      <w:r>
        <w:rPr>
          <w:rFonts w:hint="eastAsia" w:ascii="宋体" w:hAnsi="宋体" w:eastAsia="宋体" w:cs="宋体"/>
          <w:snapToGrid w:val="0"/>
          <w:color w:val="000000"/>
          <w:kern w:val="0"/>
          <w:sz w:val="24"/>
          <w:szCs w:val="24"/>
          <w:lang w:val="en-US" w:eastAsia="zh-CN" w:bidi="ar-SA"/>
        </w:rPr>
        <w:t>采购代理机构</w:t>
      </w:r>
      <w:r>
        <w:rPr>
          <w:rFonts w:hint="eastAsia" w:ascii="宋体" w:hAnsi="宋体" w:eastAsia="宋体" w:cs="宋体"/>
          <w:snapToGrid w:val="0"/>
          <w:color w:val="000000"/>
          <w:kern w:val="0"/>
          <w:sz w:val="24"/>
          <w:szCs w:val="24"/>
          <w:lang w:val="en-US" w:eastAsia="en-US" w:bidi="ar-SA"/>
        </w:rPr>
        <w:t>。</w:t>
      </w:r>
    </w:p>
    <w:p>
      <w:pPr>
        <w:spacing w:line="360" w:lineRule="auto"/>
        <w:jc w:val="cente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spacing w:line="360" w:lineRule="auto"/>
        <w:jc w:val="cente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br w:type="page"/>
      </w:r>
    </w:p>
    <w:p>
      <w:pPr>
        <w:spacing w:line="360" w:lineRule="auto"/>
        <w:jc w:val="cente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河南省政府采购合同融资政策告知函</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pPr>
        <w:spacing w:after="0" w:line="360" w:lineRule="auto"/>
        <w:ind w:firstLine="430" w:firstLineChars="200"/>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 xml:space="preserve"> ），有需求的供应商，可按上述通知要求办理政采贷 。</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p>
    <w:p>
      <w:pPr>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spacing w:after="0" w:line="360" w:lineRule="auto"/>
        <w:jc w:val="center"/>
        <w:rPr>
          <w:rFonts w:hint="eastAsia" w:ascii="宋体" w:hAnsi="宋体" w:eastAsia="宋体" w:cs="宋体"/>
          <w:sz w:val="36"/>
          <w:szCs w:val="36"/>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p>
    <w:p>
      <w:pPr>
        <w:spacing w:line="244" w:lineRule="auto"/>
        <w:rPr>
          <w:rFonts w:ascii="Arial"/>
          <w:sz w:val="21"/>
        </w:rPr>
      </w:pPr>
    </w:p>
    <w:p>
      <w:pPr>
        <w:spacing w:line="245" w:lineRule="auto"/>
        <w:rPr>
          <w:rFonts w:ascii="Arial"/>
          <w:sz w:val="21"/>
        </w:rPr>
      </w:pPr>
    </w:p>
    <w:p>
      <w:pPr>
        <w:autoSpaceDE w:val="0"/>
        <w:autoSpaceDN w:val="0"/>
        <w:adjustRightInd w:val="0"/>
        <w:snapToGrid w:val="0"/>
        <w:spacing w:line="24" w:lineRule="atLeast"/>
        <w:jc w:val="center"/>
        <w:outlineLvl w:val="1"/>
        <w:rPr>
          <w:rFonts w:hint="eastAsia" w:asciiTheme="minorEastAsia" w:hAnsiTheme="minorEastAsia" w:eastAsiaTheme="minorEastAsia" w:cstheme="minorEastAsia"/>
          <w:b/>
          <w:sz w:val="24"/>
          <w:szCs w:val="24"/>
        </w:rPr>
      </w:pPr>
      <w:bookmarkStart w:id="49" w:name="_Toc27128"/>
      <w:r>
        <w:rPr>
          <w:rFonts w:hint="eastAsia" w:asciiTheme="minorEastAsia" w:hAnsiTheme="minorEastAsia" w:eastAsiaTheme="minorEastAsia" w:cstheme="minorEastAsia"/>
          <w:b/>
          <w:sz w:val="24"/>
          <w:szCs w:val="24"/>
        </w:rPr>
        <w:t>（仅供参考，不作为签订合同的依据）</w:t>
      </w:r>
      <w:bookmarkEnd w:id="49"/>
    </w:p>
    <w:p>
      <w:pPr>
        <w:pStyle w:val="4"/>
        <w:rPr>
          <w:rFonts w:hint="eastAsia" w:asciiTheme="minorEastAsia" w:hAnsiTheme="minorEastAsia" w:eastAsiaTheme="minorEastAsia" w:cstheme="minorEastAsia"/>
          <w:sz w:val="24"/>
          <w:szCs w:val="24"/>
        </w:rPr>
      </w:pPr>
    </w:p>
    <w:p>
      <w:pPr>
        <w:spacing w:line="360" w:lineRule="auto"/>
        <w:ind w:firstLine="480" w:firstLineChars="200"/>
        <w:rPr>
          <w:rFonts w:ascii="宋体" w:hAnsi="宋体" w:cs="宋体"/>
          <w:sz w:val="24"/>
          <w:szCs w:val="24"/>
          <w:u w:val="single"/>
        </w:rPr>
      </w:pPr>
      <w:r>
        <w:rPr>
          <w:rFonts w:hint="eastAsia" w:ascii="宋体" w:hAnsi="宋体" w:cs="宋体"/>
          <w:b/>
          <w:sz w:val="24"/>
          <w:szCs w:val="24"/>
        </w:rPr>
        <w:t>甲方（全称）：</w:t>
      </w:r>
      <w:r>
        <w:rPr>
          <w:rFonts w:hint="eastAsia" w:ascii="宋体" w:hAnsi="宋体" w:cs="宋体"/>
          <w:b/>
          <w:sz w:val="24"/>
          <w:szCs w:val="24"/>
          <w:u w:val="single"/>
        </w:rPr>
        <w:t>                       </w:t>
      </w:r>
    </w:p>
    <w:p>
      <w:pPr>
        <w:spacing w:line="360" w:lineRule="auto"/>
        <w:ind w:firstLine="480" w:firstLineChars="200"/>
        <w:rPr>
          <w:rFonts w:ascii="宋体" w:hAnsi="宋体" w:cs="宋体"/>
          <w:b/>
          <w:sz w:val="24"/>
          <w:szCs w:val="24"/>
          <w:u w:val="single"/>
        </w:rPr>
      </w:pPr>
      <w:r>
        <w:rPr>
          <w:rFonts w:hint="eastAsia" w:ascii="宋体" w:hAnsi="宋体" w:cs="宋体"/>
          <w:b/>
          <w:sz w:val="24"/>
          <w:szCs w:val="24"/>
        </w:rPr>
        <w:t>乙方（全称）：</w:t>
      </w:r>
      <w:r>
        <w:rPr>
          <w:rFonts w:hint="eastAsia" w:ascii="宋体" w:hAnsi="宋体" w:cs="宋体"/>
          <w:b/>
          <w:sz w:val="24"/>
          <w:szCs w:val="24"/>
          <w:u w:val="single"/>
        </w:rPr>
        <w:t>                       </w:t>
      </w:r>
    </w:p>
    <w:p>
      <w:pPr>
        <w:spacing w:line="360" w:lineRule="auto"/>
        <w:ind w:firstLine="480" w:firstLineChars="200"/>
        <w:rPr>
          <w:rFonts w:ascii="宋体" w:hAnsi="宋体" w:cs="宋体"/>
          <w:sz w:val="24"/>
          <w:szCs w:val="24"/>
        </w:rPr>
      </w:pPr>
      <w:r>
        <w:rPr>
          <w:rFonts w:hint="eastAsia" w:ascii="宋体" w:hAnsi="宋体" w:cs="宋体"/>
          <w:sz w:val="24"/>
          <w:szCs w:val="24"/>
        </w:rPr>
        <w:t>根据《中华人民共和国民法典》及有关法律规定，遵循平等、自愿、公平和诚实信用的原则，双方就项目及有关事项协商一致，共同达成如下协议：</w:t>
      </w:r>
    </w:p>
    <w:p>
      <w:pPr>
        <w:tabs>
          <w:tab w:val="left" w:pos="0"/>
        </w:tabs>
        <w:spacing w:line="360" w:lineRule="auto"/>
        <w:ind w:firstLine="471" w:firstLineChars="196"/>
        <w:rPr>
          <w:rFonts w:ascii="宋体" w:hAnsi="宋体" w:cs="宋体"/>
          <w:b/>
          <w:sz w:val="24"/>
          <w:szCs w:val="24"/>
        </w:rPr>
      </w:pPr>
      <w:r>
        <w:rPr>
          <w:rFonts w:hint="eastAsia" w:ascii="宋体" w:hAnsi="宋体" w:cs="宋体"/>
          <w:b/>
          <w:sz w:val="24"/>
          <w:szCs w:val="24"/>
        </w:rPr>
        <w:t>第一条  合同文件</w:t>
      </w:r>
    </w:p>
    <w:p>
      <w:pPr>
        <w:spacing w:line="360" w:lineRule="auto"/>
        <w:ind w:firstLine="480" w:firstLineChars="200"/>
        <w:rPr>
          <w:rFonts w:ascii="宋体" w:hAnsi="宋体" w:cs="宋体"/>
          <w:sz w:val="24"/>
          <w:szCs w:val="24"/>
        </w:rPr>
      </w:pPr>
      <w:r>
        <w:rPr>
          <w:rFonts w:hint="eastAsia" w:ascii="宋体" w:hAnsi="宋体" w:cs="宋体"/>
          <w:sz w:val="24"/>
          <w:szCs w:val="24"/>
        </w:rPr>
        <w:t>下列与本次采购活动有关的文件及附件是本合同不可分割的组成部分，与本合同具有同等法律效力，这些文件包括但不限于：</w:t>
      </w:r>
    </w:p>
    <w:p>
      <w:pPr>
        <w:spacing w:line="360" w:lineRule="auto"/>
        <w:ind w:firstLine="480" w:firstLineChars="200"/>
        <w:rPr>
          <w:rFonts w:ascii="宋体" w:hAnsi="宋体" w:cs="宋体"/>
          <w:sz w:val="24"/>
          <w:szCs w:val="24"/>
        </w:rPr>
      </w:pPr>
      <w:r>
        <w:rPr>
          <w:rFonts w:hint="eastAsia" w:ascii="宋体" w:hAnsi="宋体" w:cs="宋体"/>
          <w:sz w:val="24"/>
          <w:szCs w:val="24"/>
        </w:rPr>
        <w:t>1.（××号）采购文件</w:t>
      </w:r>
    </w:p>
    <w:p>
      <w:pPr>
        <w:spacing w:line="360" w:lineRule="auto"/>
        <w:ind w:firstLine="480" w:firstLineChars="200"/>
        <w:rPr>
          <w:rFonts w:ascii="宋体" w:hAnsi="宋体" w:cs="宋体"/>
          <w:sz w:val="24"/>
          <w:szCs w:val="24"/>
        </w:rPr>
      </w:pPr>
      <w:r>
        <w:rPr>
          <w:rFonts w:hint="eastAsia" w:ascii="宋体" w:hAnsi="宋体" w:cs="宋体"/>
          <w:sz w:val="24"/>
          <w:szCs w:val="24"/>
        </w:rPr>
        <w:t>2.响应文件</w:t>
      </w:r>
    </w:p>
    <w:p>
      <w:pPr>
        <w:spacing w:line="360" w:lineRule="auto"/>
        <w:ind w:firstLine="480" w:firstLineChars="200"/>
        <w:rPr>
          <w:rFonts w:ascii="宋体" w:hAnsi="宋体" w:cs="宋体"/>
          <w:sz w:val="24"/>
          <w:szCs w:val="24"/>
        </w:rPr>
      </w:pPr>
      <w:r>
        <w:rPr>
          <w:rFonts w:hint="eastAsia" w:ascii="宋体" w:hAnsi="宋体" w:cs="宋体"/>
          <w:sz w:val="24"/>
          <w:szCs w:val="24"/>
        </w:rPr>
        <w:t>3.乙方在响应时的书面承诺</w:t>
      </w:r>
    </w:p>
    <w:p>
      <w:pPr>
        <w:spacing w:line="360" w:lineRule="auto"/>
        <w:ind w:firstLine="480" w:firstLineChars="200"/>
        <w:rPr>
          <w:rFonts w:ascii="宋体" w:hAnsi="宋体" w:cs="宋体"/>
          <w:sz w:val="24"/>
          <w:szCs w:val="24"/>
        </w:rPr>
      </w:pPr>
      <w:r>
        <w:rPr>
          <w:rFonts w:hint="eastAsia" w:ascii="宋体" w:hAnsi="宋体" w:cs="宋体"/>
          <w:sz w:val="24"/>
          <w:szCs w:val="24"/>
        </w:rPr>
        <w:t>4.（××号）成交通知书</w:t>
      </w:r>
    </w:p>
    <w:p>
      <w:pPr>
        <w:spacing w:line="360" w:lineRule="auto"/>
        <w:ind w:firstLine="480" w:firstLineChars="200"/>
        <w:rPr>
          <w:rFonts w:ascii="宋体" w:hAnsi="宋体" w:cs="宋体"/>
          <w:sz w:val="24"/>
          <w:szCs w:val="24"/>
        </w:rPr>
      </w:pPr>
      <w:r>
        <w:rPr>
          <w:rFonts w:hint="eastAsia" w:ascii="宋体" w:hAnsi="宋体" w:cs="宋体"/>
          <w:sz w:val="24"/>
          <w:szCs w:val="24"/>
        </w:rPr>
        <w:t>5.合同补充条款或说明</w:t>
      </w:r>
    </w:p>
    <w:p>
      <w:pPr>
        <w:spacing w:line="360" w:lineRule="auto"/>
        <w:ind w:firstLine="480" w:firstLineChars="200"/>
        <w:rPr>
          <w:rFonts w:ascii="宋体" w:hAnsi="宋体" w:cs="宋体"/>
          <w:sz w:val="24"/>
          <w:szCs w:val="24"/>
        </w:rPr>
      </w:pPr>
      <w:r>
        <w:rPr>
          <w:rFonts w:hint="eastAsia" w:ascii="宋体" w:hAnsi="宋体" w:cs="宋体"/>
          <w:sz w:val="24"/>
          <w:szCs w:val="24"/>
        </w:rPr>
        <w:t>6.保密协议或条款</w:t>
      </w:r>
    </w:p>
    <w:p>
      <w:pPr>
        <w:spacing w:line="360" w:lineRule="auto"/>
        <w:ind w:firstLine="480" w:firstLineChars="200"/>
        <w:rPr>
          <w:rFonts w:ascii="宋体" w:hAnsi="宋体" w:cs="宋体"/>
          <w:sz w:val="24"/>
          <w:szCs w:val="24"/>
        </w:rPr>
      </w:pPr>
      <w:r>
        <w:rPr>
          <w:rFonts w:hint="eastAsia" w:ascii="宋体" w:hAnsi="宋体" w:cs="宋体"/>
          <w:sz w:val="24"/>
          <w:szCs w:val="24"/>
        </w:rPr>
        <w:t>7.相关附件及电子版资料</w:t>
      </w:r>
    </w:p>
    <w:p>
      <w:pPr>
        <w:spacing w:line="360" w:lineRule="auto"/>
        <w:ind w:left="482"/>
        <w:rPr>
          <w:rFonts w:ascii="宋体" w:hAnsi="宋体" w:cs="宋体"/>
          <w:b/>
          <w:sz w:val="24"/>
          <w:szCs w:val="24"/>
        </w:rPr>
      </w:pPr>
      <w:r>
        <w:rPr>
          <w:rFonts w:hint="eastAsia" w:ascii="宋体" w:hAnsi="宋体" w:cs="宋体"/>
          <w:b/>
          <w:sz w:val="24"/>
          <w:szCs w:val="24"/>
        </w:rPr>
        <w:t>第二条  合同内容</w:t>
      </w:r>
    </w:p>
    <w:p>
      <w:pPr>
        <w:spacing w:line="360" w:lineRule="auto"/>
        <w:ind w:firstLine="480" w:firstLineChars="200"/>
        <w:rPr>
          <w:rFonts w:ascii="宋体" w:hAnsi="宋体" w:cs="宋体"/>
          <w:sz w:val="24"/>
          <w:szCs w:val="24"/>
        </w:rPr>
      </w:pPr>
      <w:r>
        <w:rPr>
          <w:rFonts w:hint="eastAsia" w:ascii="宋体" w:hAnsi="宋体" w:cs="宋体"/>
          <w:sz w:val="24"/>
          <w:szCs w:val="24"/>
        </w:rPr>
        <w:t>甲方在本次技术服务合作中具体的权利和义务及乙方提供的具体服务内容见响应文件服务需求。</w:t>
      </w:r>
    </w:p>
    <w:p>
      <w:pPr>
        <w:spacing w:line="360" w:lineRule="auto"/>
        <w:ind w:left="482"/>
        <w:rPr>
          <w:rFonts w:ascii="宋体" w:hAnsi="宋体" w:cs="宋体"/>
          <w:b/>
          <w:sz w:val="24"/>
          <w:szCs w:val="24"/>
        </w:rPr>
      </w:pPr>
      <w:r>
        <w:rPr>
          <w:rFonts w:hint="eastAsia" w:ascii="宋体" w:hAnsi="宋体" w:cs="宋体"/>
          <w:b/>
          <w:sz w:val="24"/>
          <w:szCs w:val="24"/>
        </w:rPr>
        <w:t>第三条  合同总价款</w:t>
      </w:r>
    </w:p>
    <w:p>
      <w:pPr>
        <w:spacing w:line="360" w:lineRule="auto"/>
        <w:ind w:firstLine="480" w:firstLineChars="200"/>
        <w:rPr>
          <w:rFonts w:ascii="宋体" w:hAnsi="宋体" w:cs="宋体"/>
          <w:sz w:val="24"/>
          <w:szCs w:val="24"/>
        </w:rPr>
      </w:pPr>
      <w:r>
        <w:rPr>
          <w:rFonts w:hint="eastAsia" w:ascii="宋体" w:hAnsi="宋体" w:cs="宋体"/>
          <w:sz w:val="24"/>
          <w:szCs w:val="24"/>
        </w:rPr>
        <w:t>1.本合同服务总价款：</w:t>
      </w:r>
    </w:p>
    <w:p>
      <w:pPr>
        <w:spacing w:line="360" w:lineRule="auto"/>
        <w:ind w:firstLine="480" w:firstLineChars="200"/>
        <w:rPr>
          <w:rFonts w:ascii="宋体" w:hAnsi="宋体" w:cs="宋体"/>
          <w:sz w:val="24"/>
          <w:szCs w:val="24"/>
        </w:rPr>
      </w:pPr>
      <w:r>
        <w:rPr>
          <w:rFonts w:hint="eastAsia" w:ascii="宋体" w:hAnsi="宋体" w:cs="宋体"/>
          <w:sz w:val="24"/>
          <w:szCs w:val="24"/>
        </w:rPr>
        <w:t>2.本合同总价款包括服务期间必须的日常物料、易耗品、工具、调试费、培训费等相关费用。</w:t>
      </w:r>
    </w:p>
    <w:p>
      <w:pPr>
        <w:spacing w:line="360" w:lineRule="auto"/>
        <w:ind w:firstLine="480" w:firstLineChars="200"/>
        <w:rPr>
          <w:rFonts w:ascii="宋体" w:hAnsi="宋体" w:cs="宋体"/>
          <w:sz w:val="24"/>
          <w:szCs w:val="24"/>
        </w:rPr>
      </w:pPr>
      <w:r>
        <w:rPr>
          <w:rFonts w:hint="eastAsia" w:ascii="宋体" w:hAnsi="宋体" w:cs="宋体"/>
          <w:sz w:val="24"/>
          <w:szCs w:val="24"/>
        </w:rPr>
        <w:t>3.本合同执行期间合同总价款不变。</w:t>
      </w:r>
    </w:p>
    <w:p>
      <w:pPr>
        <w:spacing w:line="360" w:lineRule="auto"/>
        <w:ind w:firstLine="480" w:firstLineChars="200"/>
        <w:rPr>
          <w:rFonts w:ascii="宋体" w:hAnsi="宋体" w:cs="宋体"/>
          <w:sz w:val="24"/>
          <w:szCs w:val="24"/>
        </w:rPr>
      </w:pPr>
      <w:r>
        <w:rPr>
          <w:rFonts w:hint="eastAsia" w:ascii="宋体" w:hAnsi="宋体" w:cs="宋体"/>
          <w:b/>
          <w:sz w:val="24"/>
          <w:szCs w:val="24"/>
        </w:rPr>
        <w:t xml:space="preserve">第四条  </w:t>
      </w:r>
      <w:r>
        <w:rPr>
          <w:rFonts w:hint="eastAsia" w:ascii="宋体" w:hAnsi="宋体" w:cs="宋体"/>
          <w:b/>
          <w:bCs/>
          <w:sz w:val="24"/>
          <w:szCs w:val="24"/>
        </w:rPr>
        <w:t>双方权利和义务</w:t>
      </w:r>
    </w:p>
    <w:p>
      <w:pPr>
        <w:spacing w:line="360" w:lineRule="auto"/>
        <w:ind w:firstLine="480" w:firstLineChars="200"/>
        <w:rPr>
          <w:rFonts w:ascii="宋体" w:hAnsi="宋体" w:cs="宋体"/>
          <w:b/>
          <w:sz w:val="24"/>
          <w:szCs w:val="24"/>
        </w:rPr>
      </w:pPr>
      <w:r>
        <w:rPr>
          <w:rFonts w:hint="eastAsia" w:ascii="宋体" w:hAnsi="宋体" w:cs="宋体"/>
          <w:b/>
          <w:sz w:val="24"/>
          <w:szCs w:val="24"/>
        </w:rPr>
        <w:t>1.甲方的义务</w:t>
      </w:r>
    </w:p>
    <w:p>
      <w:pPr>
        <w:spacing w:line="360" w:lineRule="auto"/>
        <w:ind w:firstLine="360" w:firstLineChars="150"/>
        <w:rPr>
          <w:rFonts w:ascii="宋体" w:hAnsi="宋体" w:cs="宋体"/>
          <w:sz w:val="24"/>
          <w:szCs w:val="24"/>
        </w:rPr>
      </w:pPr>
      <w:r>
        <w:rPr>
          <w:rFonts w:hint="eastAsia" w:ascii="宋体" w:hAnsi="宋体" w:cs="宋体"/>
          <w:sz w:val="24"/>
          <w:szCs w:val="24"/>
        </w:rPr>
        <w:t xml:space="preserve"> 1.1 委托工作的具体范围和内容：</w:t>
      </w:r>
    </w:p>
    <w:p>
      <w:pPr>
        <w:spacing w:line="360" w:lineRule="auto"/>
        <w:ind w:firstLine="480" w:firstLineChars="200"/>
        <w:rPr>
          <w:rFonts w:ascii="宋体" w:hAnsi="宋体" w:cs="宋体"/>
          <w:sz w:val="24"/>
          <w:szCs w:val="24"/>
        </w:rPr>
      </w:pPr>
      <w:r>
        <w:rPr>
          <w:rFonts w:hint="eastAsia" w:ascii="宋体" w:hAnsi="宋体" w:cs="宋体"/>
          <w:sz w:val="24"/>
          <w:szCs w:val="24"/>
        </w:rPr>
        <w:t>1.2 甲方应按约定的时间和要求完成下列工作：</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（1）向乙方提供保证履行合同所需的全部资料的时间：</w:t>
      </w:r>
      <w:r>
        <w:rPr>
          <w:rFonts w:hint="eastAsia" w:ascii="宋体" w:hAnsi="宋体" w:cs="宋体"/>
          <w:sz w:val="24"/>
          <w:szCs w:val="24"/>
          <w:u w:val="single"/>
        </w:rPr>
        <w:t xml:space="preserve">合同签订后   个工作日内 </w:t>
      </w:r>
      <w:r>
        <w:rPr>
          <w:rFonts w:hint="eastAsia" w:ascii="宋体" w:hAnsi="宋体" w:cs="宋体"/>
          <w:sz w:val="24"/>
          <w:szCs w:val="24"/>
        </w:rPr>
        <w:t>。</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（2）向乙方提供保证履行合同顺利完成的条件：</w:t>
      </w:r>
    </w:p>
    <w:p>
      <w:pPr>
        <w:spacing w:line="360" w:lineRule="auto"/>
        <w:ind w:firstLine="480" w:firstLineChars="200"/>
        <w:rPr>
          <w:rFonts w:ascii="宋体" w:hAnsi="宋体" w:cs="宋体"/>
          <w:sz w:val="24"/>
          <w:szCs w:val="24"/>
          <w:vertAlign w:val="subscript"/>
        </w:rPr>
      </w:pPr>
      <w:r>
        <w:rPr>
          <w:rFonts w:hint="eastAsia" w:ascii="宋体" w:hAnsi="宋体" w:cs="宋体"/>
          <w:sz w:val="24"/>
          <w:szCs w:val="24"/>
        </w:rPr>
        <w:t>（3）需要与第三方协调的工作：</w:t>
      </w:r>
      <w:r>
        <w:rPr>
          <w:rFonts w:hint="eastAsia" w:ascii="宋体" w:hAnsi="宋体" w:cs="宋体"/>
          <w:sz w:val="24"/>
          <w:szCs w:val="24"/>
          <w:u w:val="single"/>
        </w:rPr>
        <w:t xml:space="preserve">无 </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hint="eastAsia" w:ascii="宋体" w:hAnsi="宋体" w:cs="宋体"/>
          <w:sz w:val="24"/>
          <w:szCs w:val="24"/>
        </w:rPr>
        <w:t>1.3 甲方有义务保守履约合同过程中有关的商业秘密。</w:t>
      </w:r>
    </w:p>
    <w:p>
      <w:pPr>
        <w:spacing w:line="360" w:lineRule="auto"/>
        <w:ind w:firstLine="480" w:firstLineChars="200"/>
        <w:rPr>
          <w:rFonts w:ascii="宋体" w:hAnsi="宋体" w:cs="宋体"/>
          <w:sz w:val="24"/>
          <w:szCs w:val="24"/>
          <w:vertAlign w:val="subscript"/>
        </w:rPr>
      </w:pPr>
      <w:r>
        <w:rPr>
          <w:rFonts w:hint="eastAsia" w:ascii="宋体" w:hAnsi="宋体" w:cs="宋体"/>
          <w:sz w:val="24"/>
          <w:szCs w:val="24"/>
        </w:rPr>
        <w:t>1.4就该项目单独设立收支账户，配合乙方监管服务中心财务情况，按照乙方要求向乙方提供该服务项目所使用的账户交易信息、项目财务信息。</w:t>
      </w:r>
    </w:p>
    <w:p>
      <w:pPr>
        <w:spacing w:line="360" w:lineRule="auto"/>
        <w:ind w:firstLine="480" w:firstLineChars="200"/>
        <w:rPr>
          <w:rFonts w:ascii="宋体" w:hAnsi="宋体" w:cs="宋体"/>
          <w:b/>
          <w:sz w:val="24"/>
          <w:szCs w:val="24"/>
        </w:rPr>
      </w:pPr>
      <w:r>
        <w:rPr>
          <w:rFonts w:hint="eastAsia" w:ascii="宋体" w:hAnsi="宋体" w:cs="宋体"/>
          <w:b/>
          <w:sz w:val="24"/>
          <w:szCs w:val="24"/>
        </w:rPr>
        <w:t>2.乙方的义务</w:t>
      </w:r>
    </w:p>
    <w:p>
      <w:pPr>
        <w:spacing w:line="360" w:lineRule="auto"/>
        <w:ind w:firstLine="480" w:firstLineChars="200"/>
        <w:rPr>
          <w:rFonts w:ascii="宋体" w:hAnsi="宋体" w:cs="宋体"/>
          <w:sz w:val="24"/>
          <w:szCs w:val="24"/>
        </w:rPr>
      </w:pPr>
      <w:r>
        <w:rPr>
          <w:rFonts w:hint="eastAsia" w:ascii="宋体" w:hAnsi="宋体" w:cs="宋体"/>
          <w:sz w:val="24"/>
          <w:szCs w:val="24"/>
        </w:rPr>
        <w:t>2.1 乙方应按约定的时间和要求完成下列工作：</w:t>
      </w:r>
    </w:p>
    <w:p>
      <w:pPr>
        <w:spacing w:line="360" w:lineRule="auto"/>
        <w:ind w:firstLine="480" w:firstLineChars="200"/>
        <w:rPr>
          <w:rFonts w:ascii="宋体" w:hAnsi="宋体" w:cs="宋体"/>
          <w:sz w:val="24"/>
          <w:szCs w:val="24"/>
          <w:vertAlign w:val="subscript"/>
        </w:rPr>
      </w:pPr>
      <w:r>
        <w:rPr>
          <w:rFonts w:hint="eastAsia" w:ascii="宋体" w:hAnsi="宋体" w:cs="宋体"/>
          <w:sz w:val="24"/>
          <w:szCs w:val="24"/>
        </w:rPr>
        <w:t>（1）保证履行合同的内容和时间：。</w:t>
      </w:r>
    </w:p>
    <w:p>
      <w:pPr>
        <w:spacing w:line="360" w:lineRule="auto"/>
        <w:ind w:firstLine="480" w:firstLineChars="200"/>
        <w:rPr>
          <w:rFonts w:ascii="宋体" w:hAnsi="宋体" w:cs="宋体"/>
          <w:sz w:val="24"/>
          <w:szCs w:val="24"/>
        </w:rPr>
      </w:pPr>
      <w:r>
        <w:rPr>
          <w:rFonts w:hint="eastAsia" w:ascii="宋体" w:hAnsi="宋体" w:cs="宋体"/>
          <w:sz w:val="24"/>
          <w:szCs w:val="24"/>
        </w:rPr>
        <w:t>（2）为甲方提供的为保证履行合同的相关咨询服务：。</w:t>
      </w:r>
    </w:p>
    <w:p>
      <w:pPr>
        <w:spacing w:line="360" w:lineRule="auto"/>
        <w:ind w:firstLine="480" w:firstLineChars="200"/>
        <w:rPr>
          <w:rFonts w:ascii="宋体" w:hAnsi="宋体" w:cs="宋体"/>
          <w:sz w:val="24"/>
          <w:szCs w:val="24"/>
        </w:rPr>
      </w:pPr>
      <w:r>
        <w:rPr>
          <w:rFonts w:hint="eastAsia" w:ascii="宋体" w:hAnsi="宋体" w:cs="宋体"/>
          <w:sz w:val="24"/>
          <w:szCs w:val="24"/>
        </w:rPr>
        <w:t>（3）应尽的其他义务：。</w:t>
      </w:r>
    </w:p>
    <w:p>
      <w:pPr>
        <w:spacing w:line="360" w:lineRule="auto"/>
        <w:ind w:firstLine="480" w:firstLineChars="200"/>
        <w:rPr>
          <w:rFonts w:ascii="宋体" w:hAnsi="宋体" w:cs="宋体"/>
          <w:sz w:val="24"/>
          <w:szCs w:val="24"/>
          <w:vertAlign w:val="subscript"/>
        </w:rPr>
      </w:pPr>
      <w:r>
        <w:rPr>
          <w:rFonts w:hint="eastAsia" w:ascii="宋体" w:hAnsi="宋体" w:cs="宋体"/>
          <w:sz w:val="24"/>
          <w:szCs w:val="24"/>
        </w:rPr>
        <w:t>2.2乙方有义务保守履约合同过程中有关的商业秘密。</w:t>
      </w:r>
    </w:p>
    <w:p>
      <w:pPr>
        <w:spacing w:line="360" w:lineRule="auto"/>
        <w:ind w:firstLine="480" w:firstLineChars="200"/>
        <w:rPr>
          <w:rFonts w:ascii="宋体" w:hAnsi="宋体" w:cs="宋体"/>
          <w:b/>
          <w:sz w:val="24"/>
          <w:szCs w:val="24"/>
        </w:rPr>
      </w:pPr>
      <w:r>
        <w:rPr>
          <w:rFonts w:hint="eastAsia" w:ascii="宋体" w:hAnsi="宋体" w:cs="宋体"/>
          <w:b/>
          <w:sz w:val="24"/>
          <w:szCs w:val="24"/>
        </w:rPr>
        <w:t>3. 甲方的权利</w:t>
      </w:r>
    </w:p>
    <w:p>
      <w:pPr>
        <w:spacing w:line="360" w:lineRule="auto"/>
        <w:ind w:firstLine="480" w:firstLineChars="200"/>
        <w:rPr>
          <w:rFonts w:ascii="宋体" w:hAnsi="宋体" w:cs="宋体"/>
          <w:sz w:val="24"/>
          <w:szCs w:val="24"/>
        </w:rPr>
      </w:pPr>
      <w:r>
        <w:rPr>
          <w:rFonts w:hint="eastAsia" w:ascii="宋体" w:hAnsi="宋体" w:cs="宋体"/>
          <w:sz w:val="24"/>
          <w:szCs w:val="24"/>
        </w:rPr>
        <w:t>3.1 向乙方询问履行合同工作进展情况和相关内容或提出不违反法律、行政法规的建议；</w:t>
      </w:r>
    </w:p>
    <w:p>
      <w:pPr>
        <w:spacing w:line="360" w:lineRule="auto"/>
        <w:ind w:firstLine="480" w:firstLineChars="200"/>
        <w:rPr>
          <w:rFonts w:ascii="宋体" w:hAnsi="宋体" w:cs="宋体"/>
          <w:sz w:val="24"/>
          <w:szCs w:val="24"/>
        </w:rPr>
      </w:pPr>
      <w:r>
        <w:rPr>
          <w:rFonts w:hint="eastAsia" w:ascii="宋体" w:hAnsi="宋体" w:cs="宋体"/>
          <w:sz w:val="24"/>
          <w:szCs w:val="24"/>
        </w:rPr>
        <w:t>3.2与乙方协商，建议更换其不称职的工作人员；</w:t>
      </w:r>
    </w:p>
    <w:p>
      <w:pPr>
        <w:spacing w:line="360" w:lineRule="auto"/>
        <w:ind w:firstLine="480" w:firstLineChars="200"/>
        <w:rPr>
          <w:rFonts w:ascii="宋体" w:hAnsi="宋体" w:cs="宋体"/>
          <w:sz w:val="24"/>
          <w:szCs w:val="24"/>
        </w:rPr>
      </w:pPr>
      <w:r>
        <w:rPr>
          <w:rFonts w:hint="eastAsia" w:ascii="宋体" w:hAnsi="宋体" w:cs="宋体"/>
          <w:sz w:val="24"/>
          <w:szCs w:val="24"/>
        </w:rPr>
        <w:t>3.3本合同履行期间，由于乙方无故不履行合同约定的内容，给甲方造成损失或影响工作正常进行的，甲方有权终止本合同，并依法向乙方追索经济赔偿，直至追究法律责任；</w:t>
      </w:r>
    </w:p>
    <w:p>
      <w:pPr>
        <w:spacing w:line="360" w:lineRule="auto"/>
        <w:ind w:firstLine="480" w:firstLineChars="200"/>
        <w:rPr>
          <w:rFonts w:ascii="宋体" w:hAnsi="宋体" w:cs="宋体"/>
          <w:sz w:val="24"/>
          <w:szCs w:val="24"/>
        </w:rPr>
      </w:pPr>
      <w:r>
        <w:rPr>
          <w:rFonts w:hint="eastAsia" w:ascii="宋体" w:hAnsi="宋体" w:cs="宋体"/>
          <w:sz w:val="24"/>
          <w:szCs w:val="24"/>
        </w:rPr>
        <w:t>3.4 甲方有权利对乙方在合同履行期间的行为进行监督。</w:t>
      </w:r>
    </w:p>
    <w:p>
      <w:pPr>
        <w:spacing w:line="360" w:lineRule="auto"/>
        <w:ind w:firstLine="480" w:firstLineChars="200"/>
        <w:rPr>
          <w:rFonts w:ascii="宋体" w:hAnsi="宋体" w:cs="宋体"/>
          <w:b/>
          <w:sz w:val="24"/>
          <w:szCs w:val="24"/>
        </w:rPr>
      </w:pPr>
      <w:r>
        <w:rPr>
          <w:rFonts w:hint="eastAsia" w:ascii="宋体" w:hAnsi="宋体" w:cs="宋体"/>
          <w:b/>
          <w:sz w:val="24"/>
          <w:szCs w:val="24"/>
        </w:rPr>
        <w:t>4. 乙方的权利</w:t>
      </w:r>
    </w:p>
    <w:p>
      <w:pPr>
        <w:spacing w:line="360" w:lineRule="auto"/>
        <w:ind w:firstLine="480" w:firstLineChars="200"/>
        <w:rPr>
          <w:rFonts w:ascii="宋体" w:hAnsi="宋体" w:cs="宋体"/>
          <w:sz w:val="24"/>
          <w:szCs w:val="24"/>
        </w:rPr>
      </w:pPr>
      <w:r>
        <w:rPr>
          <w:rFonts w:hint="eastAsia" w:ascii="宋体" w:hAnsi="宋体" w:cs="宋体"/>
          <w:sz w:val="24"/>
          <w:szCs w:val="24"/>
        </w:rPr>
        <w:t>4.1按合同约定收取服务费；</w:t>
      </w:r>
    </w:p>
    <w:p>
      <w:pPr>
        <w:spacing w:line="360" w:lineRule="auto"/>
        <w:ind w:firstLine="480" w:firstLineChars="200"/>
        <w:rPr>
          <w:rFonts w:ascii="宋体" w:hAnsi="宋体" w:cs="宋体"/>
          <w:sz w:val="24"/>
          <w:szCs w:val="24"/>
        </w:rPr>
      </w:pPr>
      <w:r>
        <w:rPr>
          <w:rFonts w:hint="eastAsia" w:ascii="宋体" w:hAnsi="宋体" w:cs="宋体"/>
          <w:sz w:val="24"/>
          <w:szCs w:val="24"/>
        </w:rPr>
        <w:t>4.2对履行合同中应由甲方做出的决定，乙方有权提出建议；</w:t>
      </w:r>
    </w:p>
    <w:p>
      <w:pPr>
        <w:spacing w:line="360" w:lineRule="auto"/>
        <w:ind w:firstLine="480" w:firstLineChars="200"/>
        <w:rPr>
          <w:rFonts w:ascii="宋体" w:hAnsi="宋体" w:cs="宋体"/>
          <w:sz w:val="24"/>
          <w:szCs w:val="24"/>
        </w:rPr>
      </w:pPr>
      <w:r>
        <w:rPr>
          <w:rFonts w:hint="eastAsia" w:ascii="宋体" w:hAnsi="宋体" w:cs="宋体"/>
          <w:sz w:val="24"/>
          <w:szCs w:val="24"/>
        </w:rPr>
        <w:t>4.3当甲方提供的资料不足或不明确时，有权要求甲方补足资料或作出明确的答复；</w:t>
      </w:r>
    </w:p>
    <w:p>
      <w:pPr>
        <w:spacing w:line="360" w:lineRule="auto"/>
        <w:ind w:firstLine="480" w:firstLineChars="200"/>
        <w:rPr>
          <w:rFonts w:ascii="宋体" w:hAnsi="宋体" w:cs="宋体"/>
          <w:sz w:val="24"/>
          <w:szCs w:val="24"/>
        </w:rPr>
      </w:pPr>
      <w:r>
        <w:rPr>
          <w:rFonts w:hint="eastAsia" w:ascii="宋体" w:hAnsi="宋体" w:cs="宋体"/>
          <w:sz w:val="24"/>
          <w:szCs w:val="24"/>
        </w:rPr>
        <w:t>4.4拒绝甲方提出的违反法律、行政法规的要求，并向甲方作出解释。</w:t>
      </w:r>
    </w:p>
    <w:p>
      <w:pPr>
        <w:spacing w:line="360" w:lineRule="auto"/>
        <w:ind w:firstLine="480" w:firstLineChars="200"/>
        <w:rPr>
          <w:rFonts w:ascii="宋体" w:hAnsi="宋体" w:cs="宋体"/>
          <w:sz w:val="24"/>
          <w:szCs w:val="24"/>
        </w:rPr>
      </w:pPr>
      <w:r>
        <w:rPr>
          <w:rFonts w:hint="eastAsia" w:ascii="宋体" w:hAnsi="宋体" w:cs="宋体"/>
          <w:sz w:val="24"/>
          <w:szCs w:val="24"/>
        </w:rPr>
        <w:t>4.5有权就该项目使用的甲方账户进行监督，要求甲方公开该项目收支的财务信息。</w:t>
      </w:r>
    </w:p>
    <w:p>
      <w:pPr>
        <w:spacing w:line="360" w:lineRule="auto"/>
        <w:ind w:firstLine="480" w:firstLineChars="200"/>
        <w:rPr>
          <w:rFonts w:ascii="宋体" w:hAnsi="宋体" w:cs="宋体"/>
          <w:b/>
          <w:sz w:val="24"/>
          <w:szCs w:val="24"/>
        </w:rPr>
      </w:pPr>
      <w:r>
        <w:rPr>
          <w:rFonts w:hint="eastAsia" w:ascii="宋体" w:hAnsi="宋体" w:cs="宋体"/>
          <w:b/>
          <w:sz w:val="24"/>
          <w:szCs w:val="24"/>
        </w:rPr>
        <w:t>第五条  质量保证</w:t>
      </w:r>
    </w:p>
    <w:p>
      <w:pPr>
        <w:spacing w:line="360" w:lineRule="auto"/>
        <w:ind w:firstLine="480" w:firstLineChars="200"/>
        <w:rPr>
          <w:rFonts w:ascii="宋体" w:hAnsi="宋体" w:cs="宋体"/>
          <w:sz w:val="24"/>
          <w:szCs w:val="24"/>
        </w:rPr>
      </w:pPr>
      <w:r>
        <w:rPr>
          <w:rFonts w:hint="eastAsia" w:ascii="宋体" w:hAnsi="宋体" w:cs="宋体"/>
          <w:sz w:val="24"/>
          <w:szCs w:val="24"/>
        </w:rPr>
        <w:t>5.1乙方保证服务本身不存在危及人身及财产安全的隐患，不存在违反国家法规、法令、法律以及行业规范所要求的有关安全条款，否则非因甲方原因造成的被服务人员人身及财产安全受损的责任由乙方全部承担应承担全部法律责任。</w:t>
      </w:r>
    </w:p>
    <w:p>
      <w:pPr>
        <w:spacing w:line="360" w:lineRule="auto"/>
        <w:ind w:firstLine="480" w:firstLineChars="200"/>
        <w:rPr>
          <w:rFonts w:ascii="宋体" w:hAnsi="宋体" w:cs="宋体"/>
          <w:sz w:val="24"/>
          <w:szCs w:val="24"/>
        </w:rPr>
      </w:pPr>
      <w:r>
        <w:rPr>
          <w:rFonts w:hint="eastAsia" w:ascii="宋体" w:hAnsi="宋体" w:cs="宋体"/>
          <w:sz w:val="24"/>
          <w:szCs w:val="24"/>
        </w:rPr>
        <w:t>5.2乙方保证所提供的服务或其任何一部分均不会侵犯任何第三方的专利权、商标权或著作权。一旦出现前述原因造成的侵权，索赔或诉讼，乙方应承担全部责任。</w:t>
      </w:r>
    </w:p>
    <w:p>
      <w:pPr>
        <w:spacing w:line="360" w:lineRule="auto"/>
        <w:ind w:left="482"/>
        <w:rPr>
          <w:rFonts w:ascii="宋体" w:hAnsi="宋体" w:cs="宋体"/>
          <w:b/>
          <w:sz w:val="24"/>
          <w:szCs w:val="24"/>
        </w:rPr>
      </w:pPr>
      <w:r>
        <w:rPr>
          <w:rFonts w:hint="eastAsia" w:ascii="宋体" w:hAnsi="宋体" w:cs="宋体"/>
          <w:b/>
          <w:sz w:val="24"/>
          <w:szCs w:val="24"/>
        </w:rPr>
        <w:t>第六条  付款方式</w:t>
      </w:r>
    </w:p>
    <w:p>
      <w:pPr>
        <w:pStyle w:val="17"/>
        <w:numPr>
          <w:ilvl w:val="0"/>
          <w:numId w:val="4"/>
        </w:numPr>
        <w:spacing w:line="360" w:lineRule="auto"/>
        <w:ind w:firstLineChars="0"/>
        <w:rPr>
          <w:rFonts w:ascii="宋体" w:hAnsi="宋体" w:cs="宋体"/>
          <w:sz w:val="24"/>
          <w:szCs w:val="24"/>
        </w:rPr>
      </w:pPr>
      <w:r>
        <w:rPr>
          <w:rFonts w:hint="eastAsia" w:ascii="宋体" w:hAnsi="宋体" w:cs="宋体"/>
          <w:sz w:val="24"/>
          <w:szCs w:val="24"/>
        </w:rPr>
        <w:t>本合同项下所有款项均以人民币支付。</w:t>
      </w:r>
    </w:p>
    <w:p>
      <w:pPr>
        <w:pStyle w:val="17"/>
        <w:numPr>
          <w:ilvl w:val="0"/>
          <w:numId w:val="4"/>
        </w:numPr>
        <w:spacing w:line="360" w:lineRule="auto"/>
        <w:ind w:firstLineChars="0"/>
        <w:rPr>
          <w:rFonts w:ascii="宋体" w:hAnsi="宋体" w:cs="宋体"/>
          <w:sz w:val="24"/>
          <w:szCs w:val="24"/>
        </w:rPr>
      </w:pPr>
      <w:r>
        <w:rPr>
          <w:rFonts w:hint="eastAsia" w:ascii="宋体" w:hAnsi="宋体" w:cs="宋体"/>
          <w:sz w:val="24"/>
          <w:szCs w:val="24"/>
        </w:rPr>
        <w:t>服务费计算及结算方法：</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3.乙方向甲方提交下列文件材料，经甲方审核无误后 </w:t>
      </w:r>
      <w:r>
        <w:rPr>
          <w:rFonts w:ascii="宋体" w:hAnsi="宋体" w:cs="宋体"/>
          <w:sz w:val="24"/>
          <w:szCs w:val="24"/>
        </w:rPr>
        <w:t xml:space="preserve"> </w:t>
      </w:r>
      <w:r>
        <w:rPr>
          <w:rFonts w:hint="eastAsia" w:ascii="宋体" w:hAnsi="宋体" w:cs="宋体"/>
          <w:sz w:val="24"/>
          <w:szCs w:val="24"/>
        </w:rPr>
        <w:t>日内向乙方支付服务费：</w:t>
      </w:r>
    </w:p>
    <w:p>
      <w:pPr>
        <w:spacing w:line="360" w:lineRule="auto"/>
        <w:ind w:firstLine="480" w:firstLineChars="200"/>
        <w:rPr>
          <w:rFonts w:ascii="宋体" w:hAnsi="宋体" w:cs="宋体"/>
          <w:sz w:val="24"/>
          <w:szCs w:val="24"/>
        </w:rPr>
      </w:pPr>
      <w:r>
        <w:rPr>
          <w:rFonts w:hint="eastAsia" w:ascii="宋体" w:hAnsi="宋体" w:cs="宋体"/>
          <w:sz w:val="24"/>
          <w:szCs w:val="24"/>
        </w:rPr>
        <w:t>（1）经甲方确认的发票；</w:t>
      </w:r>
    </w:p>
    <w:p>
      <w:pPr>
        <w:spacing w:line="360" w:lineRule="auto"/>
        <w:ind w:left="315" w:leftChars="150" w:firstLine="120" w:firstLineChars="50"/>
        <w:rPr>
          <w:rFonts w:ascii="宋体" w:hAnsi="宋体" w:cs="宋体"/>
          <w:sz w:val="24"/>
          <w:szCs w:val="24"/>
        </w:rPr>
      </w:pPr>
      <w:r>
        <w:rPr>
          <w:rFonts w:hint="eastAsia" w:ascii="宋体" w:hAnsi="宋体" w:cs="宋体"/>
          <w:sz w:val="24"/>
          <w:szCs w:val="24"/>
        </w:rPr>
        <w:t>（2）经甲乙双方确认签字、盖章签署的对账性文件；</w:t>
      </w:r>
    </w:p>
    <w:p>
      <w:pPr>
        <w:spacing w:line="360" w:lineRule="auto"/>
        <w:ind w:firstLine="480" w:firstLineChars="200"/>
        <w:rPr>
          <w:rFonts w:ascii="宋体" w:hAnsi="宋体" w:cs="宋体"/>
          <w:b/>
          <w:sz w:val="24"/>
          <w:szCs w:val="24"/>
        </w:rPr>
      </w:pPr>
      <w:r>
        <w:rPr>
          <w:rFonts w:hint="eastAsia" w:ascii="宋体" w:hAnsi="宋体" w:cs="宋体"/>
          <w:sz w:val="24"/>
          <w:szCs w:val="24"/>
        </w:rPr>
        <w:t>4.服务费付款方式：甲方验收合同约定的货物(系统设施)合格，按照南阳市鸭河口水库运行保障中心要求，由乙方提供形式发票或完整的发票等，甲方在验收合格且具备付款条件之日起5个工作日内向乙方支付</w:t>
      </w:r>
      <w:r>
        <w:rPr>
          <w:rFonts w:hint="eastAsia" w:ascii="宋体" w:hAnsi="宋体" w:eastAsia="宋体" w:cs="宋体"/>
          <w:sz w:val="24"/>
          <w:szCs w:val="24"/>
          <w:lang w:eastAsia="zh-CN"/>
        </w:rPr>
        <w:t>合同价款的</w:t>
      </w:r>
      <w:r>
        <w:rPr>
          <w:rFonts w:hint="eastAsia" w:ascii="宋体" w:hAnsi="宋体" w:eastAsia="宋体" w:cs="宋体"/>
          <w:sz w:val="24"/>
          <w:szCs w:val="24"/>
          <w:lang w:val="en-US" w:eastAsia="zh-CN"/>
        </w:rPr>
        <w:t>100%</w:t>
      </w:r>
      <w:r>
        <w:rPr>
          <w:rFonts w:hint="eastAsia" w:ascii="宋体" w:hAnsi="宋体" w:cs="宋体"/>
          <w:sz w:val="24"/>
          <w:szCs w:val="24"/>
        </w:rPr>
        <w:t>。</w:t>
      </w:r>
    </w:p>
    <w:p>
      <w:pPr>
        <w:spacing w:line="360" w:lineRule="auto"/>
        <w:ind w:firstLine="480" w:firstLineChars="200"/>
        <w:rPr>
          <w:rFonts w:ascii="宋体" w:hAnsi="宋体" w:cs="宋体"/>
          <w:b/>
          <w:bCs/>
          <w:sz w:val="24"/>
          <w:szCs w:val="24"/>
        </w:rPr>
      </w:pPr>
      <w:r>
        <w:rPr>
          <w:rFonts w:hint="eastAsia" w:ascii="宋体" w:hAnsi="宋体" w:cs="宋体"/>
          <w:b/>
          <w:bCs/>
          <w:sz w:val="24"/>
          <w:szCs w:val="24"/>
        </w:rPr>
        <w:t>第七条  运营期违约事项和处理</w:t>
      </w:r>
    </w:p>
    <w:p>
      <w:pPr>
        <w:spacing w:line="360" w:lineRule="auto"/>
        <w:ind w:firstLine="480" w:firstLineChars="200"/>
        <w:rPr>
          <w:rFonts w:ascii="宋体" w:hAnsi="宋体" w:cs="宋体"/>
          <w:sz w:val="24"/>
          <w:szCs w:val="24"/>
        </w:rPr>
      </w:pPr>
      <w:r>
        <w:rPr>
          <w:rFonts w:hint="eastAsia" w:ascii="宋体" w:hAnsi="宋体" w:cs="宋体"/>
          <w:sz w:val="24"/>
          <w:szCs w:val="24"/>
        </w:rPr>
        <w:t>1.甲方的终止权</w:t>
      </w:r>
    </w:p>
    <w:p>
      <w:pPr>
        <w:spacing w:line="360" w:lineRule="auto"/>
        <w:ind w:firstLine="480" w:firstLineChars="200"/>
        <w:rPr>
          <w:rFonts w:ascii="宋体" w:hAnsi="宋体" w:cs="宋体"/>
          <w:sz w:val="24"/>
          <w:szCs w:val="24"/>
        </w:rPr>
      </w:pPr>
      <w:r>
        <w:rPr>
          <w:rFonts w:hint="eastAsia" w:ascii="宋体" w:hAnsi="宋体" w:cs="宋体"/>
          <w:sz w:val="24"/>
          <w:szCs w:val="24"/>
        </w:rPr>
        <w:t>下述事件如果不是由于甲方违约或由于不可抗力所致，即构成乙方违约事件，如果在被允许的时期内未得到改正，甲方有权终止运营：</w:t>
      </w:r>
    </w:p>
    <w:p>
      <w:pPr>
        <w:spacing w:line="360" w:lineRule="auto"/>
        <w:ind w:firstLine="480" w:firstLineChars="200"/>
        <w:rPr>
          <w:rFonts w:ascii="宋体" w:hAnsi="宋体" w:cs="宋体"/>
          <w:b/>
          <w:sz w:val="24"/>
          <w:szCs w:val="24"/>
        </w:rPr>
      </w:pPr>
      <w:r>
        <w:rPr>
          <w:rFonts w:hint="eastAsia" w:ascii="宋体" w:hAnsi="宋体" w:cs="宋体"/>
          <w:sz w:val="24"/>
          <w:szCs w:val="24"/>
        </w:rPr>
        <w:t>1.1 乙方擅自转让、出租服务经营权；</w:t>
      </w:r>
    </w:p>
    <w:p>
      <w:pPr>
        <w:spacing w:line="360" w:lineRule="auto"/>
        <w:ind w:firstLine="480" w:firstLineChars="200"/>
        <w:rPr>
          <w:rFonts w:ascii="宋体" w:hAnsi="宋体" w:cs="宋体"/>
          <w:sz w:val="24"/>
          <w:szCs w:val="24"/>
        </w:rPr>
      </w:pPr>
      <w:r>
        <w:rPr>
          <w:rFonts w:hint="eastAsia" w:ascii="宋体" w:hAnsi="宋体" w:cs="宋体"/>
          <w:sz w:val="24"/>
          <w:szCs w:val="24"/>
        </w:rPr>
        <w:t>1.2 因乙方原因擅自终止运营或干扰相关科室正常经营，严重影响到社会公共利益的；</w:t>
      </w:r>
    </w:p>
    <w:p>
      <w:pPr>
        <w:spacing w:line="360" w:lineRule="auto"/>
        <w:ind w:firstLine="480" w:firstLineChars="200"/>
        <w:rPr>
          <w:rFonts w:ascii="宋体" w:hAnsi="宋体" w:cs="宋体"/>
          <w:sz w:val="24"/>
          <w:szCs w:val="24"/>
        </w:rPr>
      </w:pPr>
      <w:r>
        <w:rPr>
          <w:rFonts w:hint="eastAsia" w:ascii="宋体" w:hAnsi="宋体" w:cs="宋体"/>
          <w:sz w:val="24"/>
          <w:szCs w:val="24"/>
        </w:rPr>
        <w:t>1.3 乙方不完全履行合同义务，且在甲方就此发出通知后的一个月仍未对违约行为采取补救措施，甲方有权终止运营并解除合同。</w:t>
      </w:r>
    </w:p>
    <w:p>
      <w:pPr>
        <w:spacing w:line="360" w:lineRule="auto"/>
        <w:ind w:firstLine="480" w:firstLineChars="200"/>
        <w:rPr>
          <w:rFonts w:ascii="宋体" w:hAnsi="宋体" w:cs="宋体"/>
          <w:sz w:val="24"/>
          <w:szCs w:val="24"/>
        </w:rPr>
      </w:pPr>
      <w:r>
        <w:rPr>
          <w:rFonts w:hint="eastAsia" w:ascii="宋体" w:hAnsi="宋体" w:cs="宋体"/>
          <w:sz w:val="24"/>
          <w:szCs w:val="24"/>
        </w:rPr>
        <w:t>2. 乙方的终止权</w:t>
      </w:r>
    </w:p>
    <w:p>
      <w:pPr>
        <w:spacing w:line="360" w:lineRule="auto"/>
        <w:ind w:firstLine="480" w:firstLineChars="200"/>
        <w:rPr>
          <w:rFonts w:ascii="宋体" w:hAnsi="宋体" w:cs="宋体"/>
          <w:sz w:val="24"/>
          <w:szCs w:val="24"/>
        </w:rPr>
      </w:pPr>
      <w:r>
        <w:rPr>
          <w:rFonts w:hint="eastAsia" w:ascii="宋体" w:hAnsi="宋体" w:cs="宋体"/>
          <w:sz w:val="24"/>
          <w:szCs w:val="24"/>
        </w:rPr>
        <w:t>下述事件如果不是由于乙方违约或由于不可抗力所致，即构成甲方违约事件，如果在被允许的时期内未得到改正，乙方有权终止运营并解除合同：</w:t>
      </w:r>
    </w:p>
    <w:p>
      <w:pPr>
        <w:spacing w:line="360" w:lineRule="auto"/>
        <w:ind w:firstLine="480" w:firstLineChars="200"/>
        <w:rPr>
          <w:rFonts w:ascii="宋体" w:hAnsi="宋体" w:cs="宋体"/>
          <w:sz w:val="24"/>
          <w:szCs w:val="24"/>
        </w:rPr>
      </w:pPr>
      <w:r>
        <w:rPr>
          <w:rFonts w:hint="eastAsia" w:ascii="宋体" w:hAnsi="宋体" w:cs="宋体"/>
          <w:sz w:val="24"/>
          <w:szCs w:val="24"/>
        </w:rPr>
        <w:t>2.1 甲方擅自转让、出租服务经营权；</w:t>
      </w:r>
    </w:p>
    <w:p>
      <w:pPr>
        <w:spacing w:line="360" w:lineRule="auto"/>
        <w:ind w:firstLine="480" w:firstLineChars="200"/>
        <w:rPr>
          <w:rFonts w:ascii="宋体" w:hAnsi="宋体" w:cs="宋体"/>
          <w:sz w:val="24"/>
          <w:szCs w:val="24"/>
        </w:rPr>
      </w:pPr>
      <w:r>
        <w:rPr>
          <w:rFonts w:hint="eastAsia" w:ascii="宋体" w:hAnsi="宋体" w:cs="宋体"/>
          <w:sz w:val="24"/>
          <w:szCs w:val="24"/>
        </w:rPr>
        <w:t>2.2 因甲方管理不善，发生重大质量，医疗安全事故；</w:t>
      </w:r>
    </w:p>
    <w:p>
      <w:pPr>
        <w:spacing w:line="360" w:lineRule="auto"/>
        <w:ind w:firstLine="480" w:firstLineChars="200"/>
        <w:rPr>
          <w:rFonts w:ascii="宋体" w:hAnsi="宋体" w:cs="宋体"/>
          <w:sz w:val="24"/>
          <w:szCs w:val="24"/>
        </w:rPr>
      </w:pPr>
      <w:r>
        <w:rPr>
          <w:rFonts w:hint="eastAsia" w:ascii="宋体" w:hAnsi="宋体" w:cs="宋体"/>
          <w:sz w:val="24"/>
          <w:szCs w:val="24"/>
        </w:rPr>
        <w:t>2.3 因甲方原因擅自终止运营或干扰相关科室正常经营，严重影响到社会公共利益的；</w:t>
      </w:r>
    </w:p>
    <w:p>
      <w:pPr>
        <w:spacing w:line="360" w:lineRule="auto"/>
        <w:ind w:firstLine="480" w:firstLineChars="200"/>
        <w:rPr>
          <w:rFonts w:ascii="宋体" w:hAnsi="宋体" w:cs="宋体"/>
          <w:sz w:val="24"/>
          <w:szCs w:val="24"/>
        </w:rPr>
      </w:pPr>
      <w:r>
        <w:rPr>
          <w:rFonts w:hint="eastAsia" w:ascii="宋体" w:hAnsi="宋体" w:cs="宋体"/>
          <w:sz w:val="24"/>
          <w:szCs w:val="24"/>
        </w:rPr>
        <w:t>2.4 甲方不完全履行合同义务，且在乙方就此发出通知后的一个月仍未对违约行为采取补救措施，乙方有权终止运营。</w:t>
      </w:r>
    </w:p>
    <w:p>
      <w:pPr>
        <w:spacing w:line="360" w:lineRule="auto"/>
        <w:ind w:firstLine="480" w:firstLineChars="200"/>
        <w:rPr>
          <w:rFonts w:ascii="宋体" w:hAnsi="宋体" w:cs="宋体"/>
          <w:sz w:val="24"/>
          <w:szCs w:val="24"/>
        </w:rPr>
      </w:pPr>
      <w:r>
        <w:rPr>
          <w:rFonts w:hint="eastAsia" w:ascii="宋体" w:hAnsi="宋体" w:cs="宋体"/>
          <w:sz w:val="24"/>
          <w:szCs w:val="24"/>
        </w:rPr>
        <w:t>2.5甲方向乙方恶意提供虚假的中心收入、使用成本等情况；</w:t>
      </w:r>
    </w:p>
    <w:p>
      <w:pPr>
        <w:spacing w:line="360" w:lineRule="auto"/>
        <w:ind w:left="482"/>
        <w:rPr>
          <w:rFonts w:ascii="宋体" w:hAnsi="宋体" w:cs="宋体"/>
          <w:b/>
          <w:sz w:val="24"/>
          <w:szCs w:val="24"/>
        </w:rPr>
      </w:pPr>
      <w:r>
        <w:rPr>
          <w:rFonts w:hint="eastAsia" w:ascii="宋体" w:hAnsi="宋体" w:cs="宋体"/>
          <w:b/>
          <w:sz w:val="24"/>
          <w:szCs w:val="24"/>
        </w:rPr>
        <w:t>第八条  项目管理服务</w:t>
      </w:r>
    </w:p>
    <w:p>
      <w:pPr>
        <w:spacing w:line="360" w:lineRule="auto"/>
        <w:ind w:firstLine="480" w:firstLineChars="200"/>
        <w:rPr>
          <w:rFonts w:ascii="宋体" w:hAnsi="宋体" w:cs="宋体"/>
          <w:sz w:val="24"/>
          <w:szCs w:val="24"/>
        </w:rPr>
      </w:pPr>
      <w:r>
        <w:rPr>
          <w:rFonts w:hint="eastAsia" w:ascii="宋体" w:hAnsi="宋体" w:cs="宋体"/>
          <w:sz w:val="24"/>
          <w:szCs w:val="24"/>
        </w:rPr>
        <w:t>乙方要指定不少于一人全权全程负责本项目服务的落实，包括技术服务的咨询、执行和后续工作。</w:t>
      </w:r>
    </w:p>
    <w:p>
      <w:pPr>
        <w:spacing w:line="360" w:lineRule="auto"/>
        <w:ind w:firstLine="480" w:firstLineChars="200"/>
        <w:rPr>
          <w:rFonts w:ascii="宋体" w:hAnsi="宋体" w:cs="宋体"/>
          <w:sz w:val="24"/>
          <w:szCs w:val="24"/>
        </w:rPr>
      </w:pPr>
      <w:r>
        <w:rPr>
          <w:rFonts w:hint="eastAsia" w:ascii="宋体" w:hAnsi="宋体" w:cs="宋体"/>
          <w:sz w:val="24"/>
          <w:szCs w:val="24"/>
        </w:rPr>
        <w:t>项目负责人姓名： ； 联系电话：。</w:t>
      </w:r>
    </w:p>
    <w:p>
      <w:pPr>
        <w:spacing w:line="360" w:lineRule="auto"/>
        <w:ind w:firstLine="471" w:firstLineChars="196"/>
        <w:rPr>
          <w:rFonts w:ascii="宋体" w:hAnsi="宋体" w:cs="宋体"/>
          <w:b/>
          <w:sz w:val="24"/>
          <w:szCs w:val="24"/>
        </w:rPr>
      </w:pPr>
      <w:r>
        <w:rPr>
          <w:rFonts w:hint="eastAsia" w:ascii="宋体" w:hAnsi="宋体" w:cs="宋体"/>
          <w:b/>
          <w:sz w:val="24"/>
          <w:szCs w:val="24"/>
        </w:rPr>
        <w:t>第九条  售后服务</w:t>
      </w:r>
    </w:p>
    <w:p>
      <w:pPr>
        <w:spacing w:line="360" w:lineRule="auto"/>
        <w:ind w:firstLine="480" w:firstLineChars="200"/>
        <w:rPr>
          <w:rFonts w:ascii="宋体" w:hAnsi="宋体" w:cs="宋体"/>
          <w:sz w:val="24"/>
          <w:szCs w:val="24"/>
        </w:rPr>
      </w:pPr>
      <w:r>
        <w:rPr>
          <w:rFonts w:hint="eastAsia" w:ascii="宋体" w:hAnsi="宋体" w:cs="宋体"/>
          <w:sz w:val="24"/>
          <w:szCs w:val="24"/>
        </w:rPr>
        <w:t>1.服务期内，乙方应提供相关服务支持。对甲方所反映的任何服务问题在</w:t>
      </w:r>
      <w:r>
        <w:rPr>
          <w:rFonts w:hint="eastAsia" w:ascii="宋体" w:hAnsi="宋体" w:cs="宋体"/>
          <w:sz w:val="24"/>
          <w:szCs w:val="24"/>
          <w:u w:val="single"/>
        </w:rPr>
        <w:t>××</w:t>
      </w:r>
      <w:r>
        <w:rPr>
          <w:rFonts w:hint="eastAsia" w:ascii="宋体" w:hAnsi="宋体" w:cs="宋体"/>
          <w:sz w:val="24"/>
          <w:szCs w:val="24"/>
        </w:rPr>
        <w:t>日（小时）之内做出及时响应，在日（小时）之内赶到现场实地解决问题。若问题在工作日（小时）后仍无法解决，乙方应在日（小时）内免费提供服务的补偿、替换方案，直至服务恢复正常。</w:t>
      </w:r>
    </w:p>
    <w:p>
      <w:pPr>
        <w:spacing w:line="360" w:lineRule="auto"/>
        <w:ind w:firstLine="480" w:firstLineChars="200"/>
        <w:rPr>
          <w:rFonts w:ascii="宋体" w:hAnsi="宋体" w:cs="宋体"/>
          <w:sz w:val="24"/>
          <w:szCs w:val="24"/>
        </w:rPr>
      </w:pPr>
      <w:r>
        <w:rPr>
          <w:rFonts w:hint="eastAsia" w:ascii="宋体" w:hAnsi="宋体" w:cs="宋体"/>
          <w:sz w:val="24"/>
          <w:szCs w:val="24"/>
        </w:rPr>
        <w:t>2.乙方必须遵守甲方的有关管理制度、操作规程。对于乙方违规操作造成甲方损失的，由乙方按照本合同第十二条的约定承担赔偿责任。</w:t>
      </w:r>
    </w:p>
    <w:p>
      <w:pPr>
        <w:spacing w:line="360" w:lineRule="auto"/>
        <w:ind w:left="482"/>
        <w:rPr>
          <w:rFonts w:ascii="宋体" w:hAnsi="宋体" w:cs="宋体"/>
          <w:b/>
          <w:sz w:val="24"/>
          <w:szCs w:val="24"/>
        </w:rPr>
      </w:pPr>
      <w:r>
        <w:rPr>
          <w:rFonts w:hint="eastAsia" w:ascii="宋体" w:hAnsi="宋体" w:cs="宋体"/>
          <w:b/>
          <w:sz w:val="24"/>
          <w:szCs w:val="24"/>
        </w:rPr>
        <w:t>第十条  分包和转包</w:t>
      </w:r>
    </w:p>
    <w:p>
      <w:pPr>
        <w:spacing w:line="360" w:lineRule="auto"/>
        <w:ind w:firstLine="480" w:firstLineChars="200"/>
        <w:rPr>
          <w:rFonts w:ascii="宋体" w:hAnsi="宋体" w:cs="宋体"/>
          <w:strike/>
          <w:sz w:val="24"/>
          <w:szCs w:val="24"/>
        </w:rPr>
      </w:pPr>
      <w:r>
        <w:rPr>
          <w:rFonts w:hint="eastAsia" w:ascii="宋体" w:hAnsi="宋体" w:cs="宋体"/>
          <w:sz w:val="24"/>
          <w:szCs w:val="24"/>
        </w:rPr>
        <w:t>除采购文件事先说明、且经甲方事先书面同意外，乙方不得分包、转包其应履行的合同义务。</w:t>
      </w:r>
    </w:p>
    <w:p>
      <w:pPr>
        <w:spacing w:line="360" w:lineRule="auto"/>
        <w:ind w:firstLine="480" w:firstLineChars="200"/>
        <w:rPr>
          <w:rFonts w:ascii="宋体" w:hAnsi="宋体" w:cs="宋体"/>
          <w:sz w:val="24"/>
          <w:szCs w:val="24"/>
        </w:rPr>
      </w:pPr>
      <w:r>
        <w:rPr>
          <w:rFonts w:hint="eastAsia" w:ascii="宋体" w:hAnsi="宋体" w:cs="宋体"/>
          <w:b/>
          <w:sz w:val="24"/>
          <w:szCs w:val="24"/>
        </w:rPr>
        <w:t xml:space="preserve">第十一条  </w:t>
      </w:r>
      <w:r>
        <w:rPr>
          <w:rFonts w:hint="eastAsia" w:ascii="宋体" w:hAnsi="宋体" w:cs="宋体"/>
          <w:b/>
          <w:bCs/>
          <w:sz w:val="24"/>
          <w:szCs w:val="24"/>
        </w:rPr>
        <w:t>合同的生效</w:t>
      </w:r>
    </w:p>
    <w:p>
      <w:pPr>
        <w:spacing w:line="360" w:lineRule="auto"/>
        <w:ind w:firstLine="480" w:firstLineChars="200"/>
        <w:rPr>
          <w:rFonts w:ascii="宋体" w:hAnsi="宋体" w:cs="宋体"/>
          <w:sz w:val="24"/>
          <w:szCs w:val="24"/>
        </w:rPr>
      </w:pPr>
      <w:r>
        <w:rPr>
          <w:rFonts w:hint="eastAsia" w:ascii="宋体" w:hAnsi="宋体" w:cs="宋体"/>
          <w:sz w:val="24"/>
          <w:szCs w:val="24"/>
        </w:rPr>
        <w:t>本合同经甲乙双方或授权代表签字并加盖公章或合同专用章后生效。</w:t>
      </w:r>
    </w:p>
    <w:p>
      <w:pPr>
        <w:spacing w:line="360" w:lineRule="auto"/>
        <w:ind w:firstLine="480" w:firstLineChars="200"/>
        <w:rPr>
          <w:rFonts w:ascii="宋体" w:hAnsi="宋体" w:cs="宋体"/>
          <w:sz w:val="24"/>
          <w:szCs w:val="24"/>
        </w:rPr>
      </w:pPr>
      <w:r>
        <w:rPr>
          <w:rFonts w:hint="eastAsia" w:ascii="宋体" w:hAnsi="宋体" w:cs="宋体"/>
          <w:b/>
          <w:bCs/>
          <w:sz w:val="24"/>
          <w:szCs w:val="24"/>
        </w:rPr>
        <w:t>第十二条  违约责任</w:t>
      </w:r>
    </w:p>
    <w:p>
      <w:pPr>
        <w:spacing w:line="360" w:lineRule="auto"/>
        <w:ind w:firstLine="480" w:firstLineChars="200"/>
        <w:rPr>
          <w:rFonts w:ascii="宋体" w:hAnsi="宋体" w:cs="宋体"/>
          <w:sz w:val="24"/>
          <w:szCs w:val="24"/>
        </w:rPr>
      </w:pPr>
      <w:r>
        <w:rPr>
          <w:rFonts w:hint="eastAsia" w:ascii="宋体" w:hAnsi="宋体" w:cs="宋体"/>
          <w:sz w:val="24"/>
          <w:szCs w:val="24"/>
        </w:rPr>
        <w:t>凡甲、乙双方出现违反合同约定内容的行为或任何单方面无故停止合作与配合的行为即属违约：</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1、在本合同有效期内，甲方不得再与任何第三方或甲方内部其他部门、科室就同一类型项目整体或部分签订相同服务项目合同及其他有直接或间接利益关联的合同，否则视为甲方违约，甲方承担前述相应的违约责任。 </w:t>
      </w:r>
    </w:p>
    <w:p>
      <w:pPr>
        <w:spacing w:line="360" w:lineRule="auto"/>
        <w:ind w:left="482"/>
        <w:rPr>
          <w:rFonts w:ascii="宋体" w:hAnsi="宋体" w:cs="宋体"/>
          <w:b/>
          <w:sz w:val="24"/>
          <w:szCs w:val="24"/>
        </w:rPr>
      </w:pPr>
      <w:r>
        <w:rPr>
          <w:rFonts w:hint="eastAsia" w:ascii="宋体" w:hAnsi="宋体" w:cs="宋体"/>
          <w:b/>
          <w:sz w:val="24"/>
          <w:szCs w:val="24"/>
        </w:rPr>
        <w:t>第十三条  不可抗力</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甲、乙方中任何一方，因不可抗力不能按时或完全履行合同的，应及时通知对方，并在个工作日内提供相应证明，结算服务费用。未履行的部分是否继续履行、如何履行等问题，可由双方初步协商，并向主管部门报告。确定为不可抗力原因造成的损失，免予承担责任。</w:t>
      </w:r>
    </w:p>
    <w:p>
      <w:pPr>
        <w:spacing w:line="360" w:lineRule="auto"/>
        <w:ind w:left="482"/>
        <w:rPr>
          <w:rFonts w:ascii="宋体" w:hAnsi="宋体" w:cs="宋体"/>
          <w:b/>
          <w:sz w:val="24"/>
          <w:szCs w:val="24"/>
        </w:rPr>
      </w:pPr>
      <w:r>
        <w:rPr>
          <w:rFonts w:hint="eastAsia" w:ascii="宋体" w:hAnsi="宋体" w:cs="宋体"/>
          <w:b/>
          <w:sz w:val="24"/>
          <w:szCs w:val="24"/>
        </w:rPr>
        <w:t>第十四条  争议的解决方式</w:t>
      </w:r>
    </w:p>
    <w:p>
      <w:pPr>
        <w:spacing w:line="360" w:lineRule="auto"/>
        <w:ind w:firstLine="480" w:firstLineChars="200"/>
        <w:rPr>
          <w:rFonts w:ascii="宋体" w:hAnsi="宋体" w:cs="宋体"/>
          <w:sz w:val="24"/>
          <w:szCs w:val="24"/>
        </w:rPr>
      </w:pPr>
      <w:r>
        <w:rPr>
          <w:rFonts w:hint="eastAsia" w:ascii="宋体" w:hAnsi="宋体" w:cs="宋体"/>
          <w:sz w:val="24"/>
          <w:szCs w:val="24"/>
        </w:rPr>
        <w:t>1.在解释或者执行本合同的过程中发生争议时，双方应通过协商方式解决。</w:t>
      </w:r>
    </w:p>
    <w:p>
      <w:pPr>
        <w:spacing w:line="360" w:lineRule="auto"/>
        <w:ind w:firstLine="480" w:firstLineChars="200"/>
        <w:rPr>
          <w:rFonts w:ascii="宋体" w:hAnsi="宋体" w:cs="宋体"/>
          <w:sz w:val="24"/>
          <w:szCs w:val="24"/>
        </w:rPr>
      </w:pPr>
      <w:r>
        <w:rPr>
          <w:rFonts w:hint="eastAsia" w:ascii="宋体" w:hAnsi="宋体" w:cs="宋体"/>
          <w:sz w:val="24"/>
          <w:szCs w:val="24"/>
        </w:rPr>
        <w:t>2.经协商不能解决的争议， 向有管辖权的法院提起诉讼；</w:t>
      </w:r>
    </w:p>
    <w:p>
      <w:pPr>
        <w:spacing w:line="360" w:lineRule="auto"/>
        <w:ind w:left="482"/>
        <w:rPr>
          <w:rFonts w:ascii="宋体" w:hAnsi="宋体" w:cs="宋体"/>
          <w:b/>
          <w:sz w:val="24"/>
          <w:szCs w:val="24"/>
        </w:rPr>
      </w:pPr>
      <w:r>
        <w:rPr>
          <w:rFonts w:hint="eastAsia" w:ascii="宋体" w:hAnsi="宋体" w:cs="宋体"/>
          <w:b/>
          <w:sz w:val="24"/>
          <w:szCs w:val="24"/>
        </w:rPr>
        <w:t>第十五条  其他</w:t>
      </w:r>
    </w:p>
    <w:p>
      <w:pPr>
        <w:spacing w:line="360" w:lineRule="auto"/>
        <w:ind w:firstLine="480" w:firstLineChars="200"/>
        <w:rPr>
          <w:rFonts w:ascii="宋体" w:hAnsi="宋体" w:cs="宋体"/>
          <w:sz w:val="24"/>
          <w:szCs w:val="24"/>
        </w:rPr>
      </w:pPr>
      <w:r>
        <w:rPr>
          <w:rFonts w:hint="eastAsia" w:ascii="宋体" w:hAnsi="宋体" w:cs="宋体"/>
          <w:sz w:val="24"/>
          <w:szCs w:val="24"/>
        </w:rPr>
        <w:t>1、本合同在执行期间，如有未尽事宜，由甲乙双方协商，可签订补充合同，所签订的补充合同与本合同具有同等法律效力。</w:t>
      </w:r>
    </w:p>
    <w:p>
      <w:pPr>
        <w:spacing w:line="360" w:lineRule="auto"/>
        <w:ind w:firstLine="480" w:firstLineChars="200"/>
        <w:rPr>
          <w:rFonts w:ascii="宋体" w:hAnsi="宋体" w:cs="宋体"/>
          <w:sz w:val="24"/>
          <w:szCs w:val="24"/>
        </w:rPr>
      </w:pPr>
      <w:r>
        <w:rPr>
          <w:rFonts w:hint="eastAsia" w:ascii="宋体" w:hAnsi="宋体" w:cs="宋体"/>
          <w:sz w:val="24"/>
          <w:szCs w:val="24"/>
        </w:rPr>
        <w:t>2、本合同为响应标准文本，甲乙双方的具体权利与义务以实际签订的合同为准。</w:t>
      </w:r>
    </w:p>
    <w:p>
      <w:pPr>
        <w:spacing w:line="360" w:lineRule="auto"/>
        <w:ind w:firstLine="480" w:firstLineChars="200"/>
        <w:rPr>
          <w:rFonts w:ascii="宋体" w:hAnsi="宋体" w:cs="宋体"/>
          <w:sz w:val="24"/>
          <w:szCs w:val="24"/>
        </w:rPr>
      </w:pPr>
      <w:r>
        <w:rPr>
          <w:rFonts w:hint="eastAsia" w:ascii="宋体" w:hAnsi="宋体" w:cs="宋体"/>
          <w:sz w:val="24"/>
          <w:szCs w:val="24"/>
        </w:rPr>
        <w:t>本合同一式</w:t>
      </w:r>
      <w:r>
        <w:rPr>
          <w:rFonts w:hint="eastAsia" w:ascii="宋体" w:hAnsi="宋体" w:cs="宋体"/>
          <w:sz w:val="24"/>
          <w:szCs w:val="24"/>
          <w:u w:val="single"/>
        </w:rPr>
        <w:t xml:space="preserve">  </w:t>
      </w:r>
      <w:r>
        <w:rPr>
          <w:rFonts w:hint="eastAsia" w:ascii="宋体" w:hAnsi="宋体" w:cs="宋体"/>
          <w:sz w:val="24"/>
          <w:szCs w:val="24"/>
        </w:rPr>
        <w:t>份，甲、乙双方各</w:t>
      </w:r>
      <w:r>
        <w:rPr>
          <w:rFonts w:hint="eastAsia" w:ascii="宋体" w:hAnsi="宋体" w:cs="宋体"/>
          <w:sz w:val="24"/>
          <w:szCs w:val="24"/>
          <w:u w:val="single"/>
        </w:rPr>
        <w:t xml:space="preserve">  </w:t>
      </w:r>
      <w:r>
        <w:rPr>
          <w:rFonts w:hint="eastAsia" w:ascii="宋体" w:hAnsi="宋体" w:cs="宋体"/>
          <w:sz w:val="24"/>
          <w:szCs w:val="24"/>
        </w:rPr>
        <w:t>份。</w:t>
      </w:r>
    </w:p>
    <w:p>
      <w:pPr>
        <w:spacing w:line="360" w:lineRule="auto"/>
        <w:ind w:left="1470" w:leftChars="700"/>
        <w:jc w:val="left"/>
        <w:rPr>
          <w:rFonts w:ascii="宋体" w:hAnsi="宋体" w:cs="宋体"/>
          <w:sz w:val="24"/>
          <w:szCs w:val="24"/>
        </w:rPr>
      </w:pPr>
      <w:r>
        <w:rPr>
          <w:rFonts w:hint="eastAsia" w:ascii="宋体" w:hAnsi="宋体" w:cs="宋体"/>
          <w:sz w:val="24"/>
          <w:szCs w:val="24"/>
        </w:rPr>
        <w:t>甲   方：                        乙   方：</w:t>
      </w:r>
    </w:p>
    <w:p>
      <w:pPr>
        <w:spacing w:line="360" w:lineRule="auto"/>
        <w:ind w:left="1470" w:leftChars="700"/>
        <w:jc w:val="left"/>
        <w:rPr>
          <w:rFonts w:ascii="宋体" w:hAnsi="宋体" w:cs="宋体"/>
          <w:sz w:val="24"/>
          <w:szCs w:val="24"/>
        </w:rPr>
      </w:pPr>
      <w:r>
        <w:rPr>
          <w:rFonts w:hint="eastAsia" w:ascii="宋体" w:hAnsi="宋体" w:cs="宋体"/>
          <w:sz w:val="24"/>
          <w:szCs w:val="24"/>
        </w:rPr>
        <w:t>名称：（盖章）                   名称：（盖章）</w:t>
      </w:r>
    </w:p>
    <w:p>
      <w:pPr>
        <w:spacing w:line="360" w:lineRule="auto"/>
        <w:ind w:left="1470" w:leftChars="700"/>
        <w:jc w:val="left"/>
        <w:rPr>
          <w:rFonts w:ascii="宋体" w:hAnsi="宋体" w:cs="宋体"/>
          <w:sz w:val="24"/>
          <w:szCs w:val="24"/>
        </w:rPr>
      </w:pPr>
      <w:r>
        <w:rPr>
          <w:rFonts w:hint="eastAsia" w:ascii="宋体" w:hAnsi="宋体" w:cs="宋体"/>
          <w:sz w:val="24"/>
          <w:szCs w:val="24"/>
        </w:rPr>
        <w:t>地址：                           地址：</w:t>
      </w:r>
    </w:p>
    <w:p>
      <w:pPr>
        <w:spacing w:line="360" w:lineRule="auto"/>
        <w:ind w:left="1470" w:leftChars="700"/>
        <w:jc w:val="left"/>
        <w:rPr>
          <w:rFonts w:ascii="宋体" w:hAnsi="宋体" w:cs="宋体"/>
          <w:sz w:val="24"/>
          <w:szCs w:val="24"/>
        </w:rPr>
      </w:pPr>
      <w:r>
        <w:rPr>
          <w:rFonts w:hint="eastAsia" w:ascii="宋体" w:hAnsi="宋体" w:cs="宋体"/>
          <w:sz w:val="24"/>
          <w:szCs w:val="24"/>
        </w:rPr>
        <w:t>法定代表人（签字）：             法定代表人（签字）：</w:t>
      </w:r>
    </w:p>
    <w:p>
      <w:pPr>
        <w:spacing w:line="360" w:lineRule="auto"/>
        <w:ind w:left="1470" w:leftChars="700"/>
        <w:jc w:val="left"/>
        <w:rPr>
          <w:rFonts w:ascii="宋体" w:hAnsi="宋体" w:cs="宋体"/>
          <w:sz w:val="24"/>
          <w:szCs w:val="24"/>
        </w:rPr>
      </w:pPr>
      <w:r>
        <w:rPr>
          <w:rFonts w:hint="eastAsia" w:ascii="宋体" w:hAnsi="宋体" w:cs="宋体"/>
          <w:sz w:val="24"/>
          <w:szCs w:val="24"/>
        </w:rPr>
        <w:t>授权代表（签字）：               授权代表（签字）：</w:t>
      </w:r>
    </w:p>
    <w:p>
      <w:pPr>
        <w:spacing w:line="360" w:lineRule="auto"/>
        <w:ind w:left="1470" w:leftChars="700"/>
        <w:jc w:val="left"/>
        <w:rPr>
          <w:rFonts w:ascii="宋体" w:hAnsi="宋体" w:cs="宋体"/>
          <w:sz w:val="24"/>
          <w:szCs w:val="24"/>
        </w:rPr>
      </w:pPr>
      <w:r>
        <w:rPr>
          <w:rFonts w:hint="eastAsia" w:ascii="宋体" w:hAnsi="宋体" w:cs="宋体"/>
          <w:sz w:val="24"/>
          <w:szCs w:val="24"/>
        </w:rPr>
        <w:t>开户银行：                       开户银行：</w:t>
      </w:r>
    </w:p>
    <w:p>
      <w:pPr>
        <w:spacing w:line="360" w:lineRule="auto"/>
        <w:ind w:left="1470" w:leftChars="700"/>
        <w:jc w:val="left"/>
        <w:rPr>
          <w:rFonts w:ascii="宋体" w:hAnsi="宋体" w:cs="宋体"/>
          <w:sz w:val="24"/>
          <w:szCs w:val="24"/>
        </w:rPr>
      </w:pPr>
      <w:r>
        <w:rPr>
          <w:rFonts w:hint="eastAsia" w:ascii="宋体" w:hAnsi="宋体" w:cs="宋体"/>
          <w:sz w:val="24"/>
          <w:szCs w:val="24"/>
        </w:rPr>
        <w:t>银行帐号：                       银行帐号：</w:t>
      </w:r>
    </w:p>
    <w:p>
      <w:pPr>
        <w:spacing w:line="360" w:lineRule="auto"/>
        <w:ind w:left="1470" w:leftChars="700" w:firstLine="960" w:firstLineChars="400"/>
        <w:jc w:val="right"/>
        <w:rPr>
          <w:rFonts w:ascii="宋体" w:hAnsi="宋体" w:cs="宋体"/>
          <w:sz w:val="24"/>
          <w:szCs w:val="24"/>
        </w:rPr>
      </w:pPr>
      <w:r>
        <w:rPr>
          <w:rFonts w:hint="eastAsia" w:ascii="宋体" w:hAnsi="宋体" w:cs="宋体"/>
          <w:sz w:val="24"/>
          <w:szCs w:val="24"/>
        </w:rPr>
        <w:t>时间：  年  月  日</w:t>
      </w:r>
    </w:p>
    <w:p>
      <w:pPr>
        <w:spacing w:line="360" w:lineRule="auto"/>
        <w:rPr>
          <w:rFonts w:ascii="宋体" w:hAnsi="宋体" w:cs="宋体"/>
          <w:sz w:val="24"/>
          <w:szCs w:val="24"/>
        </w:rPr>
      </w:pPr>
      <w:r>
        <w:rPr>
          <w:rFonts w:hint="eastAsia" w:ascii="宋体" w:hAnsi="宋体" w:cs="宋体"/>
          <w:b/>
          <w:sz w:val="24"/>
          <w:szCs w:val="24"/>
        </w:rPr>
        <w:t>注：以上合同格式供采购人和成交单位参考，采购人和成交单位可自行增加或递减合同的相应条款和约束内容。</w:t>
      </w:r>
    </w:p>
    <w:p>
      <w:pPr>
        <w:pStyle w:val="4"/>
        <w:spacing w:line="220" w:lineRule="auto"/>
        <w:ind w:left="9"/>
        <w:rPr>
          <w:sz w:val="24"/>
          <w:szCs w:val="24"/>
        </w:rPr>
      </w:pPr>
    </w:p>
    <w:p>
      <w:pPr>
        <w:spacing w:line="220" w:lineRule="auto"/>
        <w:rPr>
          <w:sz w:val="24"/>
          <w:szCs w:val="24"/>
        </w:rPr>
        <w:sectPr>
          <w:headerReference r:id="rId7" w:type="default"/>
          <w:footerReference r:id="rId8" w:type="default"/>
          <w:pgSz w:w="11907" w:h="16840"/>
          <w:pgMar w:top="1117" w:right="1130" w:bottom="1060" w:left="1700" w:header="878" w:footer="886" w:gutter="0"/>
          <w:pgNumType w:fmt="decimal"/>
          <w:cols w:space="720" w:num="1"/>
        </w:sectPr>
      </w:pPr>
    </w:p>
    <w:p>
      <w:pPr>
        <w:pStyle w:val="4"/>
        <w:spacing w:before="353" w:line="219" w:lineRule="auto"/>
        <w:ind w:left="2654"/>
        <w:rPr>
          <w:sz w:val="36"/>
          <w:szCs w:val="36"/>
        </w:rPr>
      </w:pPr>
      <w:r>
        <w:rPr>
          <w:spacing w:val="-5"/>
          <w:sz w:val="36"/>
          <w:szCs w:val="36"/>
          <w14:textOutline w14:w="2306" w14:cap="flat" w14:cmpd="sng">
            <w14:solidFill>
              <w14:srgbClr w14:val="000000"/>
            </w14:solidFill>
            <w14:prstDash w14:val="solid"/>
            <w14:miter w14:val="0"/>
          </w14:textOutline>
        </w:rPr>
        <w:t>第六章</w:t>
      </w:r>
      <w:r>
        <w:rPr>
          <w:spacing w:val="14"/>
          <w:sz w:val="36"/>
          <w:szCs w:val="36"/>
        </w:rPr>
        <w:t xml:space="preserve">   </w:t>
      </w:r>
      <w:r>
        <w:rPr>
          <w:spacing w:val="-5"/>
          <w:sz w:val="36"/>
          <w:szCs w:val="36"/>
          <w14:textOutline w14:w="2306" w14:cap="flat" w14:cmpd="sng">
            <w14:solidFill>
              <w14:srgbClr w14:val="000000"/>
            </w14:solidFill>
            <w14:prstDash w14:val="solid"/>
            <w14:miter w14:val="0"/>
          </w14:textOutline>
        </w:rPr>
        <w:t>响应文件格式</w:t>
      </w:r>
    </w:p>
    <w:p>
      <w:pPr>
        <w:spacing w:line="296" w:lineRule="auto"/>
        <w:rPr>
          <w:rFonts w:ascii="Arial"/>
          <w:sz w:val="21"/>
        </w:rPr>
      </w:pPr>
    </w:p>
    <w:p>
      <w:pPr>
        <w:spacing w:line="296" w:lineRule="auto"/>
        <w:rPr>
          <w:rFonts w:ascii="Arial"/>
          <w:sz w:val="21"/>
        </w:rPr>
      </w:pPr>
    </w:p>
    <w:p>
      <w:pPr>
        <w:jc w:val="center"/>
        <w:outlineLvl w:val="1"/>
        <w:rPr>
          <w:rFonts w:ascii="宋体" w:hAnsi="宋体" w:cs="宋体"/>
          <w:sz w:val="40"/>
          <w:szCs w:val="36"/>
        </w:rPr>
      </w:pPr>
      <w:r>
        <w:rPr>
          <w:rFonts w:hint="eastAsia" w:ascii="宋体" w:hAnsi="宋体" w:cs="宋体"/>
          <w:b/>
          <w:sz w:val="40"/>
          <w:szCs w:val="36"/>
          <w:u w:val="single"/>
        </w:rPr>
        <w:t xml:space="preserve">            </w:t>
      </w:r>
      <w:bookmarkStart w:id="50" w:name="_Toc8210"/>
      <w:bookmarkStart w:id="51" w:name="_Toc13682"/>
      <w:r>
        <w:rPr>
          <w:rFonts w:hint="eastAsia" w:ascii="宋体" w:hAnsi="宋体" w:cs="宋体"/>
          <w:b/>
          <w:sz w:val="40"/>
          <w:szCs w:val="36"/>
        </w:rPr>
        <w:t>_______（项目名称）</w:t>
      </w:r>
      <w:bookmarkEnd w:id="50"/>
      <w:bookmarkEnd w:id="51"/>
    </w:p>
    <w:p>
      <w:pPr>
        <w:tabs>
          <w:tab w:val="left" w:pos="7938"/>
        </w:tabs>
        <w:ind w:firstLine="7280" w:firstLineChars="2600"/>
        <w:rPr>
          <w:rFonts w:hint="eastAsia" w:ascii="宋体" w:hAnsi="宋体" w:cs="宋体"/>
          <w:sz w:val="28"/>
        </w:rPr>
      </w:pPr>
    </w:p>
    <w:p>
      <w:pPr>
        <w:jc w:val="center"/>
        <w:rPr>
          <w:rFonts w:hint="eastAsia" w:ascii="宋体" w:hAnsi="宋体" w:cs="宋体"/>
          <w:sz w:val="28"/>
        </w:rPr>
      </w:pPr>
    </w:p>
    <w:p>
      <w:pPr>
        <w:jc w:val="center"/>
        <w:rPr>
          <w:rFonts w:hint="eastAsia" w:ascii="宋体" w:hAnsi="宋体" w:cs="宋体"/>
          <w:sz w:val="28"/>
        </w:rPr>
      </w:pPr>
    </w:p>
    <w:p>
      <w:pPr>
        <w:jc w:val="center"/>
        <w:rPr>
          <w:rFonts w:hint="eastAsia" w:ascii="宋体" w:hAnsi="宋体" w:cs="宋体"/>
          <w:sz w:val="28"/>
        </w:rPr>
      </w:pPr>
    </w:p>
    <w:p>
      <w:pPr>
        <w:jc w:val="center"/>
        <w:rPr>
          <w:rFonts w:hint="eastAsia" w:ascii="宋体" w:hAnsi="宋体" w:cs="宋体"/>
          <w:sz w:val="28"/>
        </w:rPr>
      </w:pPr>
    </w:p>
    <w:p>
      <w:pPr>
        <w:jc w:val="center"/>
        <w:outlineLvl w:val="0"/>
        <w:rPr>
          <w:rFonts w:hint="eastAsia" w:ascii="宋体" w:hAnsi="宋体" w:cs="宋体"/>
          <w:b/>
          <w:sz w:val="84"/>
        </w:rPr>
      </w:pPr>
      <w:bookmarkStart w:id="52" w:name="_Toc10971"/>
      <w:bookmarkStart w:id="53" w:name="_Toc27271"/>
      <w:bookmarkStart w:id="54" w:name="_Toc16602"/>
      <w:r>
        <w:rPr>
          <w:rFonts w:hint="eastAsia" w:ascii="宋体" w:hAnsi="宋体" w:cs="宋体"/>
          <w:b/>
          <w:sz w:val="84"/>
        </w:rPr>
        <w:t>响 应 文 件</w:t>
      </w:r>
      <w:bookmarkEnd w:id="52"/>
      <w:bookmarkEnd w:id="53"/>
      <w:bookmarkEnd w:id="54"/>
    </w:p>
    <w:p>
      <w:pPr>
        <w:jc w:val="center"/>
        <w:outlineLvl w:val="0"/>
        <w:rPr>
          <w:rFonts w:hint="eastAsia" w:ascii="宋体" w:hAnsi="宋体" w:cs="宋体"/>
          <w:sz w:val="28"/>
          <w:szCs w:val="28"/>
        </w:rPr>
      </w:pPr>
      <w:bookmarkStart w:id="55" w:name="_Toc12229"/>
      <w:bookmarkStart w:id="56" w:name="_Toc28965"/>
      <w:bookmarkStart w:id="57" w:name="_Toc20633"/>
      <w:r>
        <w:rPr>
          <w:rFonts w:hint="eastAsia" w:ascii="宋体" w:hAnsi="宋体" w:cs="宋体"/>
          <w:sz w:val="28"/>
          <w:szCs w:val="28"/>
        </w:rPr>
        <w:t>项目编号：</w:t>
      </w:r>
      <w:bookmarkEnd w:id="55"/>
      <w:bookmarkEnd w:id="56"/>
      <w:bookmarkEnd w:id="57"/>
    </w:p>
    <w:p>
      <w:pPr>
        <w:jc w:val="center"/>
        <w:rPr>
          <w:rFonts w:hint="eastAsia" w:ascii="宋体" w:hAnsi="宋体" w:cs="宋体"/>
          <w:sz w:val="52"/>
        </w:rPr>
      </w:pPr>
    </w:p>
    <w:p>
      <w:pPr>
        <w:jc w:val="center"/>
        <w:rPr>
          <w:rFonts w:hint="eastAsia" w:ascii="宋体" w:hAnsi="宋体" w:cs="宋体"/>
          <w:sz w:val="52"/>
        </w:rPr>
      </w:pPr>
    </w:p>
    <w:p>
      <w:pPr>
        <w:jc w:val="center"/>
        <w:rPr>
          <w:rFonts w:hint="eastAsia" w:ascii="宋体" w:hAnsi="宋体" w:cs="宋体"/>
          <w:sz w:val="52"/>
        </w:rPr>
      </w:pPr>
    </w:p>
    <w:p>
      <w:pPr>
        <w:spacing w:line="360" w:lineRule="auto"/>
        <w:jc w:val="center"/>
        <w:outlineLvl w:val="9"/>
        <w:rPr>
          <w:rFonts w:hint="eastAsia" w:ascii="宋体" w:hAnsi="宋体" w:cs="宋体"/>
          <w:b/>
          <w:sz w:val="28"/>
        </w:rPr>
      </w:pPr>
    </w:p>
    <w:p>
      <w:pPr>
        <w:spacing w:line="360" w:lineRule="auto"/>
        <w:jc w:val="center"/>
        <w:outlineLvl w:val="9"/>
        <w:rPr>
          <w:rFonts w:hint="eastAsia" w:ascii="宋体" w:hAnsi="宋体" w:cs="宋体"/>
          <w:b/>
          <w:sz w:val="28"/>
        </w:rPr>
      </w:pPr>
    </w:p>
    <w:p>
      <w:pPr>
        <w:spacing w:line="360" w:lineRule="auto"/>
        <w:jc w:val="center"/>
        <w:outlineLvl w:val="9"/>
        <w:rPr>
          <w:rFonts w:hint="eastAsia" w:ascii="宋体" w:hAnsi="宋体" w:cs="宋体"/>
          <w:b/>
          <w:sz w:val="28"/>
        </w:rPr>
      </w:pPr>
    </w:p>
    <w:p>
      <w:pPr>
        <w:spacing w:line="360" w:lineRule="auto"/>
        <w:jc w:val="center"/>
        <w:outlineLvl w:val="9"/>
        <w:rPr>
          <w:rFonts w:hint="eastAsia" w:ascii="宋体" w:hAnsi="宋体" w:cs="宋体"/>
          <w:b/>
          <w:sz w:val="28"/>
        </w:rPr>
      </w:pPr>
    </w:p>
    <w:p>
      <w:pPr>
        <w:spacing w:line="360" w:lineRule="auto"/>
        <w:jc w:val="center"/>
        <w:outlineLvl w:val="9"/>
        <w:rPr>
          <w:rFonts w:hint="eastAsia" w:ascii="宋体" w:hAnsi="宋体" w:cs="宋体"/>
          <w:b/>
          <w:sz w:val="28"/>
        </w:rPr>
      </w:pPr>
    </w:p>
    <w:p>
      <w:pPr>
        <w:spacing w:line="360" w:lineRule="auto"/>
        <w:jc w:val="center"/>
        <w:outlineLvl w:val="1"/>
        <w:rPr>
          <w:rFonts w:hint="eastAsia" w:ascii="宋体" w:hAnsi="宋体" w:cs="宋体"/>
          <w:b/>
          <w:sz w:val="28"/>
        </w:rPr>
      </w:pPr>
      <w:bookmarkStart w:id="58" w:name="_Toc12708"/>
      <w:r>
        <w:rPr>
          <w:rFonts w:hint="eastAsia" w:ascii="宋体" w:hAnsi="宋体" w:cs="宋体"/>
          <w:b/>
          <w:sz w:val="28"/>
        </w:rPr>
        <w:t>响应人：  （电子签章）</w:t>
      </w:r>
      <w:bookmarkEnd w:id="58"/>
    </w:p>
    <w:p>
      <w:pPr>
        <w:spacing w:line="360" w:lineRule="auto"/>
        <w:jc w:val="center"/>
        <w:outlineLvl w:val="1"/>
        <w:rPr>
          <w:rFonts w:hint="eastAsia" w:ascii="宋体" w:hAnsi="宋体" w:cs="宋体"/>
          <w:b/>
          <w:sz w:val="28"/>
        </w:rPr>
      </w:pPr>
      <w:bookmarkStart w:id="59" w:name="_Toc9548"/>
      <w:r>
        <w:rPr>
          <w:rFonts w:hint="eastAsia" w:ascii="宋体" w:hAnsi="宋体" w:cs="宋体"/>
          <w:b/>
          <w:sz w:val="28"/>
        </w:rPr>
        <w:t>法定代表人或其委托代理人：（电子签名）</w:t>
      </w:r>
      <w:bookmarkEnd w:id="59"/>
    </w:p>
    <w:p>
      <w:pPr>
        <w:numPr>
          <w:ilvl w:val="0"/>
          <w:numId w:val="0"/>
        </w:numPr>
        <w:spacing w:after="0" w:line="360" w:lineRule="auto"/>
        <w:jc w:val="center"/>
        <w:rPr>
          <w:rFonts w:hint="eastAsia" w:ascii="宋体" w:hAnsi="宋体" w:cs="宋体"/>
          <w:b/>
          <w:sz w:val="28"/>
        </w:rPr>
      </w:pPr>
      <w:bookmarkStart w:id="60" w:name="_Toc3247"/>
      <w:r>
        <w:rPr>
          <w:rFonts w:hint="eastAsia" w:ascii="宋体" w:hAnsi="宋体" w:cs="宋体"/>
          <w:b/>
          <w:sz w:val="28"/>
        </w:rPr>
        <w:t>_________年_____月_____日</w:t>
      </w:r>
      <w:bookmarkEnd w:id="60"/>
    </w:p>
    <w:p>
      <w:pPr>
        <w:rPr>
          <w:rFonts w:hint="eastAsia"/>
        </w:rPr>
      </w:pPr>
      <w:r>
        <w:rPr>
          <w:rFonts w:hint="eastAsia" w:ascii="宋体" w:hAnsi="宋体" w:cs="宋体"/>
          <w:b/>
          <w:sz w:val="28"/>
        </w:rPr>
        <w:br w:type="page"/>
      </w:r>
    </w:p>
    <w:p>
      <w:pPr>
        <w:jc w:val="center"/>
        <w:rPr>
          <w:rFonts w:hint="eastAsia" w:ascii="宋体" w:hAnsi="宋体" w:eastAsia="宋体" w:cs="宋体"/>
          <w:b/>
          <w:bCs/>
          <w:sz w:val="24"/>
          <w:szCs w:val="24"/>
        </w:rPr>
      </w:pPr>
      <w:r>
        <w:rPr>
          <w:rFonts w:hint="eastAsia" w:ascii="宋体" w:hAnsi="宋体" w:eastAsia="宋体" w:cs="宋体"/>
          <w:b/>
          <w:bCs/>
          <w:sz w:val="24"/>
          <w:szCs w:val="24"/>
        </w:rPr>
        <w:t>目    录</w:t>
      </w:r>
    </w:p>
    <w:p>
      <w:pPr>
        <w:spacing w:before="152" w:line="219" w:lineRule="auto"/>
        <w:ind w:left="2541"/>
        <w:rPr>
          <w:rFonts w:ascii="宋体" w:hAnsi="宋体" w:eastAsia="宋体" w:cs="宋体"/>
          <w:sz w:val="25"/>
          <w:szCs w:val="25"/>
        </w:rPr>
      </w:pPr>
      <w:r>
        <w:rPr>
          <w:rFonts w:ascii="宋体" w:hAnsi="宋体" w:eastAsia="宋体" w:cs="宋体"/>
          <w:spacing w:val="-12"/>
          <w:sz w:val="25"/>
          <w:szCs w:val="25"/>
        </w:rPr>
        <w:t>(由供应商自行编制并设置页码)</w:t>
      </w:r>
    </w:p>
    <w:p>
      <w:pPr>
        <w:rPr>
          <w:rFonts w:hint="eastAsia" w:ascii="宋体" w:hAnsi="宋体" w:cs="宋体"/>
          <w:b/>
          <w:sz w:val="28"/>
        </w:rPr>
      </w:pPr>
      <w:r>
        <w:rPr>
          <w:rFonts w:hint="eastAsia" w:ascii="宋体" w:hAnsi="宋体" w:cs="宋体"/>
          <w:b/>
          <w:sz w:val="28"/>
        </w:rPr>
        <w:br w:type="page"/>
      </w:r>
    </w:p>
    <w:p>
      <w:pPr>
        <w:numPr>
          <w:ilvl w:val="0"/>
          <w:numId w:val="0"/>
        </w:numPr>
        <w:spacing w:after="0" w:line="360" w:lineRule="auto"/>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 xml:space="preserve">响应函格式  </w:t>
      </w:r>
      <w:r>
        <w:rPr>
          <w:rFonts w:hint="eastAsia" w:asciiTheme="minorEastAsia" w:hAnsiTheme="minorEastAsia" w:eastAsiaTheme="minorEastAsia" w:cstheme="minorEastAsia"/>
          <w:snapToGrid w:val="0"/>
          <w:color w:val="000000"/>
          <w:spacing w:val="-3"/>
          <w:kern w:val="0"/>
          <w:sz w:val="24"/>
          <w:szCs w:val="24"/>
          <w:lang w:val="en-US" w:eastAsia="en-US" w:bidi="ar-SA"/>
        </w:rPr>
        <w:t xml:space="preserve"> </w:t>
      </w:r>
    </w:p>
    <w:p>
      <w:pPr>
        <w:jc w:val="center"/>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   应   函</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u w:val="single"/>
          <w:lang w:val="en-US" w:eastAsia="en-US"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en-US"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据此函，签字代表宣布同意并郑重承诺如下：</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pPr>
        <w:pStyle w:val="4"/>
        <w:spacing w:after="0" w:line="360" w:lineRule="auto"/>
        <w:ind w:firstLine="468"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pPr>
        <w:pStyle w:val="4"/>
        <w:spacing w:after="0" w:line="360" w:lineRule="auto"/>
        <w:ind w:firstLine="468"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宋体" w:hAnsi="宋体" w:eastAsia="宋体" w:cs="宋体"/>
          <w:snapToGrid w:val="0"/>
          <w:color w:val="000000"/>
          <w:kern w:val="0"/>
          <w:sz w:val="24"/>
          <w:szCs w:val="24"/>
          <w:lang w:val="en-US" w:eastAsia="en-US" w:bidi="ar-SA"/>
        </w:rPr>
        <w:t>《政府采购竞争性磋商采购方式管理暂行办法》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pPr>
        <w:pStyle w:val="4"/>
        <w:spacing w:after="0" w:line="360" w:lineRule="auto"/>
        <w:ind w:firstLine="468"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 xml:space="preserve">供应商名称（公章）：                     </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pPr>
        <w:spacing w:after="0" w:line="360" w:lineRule="auto"/>
        <w:ind w:firstLine="5073" w:firstLineChars="2168"/>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ind w:firstLine="5203" w:firstLineChars="2168"/>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pP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after="0" w:line="360" w:lineRule="auto"/>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pPr>
    </w:p>
    <w:p>
      <w:pPr>
        <w:spacing w:after="0" w:line="360" w:lineRule="auto"/>
        <w:rPr>
          <w:rFonts w:hint="eastAsia" w:asciiTheme="minorEastAsia" w:hAnsiTheme="minorEastAsia" w:eastAsiaTheme="minorEastAsia" w:cstheme="minorEastAsia"/>
          <w:b/>
          <w:bCs/>
          <w:snapToGrid w:val="0"/>
          <w:color w:val="000000"/>
          <w:spacing w:val="-3"/>
          <w:kern w:val="0"/>
          <w:sz w:val="24"/>
          <w:szCs w:val="24"/>
          <w:lang w:val="en-US" w:eastAsia="en-US" w:bidi="ar-SA"/>
        </w:rPr>
      </w:pPr>
    </w:p>
    <w:p>
      <w:pPr>
        <w:spacing w:after="0" w:line="360" w:lineRule="auto"/>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pPr>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jc w:val="center"/>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法定代表人或负责人授权委托书</w:t>
      </w: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pPr>
        <w:spacing w:after="0" w:line="360" w:lineRule="auto"/>
        <w:ind w:firstLine="702" w:firstLineChars="3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pPr>
        <w:spacing w:after="0" w:line="360" w:lineRule="auto"/>
        <w:ind w:firstLine="48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pPr>
        <w:spacing w:after="0" w:line="360" w:lineRule="auto"/>
        <w:ind w:firstLine="48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ind w:firstLine="2574" w:firstLineChars="11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pPr>
        <w:spacing w:after="0" w:line="360" w:lineRule="auto"/>
        <w:ind w:firstLine="2574" w:firstLineChars="11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pPr>
        <w:spacing w:after="0" w:line="360" w:lineRule="auto"/>
        <w:ind w:firstLine="2574" w:firstLineChars="11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pPr>
        <w:spacing w:after="0" w:line="360" w:lineRule="auto"/>
        <w:ind w:firstLine="2634" w:firstLineChars="1126"/>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ind w:firstLine="6786" w:firstLineChars="2900"/>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ind w:firstLine="6786" w:firstLineChars="29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pPr>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 xml:space="preserve">                                                      </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9" w:type="default"/>
          <w:footerReference r:id="rId10" w:type="default"/>
          <w:pgSz w:w="11906" w:h="16838"/>
          <w:pgMar w:top="1440" w:right="1797" w:bottom="2181" w:left="1797" w:header="851" w:footer="992" w:gutter="0"/>
          <w:pgNumType w:fmt="decimal"/>
          <w:cols w:space="720" w:num="1"/>
          <w:docGrid w:type="lines" w:linePitch="312" w:charSpace="0"/>
        </w:sectPr>
      </w:pPr>
    </w:p>
    <w:p>
      <w:p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bookmarkStart w:id="62" w:name="_GoBack"/>
      <w:bookmarkEnd w:id="62"/>
    </w:p>
    <w:p>
      <w:pPr>
        <w:numPr>
          <w:ilvl w:val="0"/>
          <w:numId w:val="5"/>
        </w:numPr>
        <w:snapToGrid w:val="0"/>
        <w:spacing w:line="360" w:lineRule="auto"/>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tbl>
      <w:tblPr>
        <w:tblStyle w:val="10"/>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 标 人</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磋商报价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 xml:space="preserve">大写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   注</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供应商（公章）：     </w:t>
      </w:r>
    </w:p>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法定代表人（负责人）或授权代表（签字或盖章）： </w:t>
      </w:r>
    </w:p>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   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四、营业执照副本、依法缴纳税收和社会保障资金的缴费凭证、审计或财务报告、近三年内在经营活动中没有重大违法记录的声明等；</w:t>
      </w:r>
    </w:p>
    <w:p>
      <w:pPr>
        <w:spacing w:line="360" w:lineRule="auto"/>
        <w:jc w:val="left"/>
        <w:rPr>
          <w:rFonts w:hint="eastAsia" w:asciiTheme="minorEastAsia" w:hAnsiTheme="minorEastAsia" w:eastAsiaTheme="minorEastAsia" w:cstheme="minorEastAsia"/>
          <w:b w:val="0"/>
          <w:bCs w:val="0"/>
          <w:sz w:val="24"/>
          <w:szCs w:val="24"/>
          <w:lang w:val="en-US" w:eastAsia="zh-CN"/>
        </w:rPr>
      </w:pPr>
    </w:p>
    <w:p>
      <w:pPr>
        <w:spacing w:line="360" w:lineRule="auto"/>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pPr>
        <w:rPr>
          <w:rFonts w:hint="eastAsia" w:ascii="仿宋_GB2312" w:hAnsi="仿宋_GB2312" w:eastAsia="仿宋_GB2312" w:cs="仿宋_GB2312"/>
          <w:b/>
          <w:sz w:val="28"/>
          <w:szCs w:val="28"/>
        </w:rPr>
      </w:pPr>
      <w:r>
        <w:rPr>
          <w:rFonts w:hint="eastAsia" w:asciiTheme="minorEastAsia" w:hAnsiTheme="minorEastAsia" w:eastAsiaTheme="minorEastAsia" w:cstheme="minorEastAsia"/>
          <w:b w:val="0"/>
          <w:bCs w:val="0"/>
          <w:sz w:val="24"/>
          <w:szCs w:val="24"/>
          <w:lang w:eastAsia="zh-CN"/>
        </w:rPr>
        <w:br w:type="page"/>
      </w:r>
    </w:p>
    <w:p>
      <w:pPr>
        <w:spacing w:line="360" w:lineRule="auto"/>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声明函</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lang w:eastAsia="zh-CN"/>
        </w:rPr>
        <w:t>公司全称）</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 xml:space="preserve"> 向本项目的采购人和采购代理机构郑重声明如下：</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供应商（盖章）：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 xml:space="preserve"> 法定代表人或其授权代表（签字）：</w:t>
      </w:r>
    </w:p>
    <w:p>
      <w:pPr>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val="0"/>
          <w:bCs w:val="0"/>
          <w:sz w:val="24"/>
          <w:szCs w:val="24"/>
          <w:lang w:eastAsia="zh-CN"/>
        </w:rPr>
        <w:br w:type="page"/>
      </w:r>
    </w:p>
    <w:p>
      <w:pPr>
        <w:numPr>
          <w:ilvl w:val="0"/>
          <w:numId w:val="0"/>
        </w:numPr>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五、分项报价一览表、技术偏差表、商务偏差表、服务方案、售后服务计划等；</w:t>
      </w:r>
    </w:p>
    <w:p>
      <w:pPr>
        <w:rPr>
          <w:rFonts w:hint="eastAsia" w:asciiTheme="minorEastAsia" w:hAnsiTheme="minorEastAsia" w:eastAsiaTheme="minorEastAsia" w:cstheme="minorEastAsia"/>
          <w:b/>
          <w:sz w:val="24"/>
          <w:szCs w:val="24"/>
        </w:rPr>
        <w:sectPr>
          <w:headerReference r:id="rId11" w:type="default"/>
          <w:footerReference r:id="rId12" w:type="default"/>
          <w:pgSz w:w="11907" w:h="16840"/>
          <w:pgMar w:top="1440" w:right="1803" w:bottom="1440" w:left="1803" w:header="851" w:footer="992" w:gutter="0"/>
          <w:pgNumType w:fmt="decimal"/>
          <w:cols w:space="720" w:num="1"/>
          <w:docGrid w:linePitch="332" w:charSpace="0"/>
        </w:sectPr>
      </w:pPr>
    </w:p>
    <w:p>
      <w:pPr>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lang w:eastAsia="zh-CN"/>
        </w:rPr>
        <w:t>（一）分项</w:t>
      </w:r>
      <w:r>
        <w:rPr>
          <w:rFonts w:hint="eastAsia" w:asciiTheme="minorEastAsia" w:hAnsiTheme="minorEastAsia" w:eastAsiaTheme="minorEastAsia" w:cstheme="minorEastAsia"/>
          <w:b/>
          <w:sz w:val="24"/>
          <w:szCs w:val="24"/>
        </w:rPr>
        <w:t>报价一览表</w:t>
      </w:r>
    </w:p>
    <w:p>
      <w:pPr>
        <w:spacing w:line="360" w:lineRule="auto"/>
        <w:rPr>
          <w:rFonts w:hint="eastAsia" w:asciiTheme="minorEastAsia" w:hAnsiTheme="minorEastAsia" w:eastAsiaTheme="minorEastAsia" w:cstheme="minorEastAsia"/>
          <w:sz w:val="24"/>
          <w:szCs w:val="24"/>
          <w:lang w:eastAsia="zh-CN"/>
        </w:rPr>
      </w:pPr>
    </w:p>
    <w:tbl>
      <w:tblPr>
        <w:tblStyle w:val="10"/>
        <w:tblpPr w:leftFromText="180" w:rightFromText="180" w:vertAnchor="text" w:horzAnchor="page" w:tblpXSpec="center" w:tblpY="348"/>
        <w:tblOverlap w:val="never"/>
        <w:tblW w:w="0" w:type="auto"/>
        <w:jc w:val="center"/>
        <w:tblLayout w:type="fixed"/>
        <w:tblCellMar>
          <w:top w:w="0" w:type="dxa"/>
          <w:left w:w="108" w:type="dxa"/>
          <w:bottom w:w="0" w:type="dxa"/>
          <w:right w:w="108" w:type="dxa"/>
        </w:tblCellMar>
      </w:tblPr>
      <w:tblGrid>
        <w:gridCol w:w="916"/>
        <w:gridCol w:w="1336"/>
        <w:gridCol w:w="2284"/>
        <w:gridCol w:w="392"/>
        <w:gridCol w:w="850"/>
        <w:gridCol w:w="601"/>
        <w:gridCol w:w="392"/>
        <w:gridCol w:w="1275"/>
        <w:gridCol w:w="1418"/>
        <w:gridCol w:w="2404"/>
      </w:tblGrid>
      <w:tr>
        <w:tblPrEx>
          <w:tblCellMar>
            <w:top w:w="0" w:type="dxa"/>
            <w:left w:w="108" w:type="dxa"/>
            <w:bottom w:w="0" w:type="dxa"/>
            <w:right w:w="108" w:type="dxa"/>
          </w:tblCellMar>
        </w:tblPrEx>
        <w:trPr>
          <w:gridAfter w:val="4"/>
          <w:wAfter w:w="5489" w:type="dxa"/>
          <w:trHeight w:val="522" w:hRule="exact"/>
          <w:jc w:val="center"/>
        </w:trPr>
        <w:tc>
          <w:tcPr>
            <w:tcW w:w="4536" w:type="dxa"/>
            <w:gridSpan w:val="3"/>
            <w:tcBorders>
              <w:top w:val="nil"/>
              <w:left w:val="nil"/>
              <w:bottom w:val="single" w:color="auto" w:sz="4" w:space="0"/>
              <w:right w:val="nil"/>
            </w:tcBorders>
            <w:noWrap w:val="0"/>
            <w:vAlign w:val="center"/>
          </w:tcPr>
          <w:p>
            <w:pPr>
              <w:spacing w:line="360" w:lineRule="auto"/>
              <w:ind w:firstLine="567"/>
              <w:rPr>
                <w:rFonts w:hint="eastAsia" w:asciiTheme="minorEastAsia" w:hAnsiTheme="minorEastAsia" w:eastAsiaTheme="minorEastAsia" w:cstheme="minorEastAsia"/>
                <w:sz w:val="24"/>
                <w:szCs w:val="24"/>
                <w:lang w:eastAsia="zh-CN"/>
              </w:rPr>
            </w:pPr>
          </w:p>
        </w:tc>
        <w:tc>
          <w:tcPr>
            <w:tcW w:w="1843" w:type="dxa"/>
            <w:gridSpan w:val="3"/>
            <w:tcBorders>
              <w:top w:val="nil"/>
              <w:left w:val="nil"/>
              <w:bottom w:val="single" w:color="auto" w:sz="4" w:space="0"/>
              <w:right w:val="nil"/>
            </w:tcBorders>
            <w:noWrap w:val="0"/>
            <w:vAlign w:val="center"/>
          </w:tcPr>
          <w:p>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tc>
      </w:tr>
      <w:tr>
        <w:tblPrEx>
          <w:tblCellMar>
            <w:top w:w="0" w:type="dxa"/>
            <w:left w:w="108" w:type="dxa"/>
            <w:bottom w:w="0" w:type="dxa"/>
            <w:right w:w="108" w:type="dxa"/>
          </w:tblCellMar>
        </w:tblPrEx>
        <w:trPr>
          <w:trHeight w:val="567" w:hRule="exac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3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名称</w:t>
            </w:r>
          </w:p>
        </w:tc>
        <w:tc>
          <w:tcPr>
            <w:tcW w:w="2676"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85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2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交货安装时间</w:t>
            </w:r>
          </w:p>
        </w:tc>
      </w:tr>
      <w:tr>
        <w:tblPrEx>
          <w:tblCellMar>
            <w:top w:w="0" w:type="dxa"/>
            <w:left w:w="108" w:type="dxa"/>
            <w:bottom w:w="0" w:type="dxa"/>
            <w:right w:w="108" w:type="dxa"/>
          </w:tblCellMar>
        </w:tblPrEx>
        <w:trPr>
          <w:trHeight w:val="567" w:hRule="exac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33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676"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33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2676"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33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2676"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33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2676"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33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676"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993"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r>
      <w:tr>
        <w:tblPrEx>
          <w:tblCellMar>
            <w:top w:w="0" w:type="dxa"/>
            <w:left w:w="108" w:type="dxa"/>
            <w:bottom w:w="0" w:type="dxa"/>
            <w:right w:w="108" w:type="dxa"/>
          </w:tblCellMar>
        </w:tblPrEx>
        <w:trPr>
          <w:trHeight w:val="567" w:hRule="exac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33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2676"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tblPrEx>
          <w:tblCellMar>
            <w:top w:w="0" w:type="dxa"/>
            <w:left w:w="108" w:type="dxa"/>
            <w:bottom w:w="0" w:type="dxa"/>
            <w:right w:w="108" w:type="dxa"/>
          </w:tblCellMar>
        </w:tblPrEx>
        <w:trPr>
          <w:trHeight w:val="567" w:hRule="exact"/>
          <w:jc w:val="center"/>
        </w:trPr>
        <w:tc>
          <w:tcPr>
            <w:tcW w:w="91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336" w:type="dxa"/>
            <w:tcBorders>
              <w:top w:val="single" w:color="auto" w:sz="4" w:space="0"/>
              <w:left w:val="single" w:color="auto" w:sz="4" w:space="0"/>
              <w:bottom w:val="single" w:color="auto" w:sz="4" w:space="0"/>
              <w:right w:val="single" w:color="auto" w:sz="4" w:space="0"/>
            </w:tcBorders>
            <w:noWrap w:val="0"/>
            <w:vAlign w:val="bottom"/>
          </w:tcPr>
          <w:p>
            <w:pPr>
              <w:spacing w:line="360" w:lineRule="auto"/>
              <w:rPr>
                <w:rFonts w:hint="eastAsia" w:asciiTheme="minorEastAsia" w:hAnsiTheme="minorEastAsia" w:eastAsiaTheme="minorEastAsia" w:cstheme="minorEastAsia"/>
                <w:sz w:val="28"/>
                <w:szCs w:val="28"/>
                <w:lang w:eastAsia="zh-CN"/>
              </w:rPr>
            </w:pPr>
          </w:p>
        </w:tc>
        <w:tc>
          <w:tcPr>
            <w:tcW w:w="2676"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993" w:type="dxa"/>
            <w:gridSpan w:val="2"/>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c>
          <w:tcPr>
            <w:tcW w:w="2404" w:type="dxa"/>
            <w:tcBorders>
              <w:top w:val="single" w:color="auto" w:sz="4" w:space="0"/>
              <w:left w:val="single" w:color="auto" w:sz="4" w:space="0"/>
              <w:bottom w:val="single" w:color="auto" w:sz="4" w:space="0"/>
              <w:right w:val="single" w:color="auto" w:sz="4" w:space="0"/>
            </w:tcBorders>
            <w:noWrap w:val="0"/>
            <w:vAlign w:val="bottom"/>
          </w:tcPr>
          <w:p>
            <w:pPr>
              <w:spacing w:line="360" w:lineRule="auto"/>
              <w:ind w:firstLine="567"/>
              <w:rPr>
                <w:rFonts w:hint="eastAsia" w:asciiTheme="minorEastAsia" w:hAnsiTheme="minorEastAsia" w:eastAsiaTheme="minorEastAsia" w:cstheme="minorEastAsia"/>
                <w:sz w:val="28"/>
                <w:szCs w:val="28"/>
                <w:lang w:eastAsia="zh-CN"/>
              </w:rPr>
            </w:pPr>
          </w:p>
        </w:tc>
      </w:tr>
    </w:tbl>
    <w:p>
      <w:pPr>
        <w:spacing w:line="360" w:lineRule="auto"/>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pPr>
    </w:p>
    <w:p>
      <w:pPr>
        <w:spacing w:line="360" w:lineRule="auto"/>
        <w:ind w:firstLine="960" w:firstLineChars="4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w:t>
      </w:r>
      <w:r>
        <w:rPr>
          <w:rFonts w:hint="eastAsia" w:asciiTheme="minorEastAsia" w:hAnsiTheme="minorEastAsia" w:eastAsiaTheme="minorEastAsia" w:cstheme="minorEastAsia"/>
          <w:b w:val="0"/>
          <w:bCs w:val="0"/>
          <w:sz w:val="24"/>
          <w:szCs w:val="24"/>
          <w:lang w:eastAsia="zh-CN"/>
        </w:rPr>
        <w:t>签字或盖章</w:t>
      </w:r>
      <w:r>
        <w:rPr>
          <w:rFonts w:hint="eastAsia" w:asciiTheme="minorEastAsia" w:hAnsiTheme="minorEastAsia" w:eastAsiaTheme="minorEastAsia" w:cstheme="minorEastAsia"/>
          <w:sz w:val="24"/>
          <w:szCs w:val="24"/>
          <w:lang w:eastAsia="zh-CN"/>
        </w:rPr>
        <w:t xml:space="preserve">）：                                  </w:t>
      </w:r>
    </w:p>
    <w:p>
      <w:pPr>
        <w:spacing w:line="360" w:lineRule="auto"/>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ind w:firstLine="240" w:firstLineChars="100"/>
        <w:rPr>
          <w:rFonts w:hint="eastAsia" w:asciiTheme="minorEastAsia" w:hAnsiTheme="minorEastAsia" w:eastAsiaTheme="minorEastAsia" w:cstheme="minorEastAsia"/>
          <w:sz w:val="24"/>
          <w:szCs w:val="24"/>
          <w:lang w:eastAsia="zh-CN"/>
        </w:rPr>
      </w:pPr>
    </w:p>
    <w:p>
      <w:pPr>
        <w:spacing w:line="360" w:lineRule="auto"/>
        <w:ind w:firstLine="240" w:firstLineChars="100"/>
        <w:rPr>
          <w:rFonts w:hint="eastAsia" w:asciiTheme="minorEastAsia" w:hAnsiTheme="minorEastAsia" w:eastAsiaTheme="minorEastAsia" w:cstheme="minorEastAsia"/>
          <w:sz w:val="24"/>
          <w:szCs w:val="24"/>
          <w:lang w:eastAsia="zh-CN"/>
        </w:rPr>
        <w:sectPr>
          <w:pgSz w:w="16840" w:h="11907" w:orient="landscape"/>
          <w:pgMar w:top="1803" w:right="1440" w:bottom="1803" w:left="1440" w:header="851" w:footer="992" w:gutter="0"/>
          <w:pgNumType w:fmt="decimal"/>
          <w:cols w:space="720" w:num="1"/>
          <w:docGrid w:linePitch="332" w:charSpace="0"/>
        </w:sectPr>
      </w:pPr>
    </w:p>
    <w:p>
      <w:pPr>
        <w:rPr>
          <w:rFonts w:hint="eastAsia" w:asciiTheme="minorEastAsia" w:hAnsiTheme="minorEastAsia" w:eastAsiaTheme="minorEastAsia" w:cstheme="minorEastAsia"/>
          <w:b/>
          <w:bCs w:val="0"/>
          <w:sz w:val="24"/>
          <w:szCs w:val="24"/>
          <w:lang w:val="en-US" w:eastAsia="zh-CN"/>
        </w:rPr>
      </w:pPr>
    </w:p>
    <w:p>
      <w:pPr>
        <w:spacing w:line="240" w:lineRule="atLeast"/>
        <w:jc w:val="both"/>
        <w:rPr>
          <w:rFonts w:hint="eastAsia" w:asciiTheme="minorEastAsia" w:hAnsiTheme="minorEastAsia" w:eastAsiaTheme="minorEastAsia" w:cstheme="minorEastAsia"/>
          <w:b/>
          <w:bCs/>
          <w:sz w:val="24"/>
          <w:szCs w:val="24"/>
          <w:lang w:eastAsia="zh-CN"/>
        </w:rPr>
      </w:pPr>
    </w:p>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（二）</w:t>
      </w:r>
      <w:r>
        <w:rPr>
          <w:rFonts w:hint="eastAsia" w:asciiTheme="minorEastAsia" w:hAnsiTheme="minorEastAsia" w:eastAsiaTheme="minorEastAsia" w:cstheme="minorEastAsia"/>
          <w:b/>
          <w:bCs/>
          <w:sz w:val="24"/>
          <w:szCs w:val="24"/>
          <w:lang w:eastAsia="zh-CN"/>
        </w:rPr>
        <w:t>技术规格偏离表</w:t>
      </w:r>
    </w:p>
    <w:p>
      <w:pPr>
        <w:spacing w:line="240" w:lineRule="atLeast"/>
        <w:ind w:left="1080" w:leftChars="257" w:hanging="540"/>
        <w:rPr>
          <w:rFonts w:hint="eastAsia" w:asciiTheme="minorEastAsia" w:hAnsiTheme="minorEastAsia" w:eastAsiaTheme="minorEastAsia" w:cstheme="minorEastAsia"/>
          <w:sz w:val="24"/>
          <w:szCs w:val="24"/>
          <w:lang w:eastAsia="zh-CN"/>
        </w:rPr>
      </w:pPr>
    </w:p>
    <w:p>
      <w:pPr>
        <w:spacing w:line="240" w:lineRule="atLeast"/>
        <w:ind w:left="1154" w:leftChars="485" w:hanging="136" w:hangingChars="5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货物名称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bl>
    <w:p>
      <w:pPr>
        <w:spacing w:line="360" w:lineRule="auto"/>
        <w:ind w:firstLine="482" w:firstLineChars="2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供应商</w:t>
      </w:r>
      <w:r>
        <w:rPr>
          <w:rFonts w:hint="eastAsia" w:asciiTheme="minorEastAsia" w:hAnsiTheme="minorEastAsia" w:eastAsiaTheme="minorEastAsia" w:cstheme="minorEastAsia"/>
          <w:b/>
          <w:sz w:val="24"/>
          <w:szCs w:val="24"/>
          <w:lang w:eastAsia="zh-CN"/>
        </w:rPr>
        <w:t xml:space="preserve">（公章）：    </w:t>
      </w:r>
    </w:p>
    <w:p>
      <w:pPr>
        <w:spacing w:line="360" w:lineRule="auto"/>
        <w:ind w:firstLine="482" w:firstLineChars="2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法定代表人（负责人）或授权代表（签字或盖章）：</w:t>
      </w:r>
    </w:p>
    <w:p>
      <w:pPr>
        <w:spacing w:line="360" w:lineRule="auto"/>
        <w:ind w:firstLine="482" w:firstLineChars="2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spacing w:line="360" w:lineRule="auto"/>
        <w:rPr>
          <w:rFonts w:hint="eastAsia" w:asciiTheme="minorEastAsia" w:hAnsiTheme="minorEastAsia" w:eastAsiaTheme="minorEastAsia" w:cstheme="minorEastAsia"/>
          <w:b/>
          <w:sz w:val="24"/>
          <w:szCs w:val="24"/>
          <w:lang w:eastAsia="zh-CN"/>
        </w:rPr>
      </w:pPr>
    </w:p>
    <w:p>
      <w:pPr>
        <w:spacing w:line="360" w:lineRule="auto"/>
        <w:rPr>
          <w:rFonts w:hint="eastAsia" w:asciiTheme="minorEastAsia" w:hAnsiTheme="minorEastAsia" w:eastAsiaTheme="minorEastAsia" w:cstheme="minorEastAsia"/>
          <w:b/>
          <w:sz w:val="24"/>
          <w:szCs w:val="24"/>
          <w:lang w:val="en-US" w:eastAsia="zh-CN"/>
        </w:rPr>
      </w:pPr>
    </w:p>
    <w:p>
      <w:pPr>
        <w:spacing w:line="360" w:lineRule="auto"/>
        <w:rPr>
          <w:rFonts w:hint="eastAsia" w:asciiTheme="minorEastAsia" w:hAnsiTheme="minorEastAsia" w:eastAsiaTheme="minorEastAsia" w:cstheme="minorEastAsia"/>
          <w:b/>
          <w:sz w:val="24"/>
          <w:szCs w:val="24"/>
          <w:lang w:val="en-US" w:eastAsia="zh-CN"/>
        </w:rPr>
      </w:pPr>
    </w:p>
    <w:p>
      <w:pPr>
        <w:ind w:firstLine="482"/>
        <w:jc w:val="center"/>
        <w:rPr>
          <w:rFonts w:hint="eastAsia" w:asciiTheme="minorEastAsia" w:hAnsiTheme="minorEastAsia" w:eastAsiaTheme="minorEastAsia" w:cstheme="minorEastAsia"/>
          <w:b/>
          <w:sz w:val="24"/>
          <w:szCs w:val="24"/>
          <w:lang w:eastAsia="zh-CN"/>
        </w:rPr>
      </w:pPr>
    </w:p>
    <w:p>
      <w:pPr>
        <w:jc w:val="center"/>
        <w:rPr>
          <w:rFonts w:hint="eastAsia" w:asciiTheme="minorEastAsia" w:hAnsiTheme="minorEastAsia" w:eastAsiaTheme="minorEastAsia" w:cstheme="minorEastAsia"/>
          <w:b/>
          <w:sz w:val="24"/>
          <w:szCs w:val="24"/>
          <w:lang w:eastAsia="zh-CN"/>
        </w:rPr>
      </w:pPr>
    </w:p>
    <w:p>
      <w:pPr>
        <w:jc w:val="center"/>
        <w:rPr>
          <w:rFonts w:hint="eastAsia" w:asciiTheme="minorEastAsia" w:hAnsiTheme="minorEastAsia" w:eastAsiaTheme="minorEastAsia" w:cstheme="minorEastAsia"/>
          <w:b/>
          <w:sz w:val="24"/>
          <w:szCs w:val="24"/>
          <w:lang w:eastAsia="zh-CN"/>
        </w:rPr>
      </w:pPr>
    </w:p>
    <w:p>
      <w:pPr>
        <w:jc w:val="center"/>
        <w:rPr>
          <w:rFonts w:hint="eastAsia" w:asciiTheme="minorEastAsia" w:hAnsiTheme="minorEastAsia" w:eastAsiaTheme="minorEastAsia" w:cstheme="minorEastAsia"/>
          <w:b/>
          <w:sz w:val="24"/>
          <w:szCs w:val="24"/>
          <w:lang w:eastAsia="zh-CN"/>
        </w:rPr>
      </w:pPr>
    </w:p>
    <w:p>
      <w:pPr>
        <w:jc w:val="center"/>
        <w:rPr>
          <w:rFonts w:hint="eastAsia" w:asciiTheme="minorEastAsia" w:hAnsiTheme="minorEastAsia" w:eastAsiaTheme="minorEastAsia" w:cstheme="minorEastAsia"/>
          <w:b/>
          <w:sz w:val="24"/>
          <w:szCs w:val="24"/>
          <w:lang w:eastAsia="zh-CN"/>
        </w:rPr>
      </w:pPr>
    </w:p>
    <w:p>
      <w:pPr>
        <w:jc w:val="both"/>
        <w:rPr>
          <w:rFonts w:hint="eastAsia" w:asciiTheme="minorEastAsia" w:hAnsiTheme="minorEastAsia" w:eastAsiaTheme="minorEastAsia" w:cstheme="minorEastAsia"/>
          <w:b/>
          <w:sz w:val="24"/>
          <w:szCs w:val="24"/>
          <w:lang w:eastAsia="zh-CN"/>
        </w:rPr>
      </w:pPr>
    </w:p>
    <w:p>
      <w:pPr>
        <w:ind w:firstLine="3132" w:firstLineChars="1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（三）商务偏差表</w:t>
      </w:r>
    </w:p>
    <w:p>
      <w:pPr>
        <w:spacing w:line="360" w:lineRule="auto"/>
        <w:jc w:val="both"/>
        <w:rPr>
          <w:rFonts w:hint="eastAsia" w:asciiTheme="minorEastAsia" w:hAnsiTheme="minorEastAsia" w:eastAsiaTheme="minorEastAsia" w:cstheme="minorEastAsia"/>
          <w:sz w:val="24"/>
          <w:szCs w:val="24"/>
          <w:lang w:eastAsia="zh-CN"/>
        </w:rPr>
      </w:pPr>
    </w:p>
    <w:p>
      <w:pPr>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                        项目编号：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jc w:val="center"/>
        </w:trPr>
        <w:tc>
          <w:tcPr>
            <w:tcW w:w="8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bl>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 xml:space="preserve">（公章）：      </w:t>
      </w: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法定代表人（负责人）或授权代表（签字或盖章）：</w:t>
      </w:r>
    </w:p>
    <w:p>
      <w:pPr>
        <w:spacing w:line="360" w:lineRule="auto"/>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rPr>
          <w:rFonts w:hint="eastAsia"/>
          <w:lang w:val="en-US" w:eastAsia="zh-CN"/>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br w:type="page"/>
      </w:r>
    </w:p>
    <w:p>
      <w:pPr>
        <w:numPr>
          <w:ilvl w:val="0"/>
          <w:numId w:val="0"/>
        </w:numPr>
        <w:snapToGrid w:val="0"/>
        <w:spacing w:line="360" w:lineRule="auto"/>
        <w:jc w:val="center"/>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sz w:val="24"/>
          <w:szCs w:val="24"/>
          <w:lang w:val="en-US" w:eastAsia="zh-CN"/>
        </w:rPr>
        <w:t>（四）服务方案</w:t>
      </w: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br w:type="page"/>
      </w:r>
    </w:p>
    <w:p>
      <w:pPr>
        <w:spacing w:line="240" w:lineRule="atLeast"/>
        <w:jc w:val="cente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（五）售后服务计划</w:t>
      </w:r>
    </w:p>
    <w:p>
      <w:pPr>
        <w:rPr>
          <w:rFonts w:hint="eastAsia"/>
          <w:lang w:val="en-US" w:eastAsia="zh-CN"/>
        </w:rPr>
      </w:pPr>
      <w:r>
        <w:rPr>
          <w:rFonts w:hint="eastAsia" w:asciiTheme="minorEastAsia" w:hAnsiTheme="minorEastAsia" w:eastAsiaTheme="minorEastAsia" w:cstheme="minorEastAsia"/>
          <w:b/>
          <w:sz w:val="24"/>
          <w:szCs w:val="24"/>
          <w:lang w:val="en-US" w:eastAsia="zh-CN"/>
        </w:rPr>
        <w:br w:type="page"/>
      </w: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六、供应商诚信承诺书</w:t>
      </w:r>
    </w:p>
    <w:p>
      <w:pPr>
        <w:spacing w:line="360" w:lineRule="auto"/>
        <w:jc w:val="center"/>
        <w:rPr>
          <w:rFonts w:hint="eastAsia" w:asciiTheme="minorEastAsia" w:hAnsiTheme="minorEastAsia" w:eastAsiaTheme="minorEastAsia" w:cstheme="minorEastAsia"/>
          <w:b/>
          <w:bCs/>
          <w:sz w:val="24"/>
          <w:szCs w:val="24"/>
          <w:lang w:eastAsia="zh-CN"/>
        </w:rPr>
      </w:pPr>
    </w:p>
    <w:p>
      <w:pPr>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 信 承 诺 书</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承诺人法定名称（盖章）：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承诺人法定地址：</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授权代表（签字或盖章）：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 xml:space="preserve">电话：           </w:t>
      </w:r>
    </w:p>
    <w:p>
      <w:pPr>
        <w:spacing w:line="360" w:lineRule="auto"/>
        <w:ind w:firstLine="604" w:firstLineChars="252"/>
        <w:jc w:val="left"/>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rPr>
          <w:rFonts w:hint="eastAsia"/>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br w:type="page"/>
      </w: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七、供应商认为需要的其他文件资料</w:t>
      </w:r>
    </w:p>
    <w:p>
      <w:pPr>
        <w:keepNext/>
        <w:tabs>
          <w:tab w:val="left" w:pos="1158"/>
          <w:tab w:val="left" w:pos="1351"/>
        </w:tabs>
        <w:spacing w:line="560" w:lineRule="exact"/>
        <w:jc w:val="center"/>
        <w:outlineLvl w:val="2"/>
        <w:rPr>
          <w:rFonts w:hint="eastAsia" w:asciiTheme="minorEastAsia" w:hAnsiTheme="minorEastAsia" w:eastAsiaTheme="minorEastAsia" w:cstheme="minorEastAsia"/>
          <w:b/>
          <w:bCs/>
          <w:sz w:val="24"/>
          <w:szCs w:val="24"/>
        </w:rPr>
      </w:pPr>
      <w:bookmarkStart w:id="61" w:name="_Toc31320"/>
      <w:r>
        <w:rPr>
          <w:rFonts w:hint="eastAsia" w:asciiTheme="minorEastAsia" w:hAnsiTheme="minorEastAsia" w:eastAsiaTheme="minorEastAsia" w:cstheme="minorEastAsia"/>
          <w:b/>
          <w:bCs/>
          <w:sz w:val="24"/>
          <w:szCs w:val="24"/>
          <w:lang w:eastAsia="zh-CN"/>
        </w:rPr>
        <w:t>（一）供应商</w:t>
      </w:r>
      <w:r>
        <w:rPr>
          <w:rFonts w:hint="eastAsia" w:asciiTheme="minorEastAsia" w:hAnsiTheme="minorEastAsia" w:eastAsiaTheme="minorEastAsia" w:cstheme="minorEastAsia"/>
          <w:b/>
          <w:bCs/>
          <w:sz w:val="24"/>
          <w:szCs w:val="24"/>
        </w:rPr>
        <w:t>基本情况表</w:t>
      </w:r>
      <w:bookmarkEnd w:id="61"/>
    </w:p>
    <w:p>
      <w:pPr>
        <w:topLinePunct/>
        <w:spacing w:line="440" w:lineRule="exact"/>
        <w:jc w:val="center"/>
        <w:rPr>
          <w:rFonts w:hint="eastAsia" w:asciiTheme="minorEastAsia" w:hAnsiTheme="minorEastAsia" w:eastAsiaTheme="minorEastAsia" w:cstheme="minorEastAsia"/>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0"/>
        <w:gridCol w:w="987"/>
        <w:gridCol w:w="1046"/>
        <w:gridCol w:w="1385"/>
        <w:gridCol w:w="343"/>
        <w:gridCol w:w="1185"/>
        <w:gridCol w:w="537"/>
        <w:gridCol w:w="947"/>
        <w:gridCol w:w="10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1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响应人名称</w:t>
            </w:r>
          </w:p>
        </w:tc>
        <w:tc>
          <w:tcPr>
            <w:tcW w:w="752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注册地址</w:t>
            </w:r>
          </w:p>
        </w:tc>
        <w:tc>
          <w:tcPr>
            <w:tcW w:w="3761"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tc>
        <w:tc>
          <w:tcPr>
            <w:tcW w:w="257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2" w:hRule="atLeast"/>
        </w:trPr>
        <w:tc>
          <w:tcPr>
            <w:tcW w:w="1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p>
        </w:tc>
        <w:tc>
          <w:tcPr>
            <w:tcW w:w="98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p>
        </w:tc>
        <w:tc>
          <w:tcPr>
            <w:tcW w:w="277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p>
        </w:tc>
        <w:tc>
          <w:tcPr>
            <w:tcW w:w="2574"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企业性质</w:t>
            </w:r>
          </w:p>
        </w:tc>
        <w:tc>
          <w:tcPr>
            <w:tcW w:w="752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p>
        </w:tc>
        <w:tc>
          <w:tcPr>
            <w:tcW w:w="98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姓名</w:t>
            </w:r>
          </w:p>
        </w:tc>
        <w:tc>
          <w:tcPr>
            <w:tcW w:w="1046"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1385"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技术职称</w:t>
            </w:r>
          </w:p>
        </w:tc>
        <w:tc>
          <w:tcPr>
            <w:tcW w:w="2065"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p>
        </w:tc>
        <w:tc>
          <w:tcPr>
            <w:tcW w:w="109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1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成立时间</w:t>
            </w:r>
          </w:p>
        </w:tc>
        <w:tc>
          <w:tcPr>
            <w:tcW w:w="2033"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c>
          <w:tcPr>
            <w:tcW w:w="5487" w:type="dxa"/>
            <w:gridSpan w:val="6"/>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ind w:firstLine="120" w:firstLineChars="5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6" w:hRule="atLeast"/>
        </w:trPr>
        <w:tc>
          <w:tcPr>
            <w:tcW w:w="1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统一社会信用代码</w:t>
            </w:r>
          </w:p>
        </w:tc>
        <w:tc>
          <w:tcPr>
            <w:tcW w:w="752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1" w:hRule="atLeast"/>
        </w:trPr>
        <w:tc>
          <w:tcPr>
            <w:tcW w:w="1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注册资金</w:t>
            </w:r>
          </w:p>
        </w:tc>
        <w:tc>
          <w:tcPr>
            <w:tcW w:w="752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1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tc>
        <w:tc>
          <w:tcPr>
            <w:tcW w:w="752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3" w:hRule="atLeast"/>
        </w:trPr>
        <w:tc>
          <w:tcPr>
            <w:tcW w:w="1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账号</w:t>
            </w:r>
          </w:p>
        </w:tc>
        <w:tc>
          <w:tcPr>
            <w:tcW w:w="752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1" w:hRule="atLeast"/>
        </w:trPr>
        <w:tc>
          <w:tcPr>
            <w:tcW w:w="1900" w:type="dxa"/>
            <w:tcBorders>
              <w:top w:val="single" w:color="auto" w:sz="4" w:space="0"/>
              <w:left w:val="single" w:color="auto" w:sz="4" w:space="0"/>
              <w:bottom w:val="nil"/>
              <w:right w:val="single" w:color="auto" w:sz="4" w:space="0"/>
            </w:tcBorders>
            <w:noWrap w:val="0"/>
            <w:vAlign w:val="center"/>
          </w:tcPr>
          <w:p>
            <w:pPr>
              <w:topLinePunct/>
              <w:spacing w:line="440" w:lineRule="exact"/>
              <w:ind w:firstLine="240" w:firstLineChars="1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经营范围</w:t>
            </w:r>
          </w:p>
        </w:tc>
        <w:tc>
          <w:tcPr>
            <w:tcW w:w="7520" w:type="dxa"/>
            <w:gridSpan w:val="8"/>
            <w:tcBorders>
              <w:top w:val="single" w:color="auto" w:sz="4" w:space="0"/>
              <w:left w:val="single" w:color="auto" w:sz="4" w:space="0"/>
              <w:bottom w:val="nil"/>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p>
            <w:pPr>
              <w:topLinePunct/>
              <w:spacing w:line="440" w:lineRule="exact"/>
              <w:jc w:val="center"/>
              <w:rPr>
                <w:rFonts w:hint="eastAsia" w:asciiTheme="minorEastAsia" w:hAnsiTheme="minorEastAsia" w:eastAsiaTheme="minorEastAsia" w:cstheme="minorEastAsia"/>
                <w:sz w:val="24"/>
                <w:szCs w:val="24"/>
              </w:rPr>
            </w:pPr>
          </w:p>
          <w:p>
            <w:pPr>
              <w:topLinePunct/>
              <w:spacing w:line="440" w:lineRule="exact"/>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trPr>
        <w:tc>
          <w:tcPr>
            <w:tcW w:w="1900" w:type="dxa"/>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c>
          <w:tcPr>
            <w:tcW w:w="7520" w:type="dxa"/>
            <w:gridSpan w:val="8"/>
            <w:tcBorders>
              <w:top w:val="single" w:color="auto" w:sz="4" w:space="0"/>
              <w:left w:val="single" w:color="auto" w:sz="4" w:space="0"/>
              <w:bottom w:val="single" w:color="auto" w:sz="4" w:space="0"/>
              <w:right w:val="single" w:color="auto" w:sz="4" w:space="0"/>
            </w:tcBorders>
            <w:noWrap w:val="0"/>
            <w:vAlign w:val="center"/>
          </w:tcPr>
          <w:p>
            <w:pPr>
              <w:topLinePunct/>
              <w:spacing w:line="440" w:lineRule="exact"/>
              <w:jc w:val="center"/>
              <w:rPr>
                <w:rFonts w:hint="eastAsia" w:asciiTheme="minorEastAsia" w:hAnsiTheme="minorEastAsia" w:eastAsiaTheme="minorEastAsia" w:cstheme="minorEastAsia"/>
                <w:sz w:val="24"/>
                <w:szCs w:val="24"/>
              </w:rPr>
            </w:pPr>
          </w:p>
        </w:tc>
      </w:tr>
    </w:tbl>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br w:type="page"/>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（二）供应商认为需要的其他文件资料</w:t>
      </w:r>
    </w:p>
    <w:p>
      <w:pPr>
        <w:rPr>
          <w:rFonts w:hint="eastAsia"/>
          <w:lang w:val="en-US" w:eastAsia="zh-CN"/>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4"/>
          <w:sz w:val="24"/>
          <w:szCs w:val="24"/>
        </w:rPr>
        <w:t>供</w:t>
      </w:r>
      <w:r>
        <w:rPr>
          <w:rFonts w:hint="eastAsia" w:asciiTheme="minorEastAsia" w:hAnsiTheme="minorEastAsia" w:eastAsiaTheme="minorEastAsia" w:cstheme="minorEastAsia"/>
          <w:spacing w:val="14"/>
          <w:sz w:val="24"/>
          <w:szCs w:val="24"/>
        </w:rPr>
        <w:t>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8"/>
          <w:sz w:val="24"/>
          <w:szCs w:val="24"/>
        </w:rPr>
        <w:t>的具体情况如下：</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3"/>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3"/>
          <w:sz w:val="24"/>
          <w:szCs w:val="24"/>
        </w:rPr>
        <w:t>万元，资产总额为</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3"/>
          <w:sz w:val="24"/>
          <w:szCs w:val="24"/>
        </w:rPr>
        <w:t>万元</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3"/>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3"/>
          <w:sz w:val="24"/>
          <w:szCs w:val="24"/>
        </w:rPr>
        <w:t>，属于</w:t>
      </w:r>
    </w:p>
    <w:p>
      <w:pPr>
        <w:pStyle w:val="4"/>
        <w:keepNext w:val="0"/>
        <w:keepLines w:val="0"/>
        <w:pageBreakBefore w:val="0"/>
        <w:widowControl/>
        <w:tabs>
          <w:tab w:val="left" w:pos="243"/>
        </w:tabs>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1"/>
          <w:sz w:val="24"/>
          <w:szCs w:val="24"/>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4"/>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58" w:firstLineChars="29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4" w:firstLineChars="4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9"/>
          <w:sz w:val="24"/>
          <w:szCs w:val="24"/>
        </w:rPr>
        <w:t>日</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49"/>
          <w:sz w:val="24"/>
          <w:szCs w:val="24"/>
        </w:rPr>
        <w:t>期：</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pP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rPr>
        <w:br w:type="page"/>
      </w:r>
      <w:r>
        <w:rPr>
          <w:rFonts w:hint="eastAsia" w:asciiTheme="minorEastAsia" w:hAnsiTheme="minorEastAsia" w:eastAsiaTheme="minorEastAsia" w:cstheme="minorEastAsia"/>
        </w:rPr>
        <w:drawing>
          <wp:anchor distT="0" distB="0" distL="0" distR="0" simplePos="0" relativeHeight="251659264" behindDoc="0" locked="0" layoutInCell="0" allowOverlap="1">
            <wp:simplePos x="0" y="0"/>
            <wp:positionH relativeFrom="page">
              <wp:posOffset>1010920</wp:posOffset>
            </wp:positionH>
            <wp:positionV relativeFrom="page">
              <wp:posOffset>7545705</wp:posOffset>
            </wp:positionV>
            <wp:extent cx="5680710" cy="6350"/>
            <wp:effectExtent l="0" t="0" r="0" b="0"/>
            <wp:wrapNone/>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17"/>
                    <a:stretch>
                      <a:fillRect/>
                    </a:stretch>
                  </pic:blipFill>
                  <pic:spPr>
                    <a:xfrm>
                      <a:off x="0" y="0"/>
                      <a:ext cx="5680993" cy="6350"/>
                    </a:xfrm>
                    <a:prstGeom prst="rect">
                      <a:avLst/>
                    </a:prstGeom>
                  </pic:spPr>
                </pic:pic>
              </a:graphicData>
            </a:graphic>
          </wp:anchor>
        </w:drawing>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中小企业声明函（工程、服务）格式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2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50" w:firstLineChars="25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96" w:firstLineChars="38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9"/>
          <w:sz w:val="24"/>
          <w:szCs w:val="24"/>
        </w:rPr>
        <w:t>日</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49"/>
          <w:sz w:val="24"/>
          <w:szCs w:val="24"/>
        </w:rPr>
        <w:t>期：</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z w:val="24"/>
          <w:szCs w:val="24"/>
          <w:u w:val="single" w:color="auto"/>
        </w:rPr>
        <w:t xml:space="preserve">         </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pacing w:val="9"/>
          <w:position w:val="5"/>
          <w:sz w:val="24"/>
          <w:szCs w:val="24"/>
          <w:lang w:val="en-US" w:eastAsia="zh-CN"/>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pP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rPr>
        <w:br w:type="page"/>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w:t>
      </w:r>
      <w:r>
        <w:rPr>
          <w:rFonts w:hint="eastAsia" w:asciiTheme="minorEastAsia" w:hAnsiTheme="minorEastAsia" w:eastAsiaTheme="minorEastAsia" w:cstheme="minorEastAsia"/>
          <w:spacing w:val="70"/>
          <w:position w:val="26"/>
          <w:sz w:val="24"/>
          <w:szCs w:val="24"/>
        </w:rPr>
        <w:t xml:space="preserve"> </w:t>
      </w:r>
      <w:r>
        <w:rPr>
          <w:rFonts w:hint="eastAsia" w:asciiTheme="minorEastAsia" w:hAnsiTheme="minorEastAsia" w:eastAsiaTheme="minorEastAsia" w:cstheme="minorEastAsia"/>
          <w:spacing w:val="8"/>
          <w:position w:val="26"/>
          <w:sz w:val="24"/>
          <w:szCs w:val="24"/>
        </w:rPr>
        <w:t>民政部</w:t>
      </w:r>
      <w:r>
        <w:rPr>
          <w:rFonts w:hint="eastAsia" w:asciiTheme="minorEastAsia" w:hAnsiTheme="minorEastAsia" w:eastAsiaTheme="minorEastAsia" w:cstheme="minorEastAsia"/>
          <w:spacing w:val="56"/>
          <w:position w:val="26"/>
          <w:sz w:val="24"/>
          <w:szCs w:val="24"/>
        </w:rPr>
        <w:t xml:space="preserve"> </w:t>
      </w:r>
      <w:r>
        <w:rPr>
          <w:rFonts w:hint="eastAsia" w:asciiTheme="minorEastAsia" w:hAnsiTheme="minorEastAsia" w:eastAsiaTheme="minorEastAsia" w:cstheme="minorEastAsia"/>
          <w:spacing w:val="8"/>
          <w:position w:val="26"/>
          <w:sz w:val="24"/>
          <w:szCs w:val="24"/>
        </w:rPr>
        <w:t>中国残疾人联合会关于促进残疾人就</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 号）</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3"/>
          <w:sz w:val="24"/>
          <w:szCs w:val="24"/>
        </w:rPr>
        <w:t>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0" w:firstLineChars="20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148" w:firstLineChars="2600"/>
        <w:textAlignment w:val="baseline"/>
        <w:rPr>
          <w:rFonts w:hint="eastAsia" w:asciiTheme="minorEastAsia" w:hAnsiTheme="minorEastAsia" w:eastAsiaTheme="minorEastAsia" w:cstheme="minorEastAsia"/>
          <w:sz w:val="24"/>
          <w:szCs w:val="24"/>
          <w:u w:val="single" w:color="auto"/>
        </w:rPr>
      </w:pPr>
      <w:r>
        <w:rPr>
          <w:rFonts w:hint="eastAsia" w:asciiTheme="minorEastAsia" w:hAnsiTheme="minorEastAsia" w:eastAsiaTheme="minorEastAsia" w:cstheme="minorEastAsia"/>
          <w:spacing w:val="-21"/>
          <w:sz w:val="24"/>
          <w:szCs w:val="24"/>
        </w:rPr>
        <w:t>日</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21"/>
          <w:sz w:val="24"/>
          <w:szCs w:val="24"/>
        </w:rPr>
        <w:t>期：</w:t>
      </w:r>
      <w:r>
        <w:rPr>
          <w:rFonts w:hint="eastAsia" w:asciiTheme="minorEastAsia" w:hAnsiTheme="minorEastAsia" w:eastAsiaTheme="minorEastAsia" w:cstheme="minorEastAsia"/>
          <w:sz w:val="24"/>
          <w:szCs w:val="24"/>
          <w:u w:val="single" w:color="auto"/>
        </w:rPr>
        <w:t xml:space="preserve">         </w:t>
      </w:r>
    </w:p>
    <w:p>
      <w:pPr>
        <w:rPr>
          <w:rFonts w:hint="eastAsia" w:asciiTheme="minorEastAsia" w:hAnsiTheme="minorEastAsia" w:eastAsiaTheme="minorEastAsia" w:cstheme="minorEastAsia"/>
          <w:sz w:val="24"/>
          <w:szCs w:val="24"/>
          <w:u w:val="single" w:color="auto"/>
        </w:rPr>
      </w:pPr>
      <w:r>
        <w:rPr>
          <w:rFonts w:hint="eastAsia" w:asciiTheme="minorEastAsia" w:hAnsiTheme="minorEastAsia" w:eastAsiaTheme="minorEastAsia" w:cstheme="minorEastAsia"/>
          <w:sz w:val="24"/>
          <w:szCs w:val="24"/>
          <w:u w:val="single" w:color="auto"/>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b/>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w:t>
      </w:r>
      <w:r>
        <w:rPr>
          <w:rFonts w:hint="eastAsia" w:asciiTheme="minorEastAsia" w:hAnsiTheme="minorEastAsia" w:eastAsiaTheme="minorEastAsia" w:cstheme="minorEastAsia"/>
          <w:spacing w:val="3"/>
          <w:sz w:val="24"/>
          <w:szCs w:val="24"/>
        </w:rPr>
        <w:t>〔201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napToGrid w:val="0"/>
          <w:color w:val="000000"/>
          <w:spacing w:val="7"/>
          <w:kern w:val="0"/>
          <w:sz w:val="24"/>
          <w:szCs w:val="24"/>
          <w:lang w:val="en-US" w:eastAsia="zh-CN" w:bidi="ar-SA"/>
        </w:rPr>
        <w:t>68号），本企业______（是、不是）监狱企业。后附省级以上监狱管理局、戒毒管理局（含新疆生产建设兵团）出具的属于监狱企业证明文件。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z w:val="24"/>
          <w:szCs w:val="24"/>
          <w:u w:val="single" w:color="auto"/>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日  期：</w:t>
      </w:r>
      <w:r>
        <w:rPr>
          <w:rFonts w:hint="eastAsia" w:asciiTheme="minorEastAsia" w:hAnsiTheme="minorEastAsia" w:eastAsiaTheme="minorEastAsia" w:cstheme="minorEastAsia"/>
          <w:sz w:val="24"/>
          <w:szCs w:val="24"/>
          <w:u w:val="single" w:color="auto"/>
        </w:rPr>
        <w:t xml:space="preserve">         </w:t>
      </w:r>
    </w:p>
    <w:p>
      <w:pP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z w:val="24"/>
          <w:szCs w:val="24"/>
          <w:u w:val="single" w:color="auto"/>
        </w:rPr>
        <w:br w:type="page"/>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zh-CN" w:eastAsia="zh-CN"/>
        </w:rPr>
        <w:t xml:space="preserve"> </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Theme="minorEastAsia" w:hAnsiTheme="minorEastAsia" w:eastAsiaTheme="minorEastAsia" w:cstheme="minorEastAsia"/>
          <w:b/>
          <w:bCs/>
          <w:sz w:val="24"/>
          <w:szCs w:val="24"/>
          <w:lang w:val="zh-CN"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Theme="minorEastAsia" w:hAnsiTheme="minorEastAsia" w:eastAsiaTheme="minorEastAsia" w:cstheme="minorEastAsia"/>
          <w:b/>
          <w:bCs/>
          <w:sz w:val="24"/>
          <w:szCs w:val="24"/>
          <w:lang w:val="zh-CN" w:eastAsia="zh-CN"/>
        </w:rPr>
      </w:pPr>
    </w:p>
    <w:p>
      <w:pPr>
        <w:pStyle w:val="4"/>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napToGrid w:val="0"/>
          <w:color w:val="000000"/>
          <w:kern w:val="0"/>
          <w:sz w:val="24"/>
          <w:szCs w:val="24"/>
          <w:lang w:val="zh-CN" w:eastAsia="zh-CN" w:bidi="ar-SA"/>
        </w:rPr>
        <w:t>南阳市政府采购供应商信用承诺函（格式）</w:t>
      </w:r>
    </w:p>
    <w:p>
      <w:pPr>
        <w:widowControl w:val="0"/>
        <w:autoSpaceDE w:val="0"/>
        <w:autoSpaceDN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pPr>
        <w:widowControl w:val="0"/>
        <w:autoSpaceDE w:val="0"/>
        <w:autoSpaceDN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 xml:space="preserve"> </w:t>
      </w:r>
      <w:r>
        <w:rPr>
          <w:rFonts w:hint="eastAsia" w:asciiTheme="minorEastAsia" w:hAnsiTheme="minorEastAsia" w:eastAsiaTheme="minorEastAsia" w:cstheme="minorEastAsia"/>
          <w:b w:val="0"/>
          <w:bCs w:val="0"/>
          <w:snapToGrid w:val="0"/>
          <w:color w:val="000000"/>
          <w:kern w:val="0"/>
          <w:sz w:val="24"/>
          <w:szCs w:val="24"/>
          <w:lang w:val="en-US" w:eastAsia="zh-CN" w:bidi="ar-SA"/>
        </w:rPr>
        <w:t xml:space="preserve">                          </w:t>
      </w: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pPr>
        <w:widowControl w:val="0"/>
        <w:autoSpaceDE w:val="0"/>
        <w:autoSpaceDN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pPr>
        <w:widowControl w:val="0"/>
        <w:autoSpaceDE w:val="0"/>
        <w:autoSpaceDN w:val="0"/>
        <w:adjustRightInd w:val="0"/>
        <w:spacing w:line="360" w:lineRule="auto"/>
        <w:ind w:firstLine="64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 xml:space="preserve">               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widowControl w:val="0"/>
        <w:autoSpaceDE w:val="0"/>
        <w:autoSpaceDN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pPr>
        <w:widowControl w:val="0"/>
        <w:autoSpaceDE w:val="0"/>
        <w:autoSpaceDN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pPr>
        <w:widowControl w:val="0"/>
        <w:autoSpaceDE w:val="0"/>
        <w:autoSpaceDN w:val="0"/>
        <w:adjustRightInd w:val="0"/>
        <w:spacing w:line="360" w:lineRule="auto"/>
        <w:ind w:firstLine="480" w:firstLineChars="200"/>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p>
    <w:sectPr>
      <w:headerReference r:id="rId13" w:type="default"/>
      <w:footerReference r:id="rId14" w:type="default"/>
      <w:pgSz w:w="11907" w:h="16840"/>
      <w:pgMar w:top="1117" w:right="1132" w:bottom="1060" w:left="17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19" w:lineRule="auto"/>
      <w:jc w:val="right"/>
      <w:rPr>
        <w:sz w:val="18"/>
        <w:szCs w:val="18"/>
      </w:rPr>
    </w:pPr>
    <w:r>
      <w:drawing>
        <wp:anchor distT="0" distB="0" distL="0" distR="0" simplePos="0" relativeHeight="25166028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5760627" cy="8441"/>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19" w:lineRule="auto"/>
      <w:ind w:right="1"/>
      <w:jc w:val="right"/>
      <w:rPr>
        <w:sz w:val="18"/>
        <w:szCs w:val="18"/>
      </w:rPr>
    </w:pPr>
    <w:r>
      <w:drawing>
        <wp:anchor distT="0" distB="0" distL="0" distR="0" simplePos="0" relativeHeight="251661312"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1"/>
                  <a:stretch>
                    <a:fillRect/>
                  </a:stretch>
                </pic:blipFill>
                <pic:spPr>
                  <a:xfrm>
                    <a:off x="0" y="0"/>
                    <a:ext cx="5760627" cy="8441"/>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19" w:lineRule="auto"/>
      <w:ind w:right="1"/>
      <w:jc w:val="right"/>
      <w:rPr>
        <w:sz w:val="18"/>
        <w:szCs w:val="18"/>
      </w:rPr>
    </w:pPr>
    <w:r>
      <w:rPr>
        <w:rFonts w:hint="eastAsia"/>
        <w:i/>
        <w:sz w:val="20"/>
      </w:rPr>
      <w:t xml:space="preserve">                                       </w:t>
    </w:r>
  </w:p>
  <w:p>
    <w:pPr>
      <w:pStyle w:val="8"/>
      <w:jc w:val="both"/>
      <w:rPr>
        <w:i/>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19" w:lineRule="auto"/>
      <w:jc w:val="right"/>
      <w:rPr>
        <w:sz w:val="18"/>
        <w:szCs w:val="18"/>
      </w:rPr>
    </w:pPr>
    <w:r>
      <w:drawing>
        <wp:anchor distT="0" distB="0" distL="0" distR="0" simplePos="0" relativeHeight="25166028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 name="IM 20"/>
          <wp:cNvGraphicFramePr/>
          <a:graphic xmlns:a="http://schemas.openxmlformats.org/drawingml/2006/main">
            <a:graphicData uri="http://schemas.openxmlformats.org/drawingml/2006/picture">
              <pic:pic xmlns:pic="http://schemas.openxmlformats.org/drawingml/2006/picture">
                <pic:nvPicPr>
                  <pic:cNvPr id="1" name="IM 20"/>
                  <pic:cNvPicPr/>
                </pic:nvPicPr>
                <pic:blipFill>
                  <a:blip r:embed="rId1"/>
                  <a:stretch>
                    <a:fillRect/>
                  </a:stretch>
                </pic:blipFill>
                <pic:spPr>
                  <a:xfrm>
                    <a:off x="0" y="0"/>
                    <a:ext cx="5760627" cy="8441"/>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19" w:lineRule="auto"/>
      <w:jc w:val="right"/>
      <w:rPr>
        <w:sz w:val="18"/>
        <w:szCs w:val="18"/>
      </w:rPr>
    </w:pPr>
    <w:r>
      <w:drawing>
        <wp:anchor distT="0" distB="0" distL="0" distR="0" simplePos="0" relativeHeight="251663360"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1"/>
                  <a:stretch>
                    <a:fillRect/>
                  </a:stretch>
                </pic:blipFill>
                <pic:spPr>
                  <a:xfrm>
                    <a:off x="0" y="0"/>
                    <a:ext cx="5760627" cy="844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06B0F4"/>
    <w:multiLevelType w:val="singleLevel"/>
    <w:tmpl w:val="8506B0F4"/>
    <w:lvl w:ilvl="0" w:tentative="0">
      <w:start w:val="1"/>
      <w:numFmt w:val="decimal"/>
      <w:suff w:val="nothing"/>
      <w:lvlText w:val="%1、"/>
      <w:lvlJc w:val="left"/>
    </w:lvl>
  </w:abstractNum>
  <w:abstractNum w:abstractNumId="1">
    <w:nsid w:val="D2357B9D"/>
    <w:multiLevelType w:val="singleLevel"/>
    <w:tmpl w:val="D2357B9D"/>
    <w:lvl w:ilvl="0" w:tentative="0">
      <w:start w:val="12"/>
      <w:numFmt w:val="decimal"/>
      <w:lvlText w:val="%1."/>
      <w:lvlJc w:val="left"/>
      <w:pPr>
        <w:tabs>
          <w:tab w:val="left" w:pos="312"/>
        </w:tabs>
      </w:pPr>
    </w:lvl>
  </w:abstractNum>
  <w:abstractNum w:abstractNumId="2">
    <w:nsid w:val="01636C75"/>
    <w:multiLevelType w:val="multilevel"/>
    <w:tmpl w:val="01636C7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1A97913"/>
    <w:multiLevelType w:val="multilevel"/>
    <w:tmpl w:val="51A97913"/>
    <w:lvl w:ilvl="0" w:tentative="0">
      <w:start w:val="1"/>
      <w:numFmt w:val="decimal"/>
      <w:lvlText w:val="（%1）"/>
      <w:lvlJc w:val="left"/>
      <w:pPr>
        <w:ind w:left="1430" w:hanging="720"/>
      </w:pPr>
      <w:rPr>
        <w:rFonts w:hint="default"/>
      </w:r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4">
    <w:nsid w:val="6643FA8D"/>
    <w:multiLevelType w:val="singleLevel"/>
    <w:tmpl w:val="6643FA8D"/>
    <w:lvl w:ilvl="0" w:tentative="0">
      <w:start w:val="3"/>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WFmM2JhZDI2ZDVmY2M1Y2Q4NDU3MzU3ZGEyMDdjM2QifQ=="/>
  </w:docVars>
  <w:rsids>
    <w:rsidRoot w:val="00000000"/>
    <w:rsid w:val="07724E37"/>
    <w:rsid w:val="08743EB7"/>
    <w:rsid w:val="08AE3149"/>
    <w:rsid w:val="09A960A9"/>
    <w:rsid w:val="0A4E3858"/>
    <w:rsid w:val="0B73117E"/>
    <w:rsid w:val="0C272EF4"/>
    <w:rsid w:val="0C450913"/>
    <w:rsid w:val="0EE83C0B"/>
    <w:rsid w:val="0FFF7484"/>
    <w:rsid w:val="11056BC8"/>
    <w:rsid w:val="11E54B27"/>
    <w:rsid w:val="11F10D0E"/>
    <w:rsid w:val="126164D5"/>
    <w:rsid w:val="13504EE3"/>
    <w:rsid w:val="14184102"/>
    <w:rsid w:val="146A4EE4"/>
    <w:rsid w:val="14B05372"/>
    <w:rsid w:val="156F62EF"/>
    <w:rsid w:val="1674486E"/>
    <w:rsid w:val="16882EF5"/>
    <w:rsid w:val="16FD3ABE"/>
    <w:rsid w:val="196A0814"/>
    <w:rsid w:val="1C587110"/>
    <w:rsid w:val="1D7F2147"/>
    <w:rsid w:val="1DA01659"/>
    <w:rsid w:val="1E6454A8"/>
    <w:rsid w:val="1FCD677B"/>
    <w:rsid w:val="1FCF1E87"/>
    <w:rsid w:val="23645F64"/>
    <w:rsid w:val="250C0222"/>
    <w:rsid w:val="25B83A87"/>
    <w:rsid w:val="266463E7"/>
    <w:rsid w:val="26E9311B"/>
    <w:rsid w:val="2A924A38"/>
    <w:rsid w:val="2CD208B5"/>
    <w:rsid w:val="2E6C7ED8"/>
    <w:rsid w:val="30EF0857"/>
    <w:rsid w:val="31E05F1C"/>
    <w:rsid w:val="320C16C0"/>
    <w:rsid w:val="32672625"/>
    <w:rsid w:val="333A48FA"/>
    <w:rsid w:val="334A1323"/>
    <w:rsid w:val="33D92F7A"/>
    <w:rsid w:val="34B2130C"/>
    <w:rsid w:val="350E12EA"/>
    <w:rsid w:val="35992C99"/>
    <w:rsid w:val="37CA6352"/>
    <w:rsid w:val="39627FB8"/>
    <w:rsid w:val="3AA46173"/>
    <w:rsid w:val="3BAF7174"/>
    <w:rsid w:val="3D793B23"/>
    <w:rsid w:val="43D372D6"/>
    <w:rsid w:val="44B74AB0"/>
    <w:rsid w:val="44C27AD5"/>
    <w:rsid w:val="45300AE7"/>
    <w:rsid w:val="45BE2A1A"/>
    <w:rsid w:val="46832AB5"/>
    <w:rsid w:val="4BBB7B8C"/>
    <w:rsid w:val="4CBA2C7D"/>
    <w:rsid w:val="4E5C03B2"/>
    <w:rsid w:val="562B2D19"/>
    <w:rsid w:val="578C1E3F"/>
    <w:rsid w:val="583737A8"/>
    <w:rsid w:val="59C70462"/>
    <w:rsid w:val="5A2D3EDA"/>
    <w:rsid w:val="5E401EE1"/>
    <w:rsid w:val="5E862024"/>
    <w:rsid w:val="60811390"/>
    <w:rsid w:val="611C486A"/>
    <w:rsid w:val="612C3317"/>
    <w:rsid w:val="64E32222"/>
    <w:rsid w:val="65925D2E"/>
    <w:rsid w:val="6A443604"/>
    <w:rsid w:val="6ACC2E0B"/>
    <w:rsid w:val="6B6B37C9"/>
    <w:rsid w:val="6B9F656F"/>
    <w:rsid w:val="6DD02520"/>
    <w:rsid w:val="70411D13"/>
    <w:rsid w:val="74143D3D"/>
    <w:rsid w:val="76102BC1"/>
    <w:rsid w:val="768D73E4"/>
    <w:rsid w:val="786749F3"/>
    <w:rsid w:val="78F607B2"/>
    <w:rsid w:val="7BC65611"/>
    <w:rsid w:val="7C2C76E7"/>
    <w:rsid w:val="7DAB21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3">
    <w:name w:val="annotation text"/>
    <w:basedOn w:val="1"/>
    <w:autoRedefine/>
    <w:qFormat/>
    <w:uiPriority w:val="0"/>
    <w:pPr>
      <w:jc w:val="left"/>
    </w:pPr>
  </w:style>
  <w:style w:type="paragraph" w:styleId="4">
    <w:name w:val="Body Text"/>
    <w:basedOn w:val="1"/>
    <w:next w:val="5"/>
    <w:autoRedefine/>
    <w:semiHidden/>
    <w:qFormat/>
    <w:uiPriority w:val="0"/>
    <w:rPr>
      <w:rFonts w:ascii="宋体" w:hAnsi="宋体" w:eastAsia="宋体" w:cs="宋体"/>
      <w:sz w:val="31"/>
      <w:szCs w:val="31"/>
      <w:lang w:val="en-US" w:eastAsia="en-US" w:bidi="ar-SA"/>
    </w:rPr>
  </w:style>
  <w:style w:type="paragraph" w:customStyle="1" w:styleId="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styleId="6">
    <w:name w:val="Body Text Indent"/>
    <w:basedOn w:val="1"/>
    <w:next w:val="1"/>
    <w:autoRedefine/>
    <w:qFormat/>
    <w:uiPriority w:val="0"/>
    <w:pPr>
      <w:tabs>
        <w:tab w:val="left" w:pos="0"/>
      </w:tabs>
      <w:ind w:firstLine="538" w:firstLineChars="192"/>
    </w:pPr>
    <w:rPr>
      <w:rFonts w:ascii="Tahoma" w:hAnsi="Tahoma"/>
      <w:kern w:val="2"/>
      <w:sz w:val="28"/>
      <w:szCs w:val="24"/>
    </w:rPr>
  </w:style>
  <w:style w:type="paragraph" w:styleId="7">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9">
    <w:name w:val="Body Text First Indent 2"/>
    <w:basedOn w:val="6"/>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paragraph" w:customStyle="1" w:styleId="12">
    <w:name w:val="Default"/>
    <w:next w:val="1"/>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 w:type="paragraph" w:customStyle="1" w:styleId="15">
    <w:name w:val="Table Paragraph"/>
    <w:basedOn w:val="1"/>
    <w:autoRedefine/>
    <w:qFormat/>
    <w:uiPriority w:val="0"/>
  </w:style>
  <w:style w:type="paragraph" w:customStyle="1" w:styleId="16">
    <w:name w:val="*正文"/>
    <w:basedOn w:val="1"/>
    <w:autoRedefine/>
    <w:qFormat/>
    <w:uiPriority w:val="0"/>
    <w:pPr>
      <w:keepNext/>
      <w:keepLines/>
      <w:spacing w:line="360" w:lineRule="auto"/>
      <w:ind w:firstLine="200" w:firstLineChars="200"/>
    </w:pPr>
    <w:rPr>
      <w:rFonts w:ascii="宋体" w:hAnsi="宋体"/>
      <w:szCs w:val="24"/>
    </w:rPr>
  </w:style>
  <w:style w:type="paragraph" w:styleId="17">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48</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小清新</cp:lastModifiedBy>
  <cp:lastPrinted>2024-03-21T01:28:48Z</cp:lastPrinted>
  <dcterms:modified xsi:type="dcterms:W3CDTF">2024-03-21T02:08:08Z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2052-12.1.0.16388</vt:lpwstr>
  </property>
  <property fmtid="{D5CDD505-2E9C-101B-9397-08002B2CF9AE}" pid="5" name="ICV">
    <vt:lpwstr>CA2CCD1800D04536AAFC1D7648384DF3_13</vt:lpwstr>
  </property>
</Properties>
</file>