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adjustRightInd w:val="0"/>
        <w:snapToGrid w:val="0"/>
        <w:spacing w:line="360" w:lineRule="auto"/>
        <w:jc w:val="center"/>
        <w:rPr>
          <w:rFonts w:ascii="仿宋_GB2312" w:hAnsi="仿宋_GB2312" w:eastAsia="仿宋_GB2312" w:cs="仿宋_GB2312"/>
          <w:b/>
          <w:bCs/>
          <w:color w:val="000000"/>
          <w:spacing w:val="4"/>
          <w:sz w:val="36"/>
          <w:szCs w:val="36"/>
        </w:rPr>
      </w:pPr>
      <w:r>
        <w:rPr>
          <w:rFonts w:hint="eastAsia" w:ascii="仿宋_GB2312" w:hAnsi="仿宋_GB2312" w:eastAsia="仿宋_GB2312" w:cs="仿宋_GB2312"/>
          <w:b/>
          <w:bCs/>
          <w:color w:val="000000"/>
          <w:spacing w:val="4"/>
          <w:sz w:val="36"/>
          <w:szCs w:val="36"/>
        </w:rPr>
        <w:t xml:space="preserve">第一部分    </w:t>
      </w:r>
      <w:bookmarkStart w:id="0" w:name="OLE_LINK1"/>
      <w:bookmarkStart w:id="1" w:name="OLE_LINK3"/>
      <w:bookmarkStart w:id="2" w:name="OLE_LINK2"/>
      <w:r>
        <w:rPr>
          <w:rFonts w:hint="eastAsia" w:ascii="仿宋_GB2312" w:hAnsi="仿宋_GB2312" w:eastAsia="仿宋_GB2312" w:cs="仿宋_GB2312"/>
          <w:b/>
          <w:bCs/>
          <w:color w:val="000000"/>
          <w:spacing w:val="4"/>
          <w:sz w:val="36"/>
          <w:szCs w:val="36"/>
        </w:rPr>
        <w:t>竞争性谈判公告</w:t>
      </w:r>
    </w:p>
    <w:p>
      <w:pPr>
        <w:spacing w:line="360" w:lineRule="auto"/>
        <w:ind w:left="483" w:leftChars="230" w:firstLine="480" w:firstLineChars="200"/>
        <w:rPr>
          <w:rFonts w:ascii="仿宋_GB2312" w:hAnsi="宋体" w:eastAsia="仿宋_GB2312"/>
          <w:sz w:val="24"/>
          <w:szCs w:val="28"/>
        </w:rPr>
      </w:pPr>
    </w:p>
    <w:p>
      <w:pPr>
        <w:spacing w:line="360" w:lineRule="auto"/>
        <w:ind w:left="279" w:leftChars="133" w:firstLine="560" w:firstLineChars="200"/>
        <w:rPr>
          <w:rFonts w:ascii="仿宋_GB2312" w:hAnsi="宋体" w:eastAsia="仿宋_GB2312"/>
          <w:sz w:val="28"/>
          <w:szCs w:val="28"/>
        </w:rPr>
      </w:pPr>
      <w:r>
        <w:rPr>
          <w:rFonts w:hint="eastAsia" w:ascii="仿宋_GB2312" w:hAnsi="宋体" w:eastAsia="仿宋_GB2312"/>
          <w:sz w:val="28"/>
          <w:szCs w:val="28"/>
        </w:rPr>
        <w:t>南阳市政府采购中心受</w:t>
      </w:r>
      <w:r>
        <w:rPr>
          <w:rFonts w:hint="eastAsia" w:ascii="仿宋_GB2312" w:hAnsi="宋体" w:eastAsia="仿宋_GB2312"/>
          <w:bCs/>
          <w:sz w:val="28"/>
          <w:szCs w:val="28"/>
        </w:rPr>
        <w:t>南阳技师学院</w:t>
      </w:r>
      <w:r>
        <w:rPr>
          <w:rFonts w:hint="eastAsia" w:ascii="仿宋_GB2312" w:hAnsi="宋体" w:eastAsia="仿宋_GB2312"/>
          <w:sz w:val="28"/>
          <w:szCs w:val="28"/>
        </w:rPr>
        <w:t>的委托，就其所需的</w:t>
      </w:r>
      <w:r>
        <w:rPr>
          <w:rFonts w:hint="eastAsia" w:ascii="仿宋_GB2312" w:hAnsi="宋体" w:eastAsia="仿宋_GB2312"/>
          <w:bCs/>
          <w:sz w:val="28"/>
          <w:szCs w:val="28"/>
        </w:rPr>
        <w:t>智慧宿舍管理系统采购项目</w:t>
      </w:r>
      <w:r>
        <w:rPr>
          <w:rFonts w:hint="eastAsia" w:ascii="仿宋_GB2312" w:hAnsi="宋体" w:eastAsia="仿宋_GB2312"/>
          <w:sz w:val="28"/>
          <w:szCs w:val="28"/>
        </w:rPr>
        <w:t>进行竞争性谈判采购，欢迎符合要求的供应商参加。</w:t>
      </w:r>
    </w:p>
    <w:p>
      <w:pPr>
        <w:spacing w:line="360" w:lineRule="auto"/>
        <w:ind w:firstLine="843" w:firstLineChars="300"/>
        <w:rPr>
          <w:rFonts w:ascii="仿宋_GB2312" w:hAnsi="宋体" w:eastAsia="仿宋_GB2312"/>
          <w:sz w:val="28"/>
          <w:szCs w:val="28"/>
        </w:rPr>
      </w:pPr>
      <w:r>
        <w:rPr>
          <w:rFonts w:hint="eastAsia" w:ascii="仿宋_GB2312" w:hAnsi="宋体" w:eastAsia="仿宋_GB2312"/>
          <w:b/>
          <w:sz w:val="28"/>
          <w:szCs w:val="28"/>
        </w:rPr>
        <w:t>一、项目编号：</w:t>
      </w:r>
      <w:r>
        <w:rPr>
          <w:rFonts w:hint="eastAsia" w:ascii="仿宋_GB2312" w:hAnsi="宋体" w:eastAsia="仿宋_GB2312"/>
          <w:sz w:val="28"/>
          <w:szCs w:val="28"/>
        </w:rPr>
        <w:t>南阳政采谈判-2023-2</w:t>
      </w:r>
    </w:p>
    <w:p>
      <w:pPr>
        <w:spacing w:line="360" w:lineRule="auto"/>
        <w:ind w:left="838" w:leftChars="399"/>
        <w:rPr>
          <w:rFonts w:ascii="仿宋_GB2312" w:hAnsi="宋体" w:eastAsia="仿宋_GB2312"/>
          <w:bCs/>
          <w:sz w:val="28"/>
          <w:szCs w:val="28"/>
        </w:rPr>
      </w:pPr>
      <w:r>
        <w:rPr>
          <w:rFonts w:hint="eastAsia" w:ascii="仿宋_GB2312" w:hAnsi="宋体" w:eastAsia="仿宋_GB2312"/>
          <w:b/>
          <w:sz w:val="28"/>
          <w:szCs w:val="28"/>
        </w:rPr>
        <w:t>二、项目名称：</w:t>
      </w:r>
      <w:r>
        <w:rPr>
          <w:rFonts w:hint="eastAsia" w:ascii="仿宋_GB2312" w:hAnsi="宋体" w:eastAsia="仿宋_GB2312"/>
          <w:bCs/>
          <w:sz w:val="28"/>
          <w:szCs w:val="28"/>
        </w:rPr>
        <w:t>南阳技师学院智慧宿舍管理系统采购项目</w:t>
      </w:r>
    </w:p>
    <w:p>
      <w:pPr>
        <w:spacing w:line="360" w:lineRule="auto"/>
        <w:ind w:left="838" w:leftChars="399"/>
        <w:rPr>
          <w:rFonts w:ascii="仿宋_GB2312" w:hAnsi="宋体" w:eastAsia="仿宋_GB2312"/>
          <w:b/>
          <w:sz w:val="28"/>
          <w:szCs w:val="28"/>
        </w:rPr>
      </w:pPr>
      <w:r>
        <w:rPr>
          <w:rFonts w:hint="eastAsia" w:ascii="仿宋_GB2312" w:hAnsi="宋体" w:eastAsia="仿宋_GB2312"/>
          <w:b/>
          <w:sz w:val="28"/>
          <w:szCs w:val="28"/>
        </w:rPr>
        <w:t>三、采购内容及预算金额：</w:t>
      </w:r>
    </w:p>
    <w:tbl>
      <w:tblPr>
        <w:tblStyle w:val="11"/>
        <w:tblW w:w="6629" w:type="dxa"/>
        <w:jc w:val="center"/>
        <w:tblLayout w:type="fixed"/>
        <w:tblCellMar>
          <w:top w:w="0" w:type="dxa"/>
          <w:left w:w="108" w:type="dxa"/>
          <w:bottom w:w="0" w:type="dxa"/>
          <w:right w:w="108" w:type="dxa"/>
        </w:tblCellMar>
      </w:tblPr>
      <w:tblGrid>
        <w:gridCol w:w="704"/>
        <w:gridCol w:w="4259"/>
        <w:gridCol w:w="957"/>
        <w:gridCol w:w="709"/>
      </w:tblGrid>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序号</w:t>
            </w:r>
          </w:p>
        </w:tc>
        <w:tc>
          <w:tcPr>
            <w:tcW w:w="42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设备名称</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单位</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数量</w:t>
            </w:r>
          </w:p>
        </w:tc>
      </w:tr>
      <w:tr>
        <w:tblPrEx>
          <w:tblCellMar>
            <w:top w:w="0" w:type="dxa"/>
            <w:left w:w="108" w:type="dxa"/>
            <w:bottom w:w="0" w:type="dxa"/>
            <w:right w:w="108" w:type="dxa"/>
          </w:tblCellMar>
        </w:tblPrEx>
        <w:trPr>
          <w:trHeight w:val="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校级人脸特征库平台</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人脸识别智慧公寓管理系统</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ascii="宋体" w:hAnsi="宋体" w:cs="宋体"/>
                <w:kern w:val="0"/>
                <w:szCs w:val="21"/>
              </w:rPr>
              <w:t>大数据可视化分析平台（领导驾驶舱）</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s>
              <w:jc w:val="left"/>
              <w:textAlignment w:val="center"/>
              <w:rPr>
                <w:szCs w:val="21"/>
              </w:rPr>
            </w:pPr>
            <w:r>
              <w:rPr>
                <w:rFonts w:hint="eastAsia"/>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s>
              <w:jc w:val="left"/>
              <w:textAlignment w:val="center"/>
              <w:rPr>
                <w:szCs w:val="21"/>
              </w:rPr>
            </w:pPr>
            <w:r>
              <w:rPr>
                <w:rFonts w:hint="eastAsia"/>
                <w:szCs w:val="21"/>
              </w:rPr>
              <w:t>1</w:t>
            </w:r>
          </w:p>
        </w:tc>
      </w:tr>
      <w:tr>
        <w:tblPrEx>
          <w:tblCellMar>
            <w:top w:w="0" w:type="dxa"/>
            <w:left w:w="108" w:type="dxa"/>
            <w:bottom w:w="0" w:type="dxa"/>
            <w:right w:w="108" w:type="dxa"/>
          </w:tblCellMar>
        </w:tblPrEx>
        <w:trPr>
          <w:trHeight w:val="45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4</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单机芯智能翼闸</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w:t>
            </w:r>
          </w:p>
        </w:tc>
      </w:tr>
      <w:tr>
        <w:tblPrEx>
          <w:tblCellMar>
            <w:top w:w="0" w:type="dxa"/>
            <w:left w:w="108" w:type="dxa"/>
            <w:bottom w:w="0" w:type="dxa"/>
            <w:right w:w="108" w:type="dxa"/>
          </w:tblCellMar>
        </w:tblPrEx>
        <w:trPr>
          <w:trHeight w:val="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5</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双机芯智能翼闸</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人脸识别一体机</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36</w:t>
            </w:r>
          </w:p>
        </w:tc>
      </w:tr>
      <w:tr>
        <w:tblPrEx>
          <w:tblCellMar>
            <w:top w:w="0" w:type="dxa"/>
            <w:left w:w="108" w:type="dxa"/>
            <w:bottom w:w="0" w:type="dxa"/>
            <w:right w:w="108" w:type="dxa"/>
          </w:tblCellMar>
        </w:tblPrEx>
        <w:trPr>
          <w:trHeight w:val="4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7</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台式计算机</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szCs w:val="21"/>
              </w:rPr>
              <w:t>9</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8</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人脸识别算法授权</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36</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9</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人脸识别服务器</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44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10</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违规抓拍摄像机</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11</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宿管终端</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可视化显示终端</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13</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可视化显示终端</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14</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汇聚交换机</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15</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接入交换机</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24</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16</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不锈钢电控护栏门</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r>
              <w:rPr>
                <w:rFonts w:ascii="宋体" w:hAnsi="宋体" w:cs="宋体"/>
                <w:kern w:val="0"/>
                <w:szCs w:val="21"/>
              </w:rPr>
              <w:t>7</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系统安装与对接</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ascii="宋体" w:hAnsi="宋体" w:cs="宋体"/>
                <w:kern w:val="0"/>
                <w:szCs w:val="21"/>
              </w:rPr>
              <w:t>18</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等保测评</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次</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液晶显示器</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11</w:t>
            </w:r>
            <w:r>
              <w:rPr>
                <w:rFonts w:ascii="宋体" w:hAnsi="宋体" w:cs="华文仿宋"/>
                <w:kern w:val="0"/>
                <w:szCs w:val="21"/>
              </w:rPr>
              <w:t>7</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ascii="宋体" w:hAnsi="宋体" w:cs="宋体"/>
                <w:kern w:val="0"/>
                <w:szCs w:val="21"/>
              </w:rPr>
              <w:t>20</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鼠标键盘</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11</w:t>
            </w:r>
            <w:r>
              <w:rPr>
                <w:rFonts w:ascii="宋体" w:hAnsi="宋体" w:cs="华文仿宋"/>
                <w:kern w:val="0"/>
                <w:szCs w:val="21"/>
              </w:rPr>
              <w:t>7</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支架</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11</w:t>
            </w:r>
            <w:r>
              <w:rPr>
                <w:rFonts w:ascii="宋体" w:hAnsi="宋体" w:cs="华文仿宋"/>
                <w:kern w:val="0"/>
                <w:szCs w:val="21"/>
              </w:rPr>
              <w:t>7</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2</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HDMI线</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根</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11</w:t>
            </w:r>
            <w:r>
              <w:rPr>
                <w:rFonts w:ascii="宋体" w:hAnsi="宋体" w:cs="华文仿宋"/>
                <w:kern w:val="0"/>
                <w:szCs w:val="21"/>
              </w:rPr>
              <w:t>7</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云广播系统服务器</w:t>
            </w:r>
          </w:p>
        </w:tc>
        <w:tc>
          <w:tcPr>
            <w:tcW w:w="957"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1</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24</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云广播系统服务软件</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25</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云广播寻呼话筒</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2</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26</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云广播彩屏点播式网络功放</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ascii="宋体" w:hAnsi="宋体" w:cs="华文仿宋"/>
                <w:kern w:val="0"/>
                <w:szCs w:val="21"/>
              </w:rPr>
              <w:t>7</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27</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云广播彩屏点播式网络功放</w:t>
            </w:r>
          </w:p>
        </w:tc>
        <w:tc>
          <w:tcPr>
            <w:tcW w:w="957"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ascii="宋体" w:hAnsi="宋体" w:cs="华文仿宋"/>
                <w:kern w:val="0"/>
                <w:szCs w:val="21"/>
              </w:rPr>
              <w:t>24</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28</w:t>
            </w:r>
          </w:p>
        </w:tc>
        <w:tc>
          <w:tcPr>
            <w:tcW w:w="42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华文仿宋"/>
                <w:spacing w:val="-4"/>
                <w:kern w:val="0"/>
                <w:szCs w:val="21"/>
              </w:rPr>
            </w:pPr>
            <w:r>
              <w:rPr>
                <w:rFonts w:hint="eastAsia" w:ascii="宋体" w:hAnsi="宋体" w:cs="华文仿宋"/>
                <w:spacing w:val="-4"/>
                <w:kern w:val="0"/>
                <w:szCs w:val="21"/>
              </w:rPr>
              <w:t>壁挂音箱</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ascii="宋体" w:hAnsi="宋体" w:cs="华文仿宋"/>
                <w:spacing w:val="-4"/>
                <w:kern w:val="0"/>
                <w:szCs w:val="21"/>
              </w:rPr>
              <w:t>200</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29</w:t>
            </w:r>
          </w:p>
        </w:tc>
        <w:tc>
          <w:tcPr>
            <w:tcW w:w="4259"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交换机</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华文仿宋"/>
                <w:spacing w:val="-4"/>
                <w:kern w:val="0"/>
                <w:szCs w:val="21"/>
              </w:rPr>
            </w:pPr>
            <w:r>
              <w:rPr>
                <w:rFonts w:hint="eastAsia" w:ascii="宋体" w:hAnsi="宋体" w:cs="华文仿宋"/>
                <w:spacing w:val="-4"/>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7</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30</w:t>
            </w:r>
          </w:p>
        </w:tc>
        <w:tc>
          <w:tcPr>
            <w:tcW w:w="4259"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壁挂机柜</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华文仿宋"/>
                <w:spacing w:val="-4"/>
                <w:kern w:val="0"/>
                <w:szCs w:val="21"/>
              </w:rPr>
            </w:pPr>
            <w:r>
              <w:rPr>
                <w:rFonts w:hint="eastAsia" w:ascii="宋体" w:hAnsi="宋体" w:cs="华文仿宋"/>
                <w:spacing w:val="-4"/>
                <w:kern w:val="0"/>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7</w:t>
            </w:r>
          </w:p>
        </w:tc>
      </w:tr>
      <w:tr>
        <w:tblPrEx>
          <w:tblCellMar>
            <w:top w:w="0" w:type="dxa"/>
            <w:left w:w="108" w:type="dxa"/>
            <w:bottom w:w="0" w:type="dxa"/>
            <w:right w:w="108" w:type="dxa"/>
          </w:tblCellMar>
        </w:tblPrEx>
        <w:trPr>
          <w:trHeight w:val="3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31</w:t>
            </w:r>
          </w:p>
        </w:tc>
        <w:tc>
          <w:tcPr>
            <w:tcW w:w="4259"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安装调试费、其它辅材</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华文仿宋"/>
                <w:spacing w:val="-4"/>
                <w:kern w:val="0"/>
                <w:szCs w:val="21"/>
              </w:rPr>
            </w:pPr>
            <w:r>
              <w:rPr>
                <w:rFonts w:hint="eastAsia" w:ascii="宋体" w:hAnsi="宋体" w:cs="华文仿宋"/>
                <w:spacing w:val="-4"/>
                <w:kern w:val="0"/>
                <w:szCs w:val="21"/>
              </w:rPr>
              <w:t xml:space="preserve"> 项</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1</w:t>
            </w:r>
          </w:p>
        </w:tc>
      </w:tr>
    </w:tbl>
    <w:p>
      <w:pPr>
        <w:spacing w:line="360" w:lineRule="auto"/>
        <w:ind w:firstLine="562" w:firstLineChars="200"/>
        <w:jc w:val="left"/>
        <w:rPr>
          <w:rFonts w:ascii="仿宋_GB2312" w:hAnsi="宋体" w:eastAsia="仿宋_GB2312"/>
          <w:b/>
          <w:bCs/>
          <w:sz w:val="28"/>
          <w:szCs w:val="28"/>
        </w:rPr>
      </w:pPr>
      <w:r>
        <w:rPr>
          <w:rFonts w:hint="eastAsia" w:ascii="仿宋_GB2312" w:hAnsi="宋体" w:eastAsia="仿宋_GB2312"/>
          <w:b/>
          <w:bCs/>
          <w:sz w:val="28"/>
          <w:szCs w:val="28"/>
        </w:rPr>
        <w:t>供应商所投的台式计算机、液晶显示器必须是节能产品。（详见第二部分“项目内容及要求”）。</w:t>
      </w:r>
    </w:p>
    <w:p>
      <w:pPr>
        <w:spacing w:line="360" w:lineRule="auto"/>
        <w:ind w:firstLine="562" w:firstLineChars="200"/>
        <w:jc w:val="left"/>
        <w:rPr>
          <w:rFonts w:ascii="仿宋_GB2312" w:hAnsi="宋体" w:eastAsia="仿宋_GB2312"/>
          <w:sz w:val="28"/>
          <w:szCs w:val="28"/>
        </w:rPr>
      </w:pPr>
      <w:r>
        <w:rPr>
          <w:rFonts w:hint="eastAsia" w:ascii="仿宋_GB2312" w:hAnsi="宋体" w:eastAsia="仿宋_GB2312"/>
          <w:b/>
          <w:bCs/>
          <w:sz w:val="28"/>
          <w:szCs w:val="28"/>
        </w:rPr>
        <w:t>预算金额105万元。</w:t>
      </w:r>
    </w:p>
    <w:p>
      <w:pPr>
        <w:spacing w:line="360" w:lineRule="auto"/>
        <w:ind w:firstLine="562" w:firstLineChars="200"/>
        <w:jc w:val="left"/>
        <w:rPr>
          <w:rFonts w:ascii="仿宋_GB2312" w:hAnsi="宋体" w:eastAsia="仿宋_GB2312"/>
          <w:b/>
          <w:sz w:val="28"/>
          <w:szCs w:val="28"/>
        </w:rPr>
      </w:pPr>
      <w:r>
        <w:rPr>
          <w:rFonts w:hint="eastAsia" w:ascii="仿宋_GB2312" w:hAnsi="宋体" w:eastAsia="仿宋_GB2312"/>
          <w:b/>
          <w:sz w:val="28"/>
          <w:szCs w:val="28"/>
        </w:rPr>
        <w:t>四、供应商具备的条件：</w:t>
      </w:r>
    </w:p>
    <w:p>
      <w:pPr>
        <w:spacing w:line="360" w:lineRule="auto"/>
        <w:ind w:firstLine="560" w:firstLineChars="200"/>
        <w:jc w:val="left"/>
        <w:rPr>
          <w:rFonts w:ascii="仿宋_GB2312" w:eastAsia="仿宋_GB2312"/>
          <w:color w:val="000000"/>
          <w:sz w:val="28"/>
          <w:szCs w:val="28"/>
        </w:rPr>
      </w:pPr>
      <w:r>
        <w:rPr>
          <w:rFonts w:hint="eastAsia" w:ascii="仿宋_GB2312" w:hAnsi="宋体" w:eastAsia="仿宋_GB2312"/>
          <w:sz w:val="28"/>
          <w:szCs w:val="28"/>
        </w:rPr>
        <w:t>1、</w:t>
      </w:r>
      <w:r>
        <w:rPr>
          <w:rFonts w:hint="eastAsia" w:ascii="仿宋_GB2312" w:eastAsia="仿宋_GB2312"/>
          <w:color w:val="000000"/>
          <w:sz w:val="28"/>
          <w:szCs w:val="28"/>
        </w:rPr>
        <w:t>具有独立承担民事责任能力；</w:t>
      </w:r>
    </w:p>
    <w:p>
      <w:pPr>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2、具有良好的商业信誉和健全的财务会计制度；</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3、具有履行合同所必备的设备和专业技术能力；</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4、有依法缴纳税收和社会保障资金的良好记录；</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5、参加政府采购活动中前三年内，在经营活动中没有重大违法记录</w:t>
      </w:r>
      <w:r>
        <w:rPr>
          <w:rFonts w:hint="eastAsia" w:ascii="仿宋_GB2312" w:hAnsi="仿宋_GB2312" w:eastAsia="仿宋_GB2312" w:cs="仿宋_GB2312"/>
          <w:sz w:val="28"/>
          <w:szCs w:val="28"/>
        </w:rPr>
        <w:t>和供应商诚信承诺书。</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6、法律、行政法规规定的其他条件；</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7、本项目不接受联合体投标。</w:t>
      </w:r>
    </w:p>
    <w:p>
      <w:pPr>
        <w:autoSpaceDE w:val="0"/>
        <w:autoSpaceDN w:val="0"/>
        <w:adjustRightIn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五、本项目执行政府采购促进中小企业、监狱企业、残疾人福利性单位发展政策。本项目支持河南省政府采购合同融资政策。本项目执行供应商资格信用承诺制。</w:t>
      </w:r>
    </w:p>
    <w:p>
      <w:pPr>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六、本竞争性谈判文件免费。</w:t>
      </w:r>
    </w:p>
    <w:p>
      <w:pPr>
        <w:spacing w:line="360" w:lineRule="auto"/>
        <w:ind w:firstLine="562"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b/>
          <w:sz w:val="28"/>
          <w:szCs w:val="28"/>
          <w:u w:val="single"/>
        </w:rPr>
        <w:t>七、谈判文件下载时间：</w:t>
      </w:r>
      <w:r>
        <w:rPr>
          <w:rFonts w:hint="eastAsia" w:ascii="仿宋_GB2312" w:hAnsi="仿宋_GB2312" w:eastAsia="仿宋_GB2312" w:cs="仿宋_GB2312"/>
          <w:bCs/>
          <w:color w:val="000000" w:themeColor="text1"/>
          <w:sz w:val="28"/>
          <w:szCs w:val="28"/>
          <w:u w:val="single"/>
          <w14:textFill>
            <w14:solidFill>
              <w14:schemeClr w14:val="tx1"/>
            </w14:solidFill>
          </w14:textFill>
        </w:rPr>
        <w:t>2023</w:t>
      </w:r>
      <w:r>
        <w:rPr>
          <w:rFonts w:hint="eastAsia" w:ascii="仿宋_GB2312" w:hAnsi="仿宋_GB2312" w:eastAsia="仿宋_GB2312" w:cs="仿宋_GB2312"/>
          <w:color w:val="000000" w:themeColor="text1"/>
          <w:sz w:val="28"/>
          <w:szCs w:val="28"/>
          <w:u w:val="single"/>
          <w14:textFill>
            <w14:solidFill>
              <w14:schemeClr w14:val="tx1"/>
            </w14:solidFill>
          </w14:textFill>
        </w:rPr>
        <w:t>年</w:t>
      </w:r>
      <w:r>
        <w:rPr>
          <w:rFonts w:ascii="仿宋_GB2312" w:hAnsi="仿宋_GB2312" w:eastAsia="仿宋_GB2312" w:cs="仿宋_GB2312"/>
          <w:color w:val="000000" w:themeColor="text1"/>
          <w:sz w:val="28"/>
          <w:szCs w:val="28"/>
          <w:u w:val="single"/>
          <w14:textFill>
            <w14:solidFill>
              <w14:schemeClr w14:val="tx1"/>
            </w14:solidFill>
          </w14:textFill>
        </w:rPr>
        <w:t>12</w:t>
      </w:r>
      <w:r>
        <w:rPr>
          <w:rFonts w:hint="eastAsia" w:ascii="仿宋_GB2312" w:hAnsi="仿宋_GB2312" w:eastAsia="仿宋_GB2312" w:cs="仿宋_GB2312"/>
          <w:color w:val="000000" w:themeColor="text1"/>
          <w:sz w:val="28"/>
          <w:szCs w:val="28"/>
          <w:u w:val="single"/>
          <w14:textFill>
            <w14:solidFill>
              <w14:schemeClr w14:val="tx1"/>
            </w14:solidFill>
          </w14:textFill>
        </w:rPr>
        <w:t>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u w:val="single"/>
          <w14:textFill>
            <w14:solidFill>
              <w14:schemeClr w14:val="tx1"/>
            </w14:solidFill>
          </w14:textFill>
        </w:rPr>
        <w:t>日-2023年</w:t>
      </w:r>
      <w:r>
        <w:rPr>
          <w:rFonts w:ascii="仿宋_GB2312" w:hAnsi="仿宋_GB2312" w:eastAsia="仿宋_GB2312" w:cs="仿宋_GB2312"/>
          <w:color w:val="000000" w:themeColor="text1"/>
          <w:sz w:val="28"/>
          <w:szCs w:val="28"/>
          <w:u w:val="single"/>
          <w14:textFill>
            <w14:solidFill>
              <w14:schemeClr w14:val="tx1"/>
            </w14:solidFill>
          </w14:textFill>
        </w:rPr>
        <w:t>12</w:t>
      </w:r>
      <w:r>
        <w:rPr>
          <w:rFonts w:hint="eastAsia" w:ascii="仿宋_GB2312" w:hAnsi="仿宋_GB2312" w:eastAsia="仿宋_GB2312" w:cs="仿宋_GB2312"/>
          <w:color w:val="000000" w:themeColor="text1"/>
          <w:sz w:val="28"/>
          <w:szCs w:val="28"/>
          <w:u w:val="single"/>
          <w14:textFill>
            <w14:solidFill>
              <w14:schemeClr w14:val="tx1"/>
            </w14:solidFill>
          </w14:textFill>
        </w:rPr>
        <w:t>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11</w:t>
      </w:r>
      <w:r>
        <w:rPr>
          <w:rFonts w:hint="eastAsia" w:ascii="仿宋_GB2312" w:hAnsi="仿宋_GB2312" w:eastAsia="仿宋_GB2312" w:cs="仿宋_GB2312"/>
          <w:sz w:val="28"/>
          <w:szCs w:val="28"/>
          <w:u w:val="single"/>
        </w:rPr>
        <w:t>日。</w:t>
      </w:r>
    </w:p>
    <w:p>
      <w:pPr>
        <w:spacing w:line="360" w:lineRule="auto"/>
        <w:ind w:firstLine="562"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b/>
          <w:sz w:val="28"/>
          <w:szCs w:val="28"/>
        </w:rPr>
        <w:t>八、谈判文件获取方式：</w:t>
      </w:r>
    </w:p>
    <w:p>
      <w:pPr>
        <w:spacing w:line="360" w:lineRule="auto"/>
        <w:ind w:firstLine="562" w:firstLineChars="2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1、企业诚信库注册</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只接受南阳市公共资源电子交易平台中已加入企业诚信库的企业报名,未入库的供应商请及时办理入库手续。入库办理请参见南阳市公共资源交易中心网站ggzyjy.nanyang.gov.cn下载专区《诚信库申报操作手册》，企业办理诚信库不收取任何费用，不需携带原件到南阳市公共资源交易中心进行审核。企业对自己上传资料的真实性、合法性、有效性承担法律责任。因未及时办理入库手续导致无法报名的,责任自负。</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b/>
          <w:bCs/>
          <w:color w:val="000000"/>
          <w:sz w:val="28"/>
          <w:szCs w:val="28"/>
        </w:rPr>
        <w:t xml:space="preserve"> 2、免费申领电子营业执照</w:t>
      </w:r>
    </w:p>
    <w:p>
      <w:pPr>
        <w:widowControl/>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供应商完成企业诚信库注册后，可申领电子营业执照以便在网上办理招投标相关业务。申领电子营业执照请参见南阳市公共资源交易中心下载专区《电子营业执照应用平台系统操作手册-投标单位》。</w:t>
      </w:r>
    </w:p>
    <w:p>
      <w:pPr>
        <w:spacing w:line="360" w:lineRule="auto"/>
        <w:ind w:firstLine="562" w:firstLineChars="2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3、竞争性谈判文件下载</w:t>
      </w:r>
    </w:p>
    <w:p>
      <w:pPr>
        <w:widowControl/>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供应商使用电子营业执照扫码登陆南阳市公共资源电子营业执照应用平台系统（http://</w:t>
      </w:r>
      <w:bookmarkStart w:id="3" w:name="_Hlk117068952"/>
      <w:r>
        <w:rPr>
          <w:rFonts w:hint="eastAsia" w:ascii="仿宋_GB2312" w:hAnsi="仿宋_GB2312" w:eastAsia="仿宋_GB2312" w:cs="仿宋_GB2312"/>
          <w:color w:val="000000"/>
          <w:sz w:val="28"/>
          <w:szCs w:val="28"/>
        </w:rPr>
        <w:t>111.6.77.187:8081</w:t>
      </w:r>
      <w:bookmarkEnd w:id="3"/>
      <w:r>
        <w:rPr>
          <w:rFonts w:hint="eastAsia" w:ascii="仿宋_GB2312" w:hAnsi="仿宋_GB2312" w:eastAsia="仿宋_GB2312" w:cs="仿宋_GB2312"/>
          <w:color w:val="000000"/>
          <w:sz w:val="28"/>
          <w:szCs w:val="28"/>
        </w:rPr>
        <w:t>/ggzy/）免费下载竞争性谈判文件。</w:t>
      </w:r>
    </w:p>
    <w:p>
      <w:pPr>
        <w:spacing w:line="360" w:lineRule="auto"/>
        <w:ind w:firstLine="562" w:firstLineChars="2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4、技术咨询电话</w:t>
      </w:r>
    </w:p>
    <w:p>
      <w:pPr>
        <w:spacing w:line="360" w:lineRule="auto"/>
        <w:ind w:firstLine="562" w:firstLineChars="2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企业诚信库注册电话：</w:t>
      </w:r>
      <w:r>
        <w:rPr>
          <w:rFonts w:hint="eastAsia" w:ascii="仿宋_GB2312" w:hAnsi="仿宋_GB2312" w:eastAsia="仿宋_GB2312" w:cs="仿宋_GB2312"/>
          <w:color w:val="000000"/>
          <w:sz w:val="28"/>
          <w:szCs w:val="28"/>
        </w:rPr>
        <w:t>0377-61176186</w:t>
      </w:r>
    </w:p>
    <w:p>
      <w:pPr>
        <w:spacing w:line="360" w:lineRule="auto"/>
        <w:ind w:firstLine="562" w:firstLineChars="2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电子营业执照申领技术支持电话：</w:t>
      </w:r>
      <w:r>
        <w:rPr>
          <w:rFonts w:hint="eastAsia" w:ascii="仿宋_GB2312" w:hAnsi="仿宋_GB2312" w:eastAsia="仿宋_GB2312" w:cs="仿宋_GB2312"/>
          <w:color w:val="000000"/>
          <w:sz w:val="28"/>
          <w:szCs w:val="28"/>
        </w:rPr>
        <w:t>17269580661、17269580657</w:t>
      </w:r>
    </w:p>
    <w:p>
      <w:pPr>
        <w:spacing w:line="360" w:lineRule="auto"/>
        <w:ind w:firstLine="562" w:firstLineChars="2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电子营业执照应用平台系统技术支持电话：</w:t>
      </w:r>
      <w:r>
        <w:rPr>
          <w:rFonts w:hint="eastAsia" w:ascii="仿宋_GB2312" w:hAnsi="仿宋_GB2312" w:eastAsia="仿宋_GB2312" w:cs="仿宋_GB2312"/>
          <w:color w:val="000000"/>
          <w:sz w:val="28"/>
          <w:szCs w:val="28"/>
        </w:rPr>
        <w:t>17719857571</w:t>
      </w:r>
    </w:p>
    <w:p>
      <w:pPr>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九、响应文件的制作及递交</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项目为电子评标项目，供应商须上传加密电子响应文件。电子响应文件需要使用“电子营业执照应用平台投标文件制作工具（南阳版）”制作，制作工具及操作手册可在南阳市公共资源电子营业执照应用平台“系统功能”-“组件下载”处下载。</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2、加密电子响应文件（格式后缀为:.file）应在谈判文件规定的上传截止时间前到达电子营业执照应用平台系统（http://111.6.77.187:8081/ggzy）。逾期到达电子营业执照应用平台系统的电子响应文件视为无效文件。</w:t>
      </w:r>
    </w:p>
    <w:p>
      <w:pPr>
        <w:spacing w:line="360" w:lineRule="auto"/>
        <w:ind w:firstLine="560" w:firstLineChars="2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3、本项目采用全流程电子化，</w:t>
      </w:r>
      <w:r>
        <w:rPr>
          <w:rFonts w:hint="eastAsia" w:ascii="仿宋_GB2312" w:hAnsi="仿宋_GB2312" w:eastAsia="仿宋_GB2312" w:cs="仿宋_GB2312"/>
          <w:b/>
          <w:bCs/>
          <w:color w:val="000000"/>
          <w:sz w:val="28"/>
          <w:szCs w:val="28"/>
        </w:rPr>
        <w:t>供应商应在电子响应文件上传截止时间前登录电子营业执照应用平台系统不见面开标大厅；在响应文件解密过程中，如因供应商准备不到位、网络问题等情况，造成无法及时解密的（30分钟内），将被退回响应文件。</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4、解密过程中遇到紧急事项，可在不见面开标大厅中提出异议或者文字交流，严重问题可拨打技术支持电话17719857571。</w:t>
      </w:r>
    </w:p>
    <w:p>
      <w:pPr>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十、谈判及最终报价注意事项：</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1、响应文件递交、解密完成后，供应商需继续等待，并登录电子营业执照应用平台系统谈判大厅，评审结束前保持在线状态，确保可以及时接收谈判小组提出的谈判及最终报价要求。</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2、供应商应时刻关注谈判大厅消息提醒，在规定时间内及时回应谈判小组提出的谈判及最终报价要求。</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3、未按上述要求操作，造成不能参加谈判及最终报价的，后果由有关供应商承担。</w:t>
      </w:r>
    </w:p>
    <w:p>
      <w:pPr>
        <w:spacing w:line="360" w:lineRule="auto"/>
        <w:ind w:firstLine="562"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sz w:val="28"/>
          <w:szCs w:val="28"/>
        </w:rPr>
        <w:t>十一、电子响应文件上传截止时间</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2023年12月</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15</w:t>
      </w:r>
      <w:r>
        <w:rPr>
          <w:rFonts w:hint="eastAsia" w:ascii="仿宋_GB2312" w:hAnsi="仿宋_GB2312" w:eastAsia="仿宋_GB2312" w:cs="仿宋_GB2312"/>
          <w:b/>
          <w:bCs/>
          <w:color w:val="000000" w:themeColor="text1"/>
          <w:sz w:val="28"/>
          <w:szCs w:val="28"/>
          <w14:textFill>
            <w14:solidFill>
              <w14:schemeClr w14:val="tx1"/>
            </w14:solidFill>
          </w14:textFill>
        </w:rPr>
        <w:t>日9:00</w:t>
      </w:r>
    </w:p>
    <w:p>
      <w:pPr>
        <w:spacing w:line="360" w:lineRule="auto"/>
        <w:ind w:firstLine="562"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十二、电子响应文件解密时间：2023年12月</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b/>
          <w:bCs/>
          <w:color w:val="000000" w:themeColor="text1"/>
          <w:sz w:val="28"/>
          <w:szCs w:val="28"/>
          <w14:textFill>
            <w14:solidFill>
              <w14:schemeClr w14:val="tx1"/>
            </w14:solidFill>
          </w14:textFill>
        </w:rPr>
        <w:t>日9：00—9:30</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十三、本项目采用全流程电子化，供应商无需到现场签到及解密电子响应文件。远程签到及解密操作流程详见南阳市公共资源交易中心下载专区《电子营业执照应用平台系统操作手册-投标单位》。</w:t>
      </w:r>
    </w:p>
    <w:p>
      <w:pPr>
        <w:numPr>
          <w:ilvl w:val="0"/>
          <w:numId w:val="2"/>
        </w:numPr>
        <w:spacing w:line="360" w:lineRule="auto"/>
        <w:ind w:left="0"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采购人：</w:t>
      </w:r>
      <w:r>
        <w:rPr>
          <w:rFonts w:hint="eastAsia" w:ascii="仿宋_GB2312" w:hAnsi="仿宋_GB2312" w:eastAsia="仿宋_GB2312" w:cs="仿宋_GB2312"/>
          <w:sz w:val="28"/>
          <w:szCs w:val="28"/>
        </w:rPr>
        <w:t>南阳技师学院地址：</w:t>
      </w:r>
      <w:r>
        <w:rPr>
          <w:rFonts w:hint="eastAsia" w:ascii="仿宋_GB2312" w:hAnsi="宋体" w:eastAsia="仿宋_GB2312"/>
          <w:sz w:val="28"/>
          <w:szCs w:val="28"/>
        </w:rPr>
        <w:t>南阳市高新区七里园新街1号</w:t>
      </w:r>
      <w:r>
        <w:rPr>
          <w:rFonts w:hint="eastAsia" w:ascii="仿宋_GB2312" w:hAnsi="仿宋_GB2312" w:eastAsia="仿宋_GB2312" w:cs="仿宋_GB2312"/>
          <w:sz w:val="28"/>
          <w:szCs w:val="28"/>
        </w:rPr>
        <w:t xml:space="preserve">  联系人：唐小林   联系电话：13837738581</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十五、市政府采购中心地址：</w:t>
      </w:r>
      <w:r>
        <w:rPr>
          <w:rFonts w:hint="eastAsia" w:ascii="仿宋_GB2312" w:hAnsi="仿宋_GB2312" w:eastAsia="仿宋_GB2312" w:cs="仿宋_GB2312"/>
          <w:sz w:val="28"/>
          <w:szCs w:val="28"/>
        </w:rPr>
        <w:t>南阳市民服务中心中区3号楼5楼。</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项目负责人：</w:t>
      </w:r>
      <w:r>
        <w:rPr>
          <w:rFonts w:hint="eastAsia" w:ascii="仿宋_GB2312" w:hAnsi="仿宋_GB2312" w:eastAsia="仿宋_GB2312" w:cs="仿宋_GB2312"/>
          <w:sz w:val="28"/>
          <w:szCs w:val="28"/>
          <w:lang w:val="en-US" w:eastAsia="zh-CN"/>
        </w:rPr>
        <w:t>潘高</w:t>
      </w:r>
      <w:r>
        <w:rPr>
          <w:rFonts w:hint="eastAsia" w:ascii="仿宋_GB2312" w:hAnsi="仿宋_GB2312" w:eastAsia="仿宋_GB2312" w:cs="仿宋_GB2312"/>
          <w:sz w:val="28"/>
          <w:szCs w:val="28"/>
        </w:rPr>
        <w:t xml:space="preserve">   联系电话： 0377-61176178</w:t>
      </w:r>
    </w:p>
    <w:p>
      <w:pPr>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十六、</w:t>
      </w:r>
      <w:r>
        <w:rPr>
          <w:rFonts w:hint="eastAsia" w:ascii="仿宋_GB2312" w:hAnsi="仿宋" w:eastAsia="仿宋_GB2312" w:cs="仿宋"/>
          <w:sz w:val="28"/>
          <w:szCs w:val="28"/>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www.ccgp.gov.cn）】，</w:t>
      </w:r>
      <w:r>
        <w:rPr>
          <w:rFonts w:hint="eastAsia" w:ascii="仿宋_GB2312" w:hAnsi="仿宋_GB2312" w:eastAsia="仿宋_GB2312" w:cs="仿宋_GB2312"/>
          <w:sz w:val="28"/>
          <w:szCs w:val="28"/>
        </w:rPr>
        <w:t>查询时间为发布公告之日起到文件上传截止时间。 </w:t>
      </w:r>
    </w:p>
    <w:p>
      <w:pPr>
        <w:spacing w:line="360" w:lineRule="auto"/>
        <w:ind w:firstLine="560" w:firstLineChars="200"/>
        <w:jc w:val="left"/>
        <w:rPr>
          <w:rFonts w:ascii="仿宋_GB2312" w:hAnsi="仿宋" w:eastAsia="仿宋_GB2312" w:cs="仿宋"/>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sz w:val="28"/>
          <w:szCs w:val="28"/>
        </w:rPr>
        <w:t>十七、网  址</w:t>
      </w:r>
      <w:r>
        <w:rPr>
          <w:rFonts w:hint="eastAsia" w:ascii="仿宋_GB2312" w:hAnsi="仿宋_GB2312" w:eastAsia="仿宋_GB2312" w:cs="仿宋_GB2312"/>
          <w:sz w:val="28"/>
          <w:szCs w:val="28"/>
        </w:rPr>
        <w:t>：</w:t>
      </w:r>
      <w:r>
        <w:rPr>
          <w:rFonts w:hint="eastAsia" w:ascii="仿宋_GB2312" w:hAnsi="仿宋" w:eastAsia="仿宋_GB2312" w:cs="仿宋"/>
          <w:sz w:val="28"/>
          <w:szCs w:val="28"/>
        </w:rPr>
        <w:t xml:space="preserve">ggzyjy.nanyang.gov.cn  </w:t>
      </w:r>
      <w:r>
        <w:rPr>
          <w:rFonts w:hint="eastAsia" w:ascii="仿宋_GB2312" w:hAnsi="仿宋" w:eastAsia="仿宋_GB2312" w:cs="仿宋"/>
          <w:b/>
          <w:bCs/>
          <w:sz w:val="28"/>
          <w:szCs w:val="28"/>
        </w:rPr>
        <w:t>E-mail:</w:t>
      </w:r>
      <w:r>
        <w:rPr>
          <w:rFonts w:hint="eastAsia" w:ascii="仿宋_GB2312" w:hAnsi="仿宋" w:eastAsia="仿宋_GB2312" w:cs="仿宋"/>
          <w:sz w:val="28"/>
          <w:szCs w:val="28"/>
        </w:rPr>
        <w:t xml:space="preserve">nyszfcgzx @126.com </w:t>
      </w:r>
    </w:p>
    <w:bookmarkEnd w:id="0"/>
    <w:bookmarkEnd w:id="1"/>
    <w:bookmarkEnd w:id="2"/>
    <w:p>
      <w:pPr>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十八、本公告期限自</w:t>
      </w:r>
      <w:r>
        <w:rPr>
          <w:rFonts w:hint="eastAsia" w:ascii="仿宋_GB2312" w:hAnsi="仿宋_GB2312" w:eastAsia="仿宋_GB2312" w:cs="仿宋_GB2312"/>
          <w:bCs/>
          <w:sz w:val="28"/>
          <w:szCs w:val="28"/>
        </w:rPr>
        <w:t>2023</w:t>
      </w:r>
      <w:r>
        <w:rPr>
          <w:rFonts w:hint="eastAsia" w:ascii="仿宋_GB2312" w:hAnsi="仿宋_GB2312" w:eastAsia="仿宋_GB2312" w:cs="仿宋_GB2312"/>
          <w:sz w:val="28"/>
          <w:szCs w:val="28"/>
        </w:rPr>
        <w:t>年</w:t>
      </w:r>
      <w:r>
        <w:rPr>
          <w:rFonts w:ascii="仿宋_GB2312" w:hAnsi="仿宋_GB2312" w:eastAsia="仿宋_GB2312" w:cs="仿宋_GB2312"/>
          <w:color w:val="000000" w:themeColor="text1"/>
          <w:sz w:val="28"/>
          <w:szCs w:val="28"/>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 - 2023年</w:t>
      </w:r>
      <w:r>
        <w:rPr>
          <w:rFonts w:ascii="仿宋_GB2312" w:hAnsi="仿宋_GB2312" w:eastAsia="仿宋_GB2312" w:cs="仿宋_GB2312"/>
          <w:color w:val="000000" w:themeColor="text1"/>
          <w:sz w:val="28"/>
          <w:szCs w:val="28"/>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sz w:val="28"/>
          <w:szCs w:val="28"/>
        </w:rPr>
        <w:t>日止。</w:t>
      </w:r>
    </w:p>
    <w:p>
      <w:pPr>
        <w:spacing w:line="360" w:lineRule="auto"/>
        <w:ind w:left="483" w:leftChars="230" w:firstLine="560" w:firstLineChars="200"/>
        <w:jc w:val="right"/>
        <w:rPr>
          <w:rFonts w:ascii="仿宋_GB2312" w:hAnsi="仿宋_GB2312" w:eastAsia="仿宋_GB2312" w:cs="仿宋_GB2312"/>
          <w:sz w:val="28"/>
          <w:szCs w:val="28"/>
        </w:rPr>
      </w:pPr>
    </w:p>
    <w:p>
      <w:pPr>
        <w:spacing w:line="360" w:lineRule="auto"/>
        <w:ind w:left="483" w:leftChars="23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南阳市政府采购中心</w:t>
      </w:r>
    </w:p>
    <w:p>
      <w:pPr>
        <w:adjustRightInd w:val="0"/>
        <w:snapToGrid w:val="0"/>
        <w:spacing w:line="360" w:lineRule="auto"/>
        <w:jc w:val="center"/>
        <w:rPr>
          <w:rFonts w:ascii="仿宋_GB2312" w:hAnsi="宋体" w:eastAsia="仿宋_GB2312"/>
          <w:sz w:val="24"/>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2023年</w:t>
      </w:r>
      <w:r>
        <w:rPr>
          <w:rFonts w:ascii="仿宋_GB2312" w:hAnsi="仿宋_GB2312" w:eastAsia="仿宋_GB2312" w:cs="仿宋_GB2312"/>
          <w:color w:val="000000" w:themeColor="text1"/>
          <w:sz w:val="28"/>
          <w:szCs w:val="28"/>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bookmarkStart w:id="166" w:name="_GoBack"/>
      <w:bookmarkEnd w:id="166"/>
    </w:p>
    <w:p>
      <w:pPr>
        <w:pageBreakBefore/>
        <w:adjustRightInd w:val="0"/>
        <w:snapToGrid w:val="0"/>
        <w:spacing w:line="360" w:lineRule="auto"/>
        <w:jc w:val="center"/>
        <w:rPr>
          <w:b/>
          <w:bCs/>
          <w:color w:val="000000"/>
          <w:spacing w:val="20"/>
          <w:sz w:val="36"/>
          <w:szCs w:val="36"/>
        </w:rPr>
      </w:pPr>
      <w:r>
        <w:rPr>
          <w:rFonts w:hint="eastAsia"/>
          <w:b/>
          <w:bCs/>
          <w:color w:val="000000"/>
          <w:spacing w:val="4"/>
          <w:sz w:val="36"/>
          <w:szCs w:val="36"/>
        </w:rPr>
        <w:t>第二部分</w:t>
      </w:r>
      <w:r>
        <w:rPr>
          <w:rFonts w:hint="eastAsia"/>
          <w:b/>
          <w:bCs/>
          <w:color w:val="000000"/>
          <w:spacing w:val="20"/>
          <w:sz w:val="36"/>
          <w:szCs w:val="36"/>
        </w:rPr>
        <w:t>项目内容及要求</w:t>
      </w:r>
    </w:p>
    <w:p>
      <w:pPr>
        <w:spacing w:line="360" w:lineRule="auto"/>
        <w:rPr>
          <w:rFonts w:ascii="宋体" w:hAnsi="宋体"/>
          <w:b/>
          <w:color w:val="000000"/>
          <w:sz w:val="28"/>
          <w:szCs w:val="28"/>
        </w:rPr>
      </w:pPr>
    </w:p>
    <w:p>
      <w:pPr>
        <w:spacing w:line="360" w:lineRule="auto"/>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一、采购内容及要求</w:t>
      </w:r>
    </w:p>
    <w:tbl>
      <w:tblPr>
        <w:tblStyle w:val="11"/>
        <w:tblpPr w:leftFromText="180" w:rightFromText="180" w:vertAnchor="text" w:horzAnchor="page" w:tblpX="1808" w:tblpY="629"/>
        <w:tblOverlap w:val="never"/>
        <w:tblW w:w="8978" w:type="dxa"/>
        <w:tblInd w:w="0" w:type="dxa"/>
        <w:tblLayout w:type="fixed"/>
        <w:tblCellMar>
          <w:top w:w="0" w:type="dxa"/>
          <w:left w:w="108" w:type="dxa"/>
          <w:bottom w:w="0" w:type="dxa"/>
          <w:right w:w="108" w:type="dxa"/>
        </w:tblCellMar>
      </w:tblPr>
      <w:tblGrid>
        <w:gridCol w:w="540"/>
        <w:gridCol w:w="1267"/>
        <w:gridCol w:w="5752"/>
        <w:gridCol w:w="682"/>
        <w:gridCol w:w="737"/>
      </w:tblGrid>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序号</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设备名称</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技术参数规格</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数量</w:t>
            </w:r>
          </w:p>
        </w:tc>
      </w:tr>
      <w:tr>
        <w:tblPrEx>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校级人脸特征库平台</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1、平台基本功能</w:t>
            </w:r>
          </w:p>
          <w:p>
            <w:pPr>
              <w:widowControl/>
              <w:jc w:val="left"/>
              <w:textAlignment w:val="center"/>
              <w:rPr>
                <w:rFonts w:ascii="宋体" w:hAnsi="宋体" w:cs="宋体"/>
                <w:kern w:val="0"/>
                <w:szCs w:val="21"/>
              </w:rPr>
            </w:pPr>
            <w:r>
              <w:rPr>
                <w:rFonts w:hint="eastAsia" w:ascii="宋体" w:hAnsi="宋体" w:cs="宋体"/>
                <w:kern w:val="0"/>
                <w:szCs w:val="21"/>
              </w:rPr>
              <w:t>（1）组织架构管理</w:t>
            </w:r>
          </w:p>
          <w:p>
            <w:pPr>
              <w:widowControl/>
              <w:jc w:val="left"/>
              <w:textAlignment w:val="center"/>
              <w:rPr>
                <w:rFonts w:ascii="宋体" w:hAnsi="宋体" w:cs="宋体"/>
                <w:kern w:val="0"/>
                <w:szCs w:val="21"/>
              </w:rPr>
            </w:pPr>
            <w:r>
              <w:rPr>
                <w:rFonts w:hint="eastAsia" w:ascii="宋体" w:hAnsi="宋体" w:cs="宋体"/>
                <w:kern w:val="0"/>
                <w:szCs w:val="21"/>
              </w:rPr>
              <w:t>可根据学校的组织架构建立各个机构部门，系统支持多层多级部门管理，建立后的部门也可以根据需要进行编辑修改；为校园人员信息提供部门化分组管理；</w:t>
            </w:r>
          </w:p>
          <w:p>
            <w:pPr>
              <w:widowControl/>
              <w:jc w:val="left"/>
              <w:textAlignment w:val="center"/>
              <w:rPr>
                <w:rFonts w:ascii="宋体" w:hAnsi="宋体" w:cs="宋体"/>
                <w:kern w:val="0"/>
                <w:szCs w:val="21"/>
              </w:rPr>
            </w:pPr>
            <w:r>
              <w:rPr>
                <w:rFonts w:hint="eastAsia" w:ascii="宋体" w:hAnsi="宋体" w:cs="宋体"/>
                <w:kern w:val="0"/>
                <w:szCs w:val="21"/>
              </w:rPr>
              <w:t>（2）基础专业设置</w:t>
            </w:r>
          </w:p>
          <w:p>
            <w:pPr>
              <w:widowControl/>
              <w:jc w:val="left"/>
              <w:textAlignment w:val="center"/>
              <w:rPr>
                <w:rFonts w:ascii="宋体" w:hAnsi="宋体" w:cs="宋体"/>
                <w:kern w:val="0"/>
                <w:szCs w:val="21"/>
              </w:rPr>
            </w:pPr>
            <w:r>
              <w:rPr>
                <w:rFonts w:hint="eastAsia" w:ascii="宋体" w:hAnsi="宋体" w:cs="宋体"/>
                <w:kern w:val="0"/>
                <w:szCs w:val="21"/>
              </w:rPr>
              <w:t>可根据学校的专业配置建立各个专业类别，并可定义其具体属性与关联信息，如学制、专业级别、收费登记、备住信息等；</w:t>
            </w:r>
          </w:p>
          <w:p>
            <w:pPr>
              <w:widowControl/>
              <w:jc w:val="left"/>
              <w:textAlignment w:val="center"/>
              <w:rPr>
                <w:rFonts w:ascii="宋体" w:hAnsi="宋体" w:cs="宋体"/>
                <w:kern w:val="0"/>
                <w:szCs w:val="21"/>
              </w:rPr>
            </w:pPr>
            <w:r>
              <w:rPr>
                <w:rFonts w:hint="eastAsia" w:ascii="宋体" w:hAnsi="宋体" w:cs="宋体"/>
                <w:kern w:val="0"/>
                <w:szCs w:val="21"/>
              </w:rPr>
              <w:t>（3）校系专业管理</w:t>
            </w:r>
          </w:p>
          <w:p>
            <w:pPr>
              <w:widowControl/>
              <w:jc w:val="left"/>
              <w:textAlignment w:val="center"/>
              <w:rPr>
                <w:rFonts w:ascii="宋体" w:hAnsi="宋体" w:cs="宋体"/>
                <w:kern w:val="0"/>
                <w:szCs w:val="21"/>
              </w:rPr>
            </w:pPr>
            <w:r>
              <w:rPr>
                <w:rFonts w:hint="eastAsia" w:ascii="宋体" w:hAnsi="宋体" w:cs="宋体"/>
                <w:kern w:val="0"/>
                <w:szCs w:val="21"/>
              </w:rPr>
              <w:t>可根据学校的校系配置建立各个校系的基本信息与分类，并与其下属的专业类别进行关联，系统支持多层多级的配置管理；</w:t>
            </w:r>
          </w:p>
          <w:p>
            <w:pPr>
              <w:widowControl/>
              <w:jc w:val="left"/>
              <w:textAlignment w:val="center"/>
              <w:rPr>
                <w:rFonts w:ascii="宋体" w:hAnsi="宋体" w:cs="宋体"/>
                <w:kern w:val="0"/>
                <w:szCs w:val="21"/>
              </w:rPr>
            </w:pPr>
            <w:r>
              <w:rPr>
                <w:rFonts w:hint="eastAsia" w:ascii="宋体" w:hAnsi="宋体" w:cs="宋体"/>
                <w:kern w:val="0"/>
                <w:szCs w:val="21"/>
              </w:rPr>
              <w:t>（4）院系专业班级导入</w:t>
            </w:r>
          </w:p>
          <w:p>
            <w:pPr>
              <w:widowControl/>
              <w:jc w:val="left"/>
              <w:textAlignment w:val="center"/>
              <w:rPr>
                <w:rFonts w:ascii="宋体" w:hAnsi="宋体" w:cs="宋体"/>
                <w:kern w:val="0"/>
                <w:szCs w:val="21"/>
              </w:rPr>
            </w:pPr>
            <w:r>
              <w:rPr>
                <w:rFonts w:hint="eastAsia" w:ascii="宋体" w:hAnsi="宋体" w:cs="宋体"/>
                <w:kern w:val="0"/>
                <w:szCs w:val="21"/>
              </w:rPr>
              <w:t>可通过文本格式导入的方式完成院系、专业、班级等信息建立，从而减少人工配置的工作量，提升系统基础数据编辑的工作效率；</w:t>
            </w:r>
          </w:p>
          <w:p>
            <w:pPr>
              <w:widowControl/>
              <w:jc w:val="left"/>
              <w:textAlignment w:val="center"/>
              <w:rPr>
                <w:rFonts w:ascii="宋体" w:hAnsi="宋体" w:cs="宋体"/>
                <w:kern w:val="0"/>
                <w:szCs w:val="21"/>
              </w:rPr>
            </w:pPr>
            <w:r>
              <w:rPr>
                <w:rFonts w:hint="eastAsia" w:ascii="宋体" w:hAnsi="宋体" w:cs="宋体"/>
                <w:kern w:val="0"/>
                <w:szCs w:val="21"/>
              </w:rPr>
              <w:t>（5）班级信息维护</w:t>
            </w:r>
          </w:p>
          <w:p>
            <w:pPr>
              <w:widowControl/>
              <w:jc w:val="left"/>
              <w:textAlignment w:val="center"/>
              <w:rPr>
                <w:rFonts w:ascii="宋体" w:hAnsi="宋体" w:cs="宋体"/>
                <w:kern w:val="0"/>
                <w:szCs w:val="21"/>
              </w:rPr>
            </w:pPr>
            <w:r>
              <w:rPr>
                <w:rFonts w:hint="eastAsia" w:ascii="宋体" w:hAnsi="宋体" w:cs="宋体"/>
                <w:kern w:val="0"/>
                <w:szCs w:val="21"/>
              </w:rPr>
              <w:t>可查询、编辑、删除班级信息，内容包括班级代号、班级名称、校区名称、系名称、专业名称、学制、第几级、第几届、班主任等；</w:t>
            </w:r>
          </w:p>
          <w:p>
            <w:pPr>
              <w:widowControl/>
              <w:jc w:val="left"/>
              <w:textAlignment w:val="center"/>
              <w:rPr>
                <w:rFonts w:ascii="宋体" w:hAnsi="宋体" w:cs="宋体"/>
                <w:kern w:val="0"/>
                <w:szCs w:val="21"/>
              </w:rPr>
            </w:pPr>
            <w:r>
              <w:rPr>
                <w:rFonts w:hint="eastAsia" w:ascii="宋体" w:hAnsi="宋体" w:cs="宋体"/>
                <w:kern w:val="0"/>
                <w:szCs w:val="21"/>
              </w:rPr>
              <w:t>（6）教职工信息管理</w:t>
            </w:r>
          </w:p>
          <w:p>
            <w:pPr>
              <w:widowControl/>
              <w:jc w:val="left"/>
              <w:textAlignment w:val="center"/>
              <w:rPr>
                <w:rFonts w:ascii="宋体" w:hAnsi="宋体" w:cs="宋体"/>
                <w:kern w:val="0"/>
                <w:szCs w:val="21"/>
              </w:rPr>
            </w:pPr>
            <w:r>
              <w:rPr>
                <w:rFonts w:hint="eastAsia" w:ascii="宋体" w:hAnsi="宋体" w:cs="宋体"/>
                <w:kern w:val="0"/>
                <w:szCs w:val="21"/>
              </w:rPr>
              <w:t xml:space="preserve">可查询、编辑、删除教职工基本信息，内容包括工号、姓名、照片、性别、生日、所在部门、岗位/职务、固定电话、手机号码、电子邮箱等； </w:t>
            </w:r>
          </w:p>
          <w:p>
            <w:pPr>
              <w:widowControl/>
              <w:jc w:val="left"/>
              <w:textAlignment w:val="center"/>
              <w:rPr>
                <w:rFonts w:ascii="宋体" w:hAnsi="宋体" w:cs="宋体"/>
                <w:kern w:val="0"/>
                <w:szCs w:val="21"/>
              </w:rPr>
            </w:pPr>
            <w:r>
              <w:rPr>
                <w:rFonts w:hint="eastAsia" w:ascii="宋体" w:hAnsi="宋体" w:cs="宋体"/>
                <w:kern w:val="0"/>
                <w:szCs w:val="21"/>
              </w:rPr>
              <w:t>（7）学生信息管理</w:t>
            </w:r>
          </w:p>
          <w:p>
            <w:pPr>
              <w:widowControl/>
              <w:jc w:val="left"/>
              <w:textAlignment w:val="center"/>
              <w:rPr>
                <w:rFonts w:ascii="宋体" w:hAnsi="宋体" w:cs="宋体"/>
                <w:kern w:val="0"/>
                <w:szCs w:val="21"/>
              </w:rPr>
            </w:pPr>
            <w:r>
              <w:rPr>
                <w:rFonts w:hint="eastAsia" w:ascii="宋体" w:hAnsi="宋体" w:cs="宋体"/>
                <w:kern w:val="0"/>
                <w:szCs w:val="21"/>
              </w:rPr>
              <w:t>可查询、编辑、删除学生基本信息，内容包括学号、姓名、照片、性别、出生日期、民族、校区名称、系部名称、专业、班级名称等；</w:t>
            </w:r>
          </w:p>
          <w:p>
            <w:pPr>
              <w:widowControl/>
              <w:jc w:val="left"/>
              <w:textAlignment w:val="center"/>
              <w:rPr>
                <w:rFonts w:ascii="宋体" w:hAnsi="宋体" w:cs="宋体"/>
                <w:kern w:val="0"/>
                <w:szCs w:val="21"/>
              </w:rPr>
            </w:pPr>
            <w:r>
              <w:rPr>
                <w:rFonts w:hint="eastAsia" w:ascii="宋体" w:hAnsi="宋体" w:cs="宋体"/>
                <w:kern w:val="0"/>
                <w:szCs w:val="21"/>
              </w:rPr>
              <w:t>（8）教职工信息导入</w:t>
            </w:r>
          </w:p>
          <w:p>
            <w:pPr>
              <w:widowControl/>
              <w:jc w:val="left"/>
              <w:textAlignment w:val="center"/>
              <w:rPr>
                <w:rFonts w:ascii="宋体" w:hAnsi="宋体" w:cs="宋体"/>
                <w:kern w:val="0"/>
                <w:szCs w:val="21"/>
              </w:rPr>
            </w:pPr>
            <w:r>
              <w:rPr>
                <w:rFonts w:hint="eastAsia" w:ascii="宋体" w:hAnsi="宋体" w:cs="宋体"/>
                <w:kern w:val="0"/>
                <w:szCs w:val="21"/>
              </w:rPr>
              <w:t xml:space="preserve">可通过Excel文件导入教职工基本信息，内容包括工号、姓名、身份证号、性别、部门、职务、手机号、通行权限等； </w:t>
            </w:r>
          </w:p>
          <w:p>
            <w:pPr>
              <w:widowControl/>
              <w:jc w:val="left"/>
              <w:textAlignment w:val="center"/>
              <w:rPr>
                <w:rFonts w:ascii="宋体" w:hAnsi="宋体" w:cs="宋体"/>
                <w:kern w:val="0"/>
                <w:szCs w:val="21"/>
              </w:rPr>
            </w:pPr>
            <w:r>
              <w:rPr>
                <w:rFonts w:hint="eastAsia" w:ascii="宋体" w:hAnsi="宋体" w:cs="宋体"/>
                <w:kern w:val="0"/>
                <w:szCs w:val="21"/>
              </w:rPr>
              <w:t>（9）学生信息导入</w:t>
            </w:r>
          </w:p>
          <w:p>
            <w:pPr>
              <w:widowControl/>
              <w:jc w:val="left"/>
              <w:textAlignment w:val="center"/>
              <w:rPr>
                <w:rFonts w:ascii="宋体" w:hAnsi="宋体" w:cs="宋体"/>
                <w:kern w:val="0"/>
                <w:szCs w:val="21"/>
              </w:rPr>
            </w:pPr>
            <w:r>
              <w:rPr>
                <w:rFonts w:hint="eastAsia" w:ascii="宋体" w:hAnsi="宋体" w:cs="宋体"/>
                <w:kern w:val="0"/>
                <w:szCs w:val="21"/>
              </w:rPr>
              <w:t>可通过Excel文件导入学生信息，内容包括学号、姓名、身份证号、性别、专业、年级、班级、手机号等；</w:t>
            </w:r>
          </w:p>
          <w:p>
            <w:pPr>
              <w:widowControl/>
              <w:jc w:val="left"/>
              <w:textAlignment w:val="center"/>
              <w:rPr>
                <w:rFonts w:ascii="宋体" w:hAnsi="宋体" w:cs="宋体"/>
                <w:kern w:val="0"/>
                <w:szCs w:val="21"/>
              </w:rPr>
            </w:pPr>
            <w:r>
              <w:rPr>
                <w:rFonts w:hint="eastAsia" w:ascii="宋体" w:hAnsi="宋体" w:cs="宋体"/>
                <w:kern w:val="0"/>
                <w:szCs w:val="21"/>
              </w:rPr>
              <w:t>（10）照片库维护</w:t>
            </w:r>
          </w:p>
          <w:p>
            <w:pPr>
              <w:widowControl/>
              <w:jc w:val="left"/>
              <w:textAlignment w:val="center"/>
              <w:rPr>
                <w:rFonts w:ascii="宋体" w:hAnsi="宋体" w:cs="宋体"/>
                <w:kern w:val="0"/>
                <w:szCs w:val="21"/>
              </w:rPr>
            </w:pPr>
            <w:r>
              <w:rPr>
                <w:rFonts w:hint="eastAsia" w:ascii="宋体" w:hAnsi="宋体" w:cs="宋体"/>
                <w:kern w:val="0"/>
                <w:szCs w:val="21"/>
              </w:rPr>
              <w:t>可查询、导出系统人员照片库信息，内容包括人员照片、照片尺寸、像素、生物特征质量、性别、年龄、人员姓名、人员类别、人员编号、上传时间等；</w:t>
            </w:r>
          </w:p>
          <w:p>
            <w:pPr>
              <w:widowControl/>
              <w:jc w:val="left"/>
              <w:textAlignment w:val="center"/>
              <w:rPr>
                <w:rFonts w:ascii="宋体" w:hAnsi="宋体" w:cs="宋体"/>
                <w:kern w:val="0"/>
                <w:szCs w:val="21"/>
              </w:rPr>
            </w:pPr>
            <w:r>
              <w:rPr>
                <w:rFonts w:hint="eastAsia" w:ascii="宋体" w:hAnsi="宋体" w:cs="宋体"/>
                <w:kern w:val="0"/>
                <w:szCs w:val="21"/>
              </w:rPr>
              <w:t>2、性能要求</w:t>
            </w:r>
          </w:p>
          <w:p>
            <w:pPr>
              <w:widowControl/>
              <w:jc w:val="left"/>
              <w:textAlignment w:val="center"/>
              <w:rPr>
                <w:rFonts w:ascii="宋体" w:hAnsi="宋体" w:cs="宋体"/>
                <w:kern w:val="0"/>
                <w:szCs w:val="21"/>
              </w:rPr>
            </w:pPr>
            <w:r>
              <w:rPr>
                <w:rFonts w:hint="eastAsia" w:ascii="宋体" w:hAnsi="宋体" w:cs="宋体"/>
                <w:kern w:val="0"/>
                <w:szCs w:val="21"/>
              </w:rPr>
              <w:t>支持不低于10万张人脸底库容量。</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人脸识别智慧公寓管理系统</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平台基本功能</w:t>
            </w:r>
          </w:p>
          <w:p>
            <w:pPr>
              <w:widowControl/>
              <w:jc w:val="left"/>
              <w:textAlignment w:val="center"/>
              <w:rPr>
                <w:rFonts w:ascii="宋体" w:hAnsi="宋体" w:cs="宋体"/>
                <w:kern w:val="0"/>
                <w:szCs w:val="21"/>
              </w:rPr>
            </w:pPr>
            <w:r>
              <w:rPr>
                <w:rFonts w:hint="eastAsia" w:ascii="宋体" w:hAnsi="宋体" w:cs="宋体"/>
                <w:kern w:val="0"/>
                <w:szCs w:val="21"/>
              </w:rPr>
              <w:t>（1）系统控制台</w:t>
            </w:r>
          </w:p>
          <w:p>
            <w:pPr>
              <w:widowControl/>
              <w:jc w:val="left"/>
              <w:textAlignment w:val="center"/>
              <w:rPr>
                <w:rFonts w:ascii="宋体" w:hAnsi="宋体" w:cs="宋体"/>
                <w:kern w:val="0"/>
                <w:szCs w:val="21"/>
              </w:rPr>
            </w:pPr>
            <w:r>
              <w:rPr>
                <w:rFonts w:hint="eastAsia" w:ascii="宋体" w:hAnsi="宋体" w:cs="宋体"/>
                <w:kern w:val="0"/>
                <w:szCs w:val="21"/>
              </w:rPr>
              <w:t>在系统控制台预览页面中，用户可以一览系统的图形化数据报表，内容包括学生数量信息、通行记录统计信息、数据比例图、数据波形图等；</w:t>
            </w:r>
          </w:p>
          <w:p>
            <w:pPr>
              <w:widowControl/>
              <w:jc w:val="left"/>
              <w:textAlignment w:val="center"/>
              <w:rPr>
                <w:rFonts w:ascii="宋体" w:hAnsi="宋体" w:cs="宋体"/>
                <w:kern w:val="0"/>
                <w:szCs w:val="21"/>
              </w:rPr>
            </w:pPr>
            <w:r>
              <w:rPr>
                <w:rFonts w:hint="eastAsia" w:ascii="宋体" w:hAnsi="宋体" w:cs="宋体"/>
                <w:kern w:val="0"/>
                <w:szCs w:val="21"/>
              </w:rPr>
              <w:t>（2）教职工信息管理</w:t>
            </w:r>
          </w:p>
          <w:p>
            <w:pPr>
              <w:widowControl/>
              <w:jc w:val="left"/>
              <w:textAlignment w:val="center"/>
              <w:rPr>
                <w:rFonts w:ascii="宋体" w:hAnsi="宋体" w:cs="宋体"/>
                <w:kern w:val="0"/>
                <w:szCs w:val="21"/>
              </w:rPr>
            </w:pPr>
            <w:r>
              <w:rPr>
                <w:rFonts w:hint="eastAsia" w:ascii="宋体" w:hAnsi="宋体" w:cs="宋体"/>
                <w:kern w:val="0"/>
                <w:szCs w:val="21"/>
              </w:rPr>
              <w:t>教职工基本信息建立与管理，可预览或编辑的内容包括部门信息、职位信息和个人基本信息等，本项数据作为教职工的基本信息库，同时也为其他扩展业务应用提供数据基础；</w:t>
            </w:r>
          </w:p>
          <w:p>
            <w:pPr>
              <w:widowControl/>
              <w:jc w:val="left"/>
              <w:textAlignment w:val="center"/>
              <w:rPr>
                <w:rFonts w:ascii="宋体" w:hAnsi="宋体" w:cs="宋体"/>
                <w:kern w:val="0"/>
                <w:szCs w:val="21"/>
              </w:rPr>
            </w:pPr>
            <w:r>
              <w:rPr>
                <w:rFonts w:hint="eastAsia" w:ascii="宋体" w:hAnsi="宋体" w:cs="宋体"/>
                <w:kern w:val="0"/>
                <w:szCs w:val="21"/>
              </w:rPr>
              <w:t>（3）教职工信息导入</w:t>
            </w:r>
          </w:p>
          <w:p>
            <w:pPr>
              <w:widowControl/>
              <w:jc w:val="left"/>
              <w:textAlignment w:val="center"/>
              <w:rPr>
                <w:rFonts w:ascii="宋体" w:hAnsi="宋体" w:cs="宋体"/>
                <w:kern w:val="0"/>
                <w:szCs w:val="21"/>
              </w:rPr>
            </w:pPr>
            <w:r>
              <w:rPr>
                <w:rFonts w:hint="eastAsia" w:ascii="宋体" w:hAnsi="宋体" w:cs="宋体"/>
                <w:kern w:val="0"/>
                <w:szCs w:val="21"/>
              </w:rPr>
              <w:t>可实现教职工人员信息批量导入，从而减少人工录入的工作量，提升数据编辑的效率，系统可支持一次性导入数万条人员信息；</w:t>
            </w:r>
          </w:p>
          <w:p>
            <w:pPr>
              <w:widowControl/>
              <w:jc w:val="left"/>
              <w:textAlignment w:val="center"/>
              <w:rPr>
                <w:rFonts w:ascii="宋体" w:hAnsi="宋体" w:cs="宋体"/>
                <w:kern w:val="0"/>
                <w:szCs w:val="21"/>
              </w:rPr>
            </w:pPr>
            <w:r>
              <w:rPr>
                <w:rFonts w:hint="eastAsia" w:ascii="宋体" w:hAnsi="宋体" w:cs="宋体"/>
                <w:kern w:val="0"/>
                <w:szCs w:val="21"/>
              </w:rPr>
              <w:t>（4）教职工通行权限管理</w:t>
            </w:r>
          </w:p>
          <w:p>
            <w:pPr>
              <w:widowControl/>
              <w:jc w:val="left"/>
              <w:textAlignment w:val="center"/>
              <w:rPr>
                <w:rFonts w:ascii="宋体" w:hAnsi="宋体" w:cs="宋体"/>
                <w:kern w:val="0"/>
                <w:szCs w:val="21"/>
              </w:rPr>
            </w:pPr>
            <w:r>
              <w:rPr>
                <w:rFonts w:hint="eastAsia" w:ascii="宋体" w:hAnsi="宋体" w:cs="宋体"/>
                <w:kern w:val="0"/>
                <w:szCs w:val="21"/>
              </w:rPr>
              <w:t>可对教职工人员实现门禁权限分配，权限分配完成后，教职工个人仅能够拥有指定的门禁通行权限，对于没有授权使用的宿舍门禁，将无法通行；通过本功能的实现，可在一定程度上提升学工管理的效能，降低异常事件发生概率；</w:t>
            </w:r>
          </w:p>
          <w:p>
            <w:pPr>
              <w:widowControl/>
              <w:jc w:val="left"/>
              <w:textAlignment w:val="center"/>
              <w:rPr>
                <w:rFonts w:ascii="宋体" w:hAnsi="宋体" w:cs="宋体"/>
                <w:kern w:val="0"/>
                <w:szCs w:val="21"/>
              </w:rPr>
            </w:pPr>
            <w:r>
              <w:rPr>
                <w:rFonts w:hint="eastAsia" w:ascii="宋体" w:hAnsi="宋体" w:cs="宋体"/>
                <w:kern w:val="0"/>
                <w:szCs w:val="21"/>
              </w:rPr>
              <w:t>（5）教职工通行权限查询</w:t>
            </w:r>
          </w:p>
          <w:p>
            <w:pPr>
              <w:widowControl/>
              <w:jc w:val="left"/>
              <w:textAlignment w:val="center"/>
              <w:rPr>
                <w:rFonts w:ascii="宋体" w:hAnsi="宋体" w:cs="宋体"/>
                <w:kern w:val="0"/>
                <w:szCs w:val="21"/>
              </w:rPr>
            </w:pPr>
            <w:r>
              <w:rPr>
                <w:rFonts w:hint="eastAsia" w:ascii="宋体" w:hAnsi="宋体" w:cs="宋体"/>
                <w:kern w:val="0"/>
                <w:szCs w:val="21"/>
              </w:rPr>
              <w:t>可查询教职工门禁通行权限和与其关联的信息明细，系统呈列表化界面预览，数据清晰明了；</w:t>
            </w:r>
          </w:p>
          <w:p>
            <w:pPr>
              <w:widowControl/>
              <w:jc w:val="left"/>
              <w:textAlignment w:val="center"/>
              <w:rPr>
                <w:rFonts w:ascii="宋体" w:hAnsi="宋体" w:cs="宋体"/>
                <w:kern w:val="0"/>
                <w:szCs w:val="21"/>
              </w:rPr>
            </w:pPr>
            <w:r>
              <w:rPr>
                <w:rFonts w:hint="eastAsia" w:ascii="宋体" w:hAnsi="宋体" w:cs="宋体"/>
                <w:kern w:val="0"/>
                <w:szCs w:val="21"/>
              </w:rPr>
              <w:t>（6）教职工照片批量上传</w:t>
            </w:r>
          </w:p>
          <w:p>
            <w:pPr>
              <w:widowControl/>
              <w:jc w:val="left"/>
              <w:textAlignment w:val="center"/>
              <w:rPr>
                <w:rFonts w:ascii="宋体" w:hAnsi="宋体" w:cs="宋体"/>
                <w:kern w:val="0"/>
                <w:szCs w:val="21"/>
              </w:rPr>
            </w:pPr>
            <w:r>
              <w:rPr>
                <w:rFonts w:hint="eastAsia" w:ascii="宋体" w:hAnsi="宋体" w:cs="宋体"/>
                <w:kern w:val="0"/>
                <w:szCs w:val="21"/>
              </w:rPr>
              <w:t>可实现教职工个人照片批量上传，并自动同步至系统前端人脸识别设备，用户可以一次性完成教职工人员的照片批量导入，从而减少人工录入的工作量，提升数据编辑的效率，系统可支持一次性导入数万个人员照片信息；</w:t>
            </w:r>
          </w:p>
          <w:p>
            <w:pPr>
              <w:widowControl/>
              <w:jc w:val="left"/>
              <w:textAlignment w:val="center"/>
              <w:rPr>
                <w:rFonts w:ascii="宋体" w:hAnsi="宋体" w:cs="宋体"/>
                <w:kern w:val="0"/>
                <w:szCs w:val="21"/>
              </w:rPr>
            </w:pPr>
            <w:r>
              <w:rPr>
                <w:rFonts w:hint="eastAsia" w:ascii="宋体" w:hAnsi="宋体" w:cs="宋体"/>
                <w:kern w:val="0"/>
                <w:szCs w:val="21"/>
              </w:rPr>
              <w:t>（7）学生信息管理</w:t>
            </w:r>
          </w:p>
          <w:p>
            <w:pPr>
              <w:widowControl/>
              <w:jc w:val="left"/>
              <w:textAlignment w:val="center"/>
              <w:rPr>
                <w:rFonts w:ascii="宋体" w:hAnsi="宋体" w:cs="宋体"/>
                <w:kern w:val="0"/>
                <w:szCs w:val="21"/>
              </w:rPr>
            </w:pPr>
            <w:r>
              <w:rPr>
                <w:rFonts w:hint="eastAsia" w:ascii="宋体" w:hAnsi="宋体" w:cs="宋体"/>
                <w:kern w:val="0"/>
                <w:szCs w:val="21"/>
              </w:rPr>
              <w:t>学生基本信息建立与管理，可预览或编辑的内容包括个人基本信息、学籍相关信息等，本项数据作为学生的基本信息库，同时也为其他扩展业务应用提供数据基础；</w:t>
            </w:r>
          </w:p>
          <w:p>
            <w:pPr>
              <w:widowControl/>
              <w:jc w:val="left"/>
              <w:textAlignment w:val="center"/>
              <w:rPr>
                <w:rFonts w:ascii="宋体" w:hAnsi="宋体" w:cs="宋体"/>
                <w:kern w:val="0"/>
                <w:szCs w:val="21"/>
              </w:rPr>
            </w:pPr>
            <w:r>
              <w:rPr>
                <w:rFonts w:hint="eastAsia" w:ascii="宋体" w:hAnsi="宋体" w:cs="宋体"/>
                <w:kern w:val="0"/>
                <w:szCs w:val="21"/>
              </w:rPr>
              <w:t>（8）学生信息导入</w:t>
            </w:r>
          </w:p>
          <w:p>
            <w:pPr>
              <w:widowControl/>
              <w:jc w:val="left"/>
              <w:textAlignment w:val="center"/>
              <w:rPr>
                <w:rFonts w:ascii="宋体" w:hAnsi="宋体" w:cs="宋体"/>
                <w:kern w:val="0"/>
                <w:szCs w:val="21"/>
              </w:rPr>
            </w:pPr>
            <w:r>
              <w:rPr>
                <w:rFonts w:hint="eastAsia" w:ascii="宋体" w:hAnsi="宋体" w:cs="宋体"/>
                <w:kern w:val="0"/>
                <w:szCs w:val="21"/>
              </w:rPr>
              <w:t>可实现学生人员信息批量导入，从而减少人工录入的工作量，提升数据编辑的效率，系统可支持一次性导入数万条人员信息；</w:t>
            </w:r>
          </w:p>
          <w:p>
            <w:pPr>
              <w:widowControl/>
              <w:jc w:val="left"/>
              <w:textAlignment w:val="center"/>
              <w:rPr>
                <w:rFonts w:ascii="宋体" w:hAnsi="宋体" w:cs="宋体"/>
                <w:kern w:val="0"/>
                <w:szCs w:val="21"/>
              </w:rPr>
            </w:pPr>
            <w:r>
              <w:rPr>
                <w:rFonts w:hint="eastAsia" w:ascii="宋体" w:hAnsi="宋体" w:cs="宋体"/>
                <w:kern w:val="0"/>
                <w:szCs w:val="21"/>
              </w:rPr>
              <w:t>2、性能要求</w:t>
            </w:r>
          </w:p>
          <w:p>
            <w:pPr>
              <w:widowControl/>
              <w:jc w:val="left"/>
              <w:textAlignment w:val="center"/>
              <w:rPr>
                <w:rFonts w:ascii="宋体" w:hAnsi="宋体" w:cs="宋体"/>
                <w:kern w:val="0"/>
                <w:szCs w:val="21"/>
              </w:rPr>
            </w:pPr>
            <w:r>
              <w:rPr>
                <w:rFonts w:hint="eastAsia" w:ascii="宋体" w:hAnsi="宋体" w:cs="宋体"/>
                <w:kern w:val="0"/>
                <w:szCs w:val="21"/>
              </w:rPr>
              <w:t>（1）支持不低于10万张人脸底库容量；</w:t>
            </w:r>
          </w:p>
          <w:p>
            <w:pPr>
              <w:widowControl/>
              <w:jc w:val="left"/>
              <w:textAlignment w:val="center"/>
              <w:rPr>
                <w:rFonts w:ascii="宋体" w:hAnsi="宋体" w:cs="宋体"/>
                <w:kern w:val="0"/>
                <w:szCs w:val="21"/>
              </w:rPr>
            </w:pPr>
            <w:r>
              <w:rPr>
                <w:rFonts w:hint="eastAsia" w:ascii="宋体" w:hAnsi="宋体" w:cs="宋体"/>
                <w:kern w:val="0"/>
                <w:szCs w:val="21"/>
              </w:rPr>
              <w:t>（2）支持不少于100万条记录数据容量。</w:t>
            </w:r>
          </w:p>
          <w:p>
            <w:pPr>
              <w:widowControl/>
              <w:jc w:val="left"/>
              <w:textAlignment w:val="center"/>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、宿舍管控基础功能</w:t>
            </w:r>
          </w:p>
          <w:p>
            <w:pPr>
              <w:widowControl/>
              <w:jc w:val="left"/>
              <w:textAlignment w:val="center"/>
              <w:rPr>
                <w:rFonts w:ascii="宋体" w:hAnsi="宋体" w:cs="宋体"/>
                <w:kern w:val="0"/>
                <w:szCs w:val="21"/>
              </w:rPr>
            </w:pPr>
            <w:r>
              <w:rPr>
                <w:rFonts w:hint="eastAsia" w:ascii="宋体" w:hAnsi="宋体" w:cs="宋体"/>
                <w:kern w:val="0"/>
                <w:szCs w:val="21"/>
              </w:rPr>
              <w:t>（1）系统管理：实现校园组织架构管理，根据组织架构及使用需求，进行角色权限定义和管理，及用户管理角色和权限分配。并记录用户登录系统日志管理。</w:t>
            </w:r>
          </w:p>
          <w:p>
            <w:pPr>
              <w:widowControl/>
              <w:numPr>
                <w:ilvl w:val="0"/>
                <w:numId w:val="0"/>
              </w:numPr>
              <w:ind w:leftChars="0"/>
              <w:jc w:val="left"/>
              <w:textAlignment w:val="center"/>
              <w:rPr>
                <w:rFonts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rPr>
              <w:t>基础信息配置："组织结构信息配置，系统提供输入、模板导入、第三方服务器同步等模式实现组织结构信息的配置。</w:t>
            </w:r>
          </w:p>
          <w:p>
            <w:pPr>
              <w:widowControl/>
              <w:numPr>
                <w:ilvl w:val="0"/>
                <w:numId w:val="0"/>
              </w:numPr>
              <w:ind w:leftChars="0"/>
              <w:jc w:val="left"/>
              <w:textAlignment w:val="center"/>
              <w:rPr>
                <w:rFonts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3</w:t>
            </w:r>
            <w:r>
              <w:rPr>
                <w:rFonts w:hint="eastAsia" w:ascii="宋体" w:hAnsi="宋体" w:cs="宋体"/>
                <w:kern w:val="0"/>
                <w:szCs w:val="21"/>
                <w:lang w:eastAsia="zh-CN"/>
              </w:rPr>
              <w:t>）</w:t>
            </w:r>
            <w:r>
              <w:rPr>
                <w:rFonts w:hint="eastAsia" w:ascii="宋体" w:hAnsi="宋体" w:cs="宋体"/>
                <w:kern w:val="0"/>
                <w:szCs w:val="21"/>
              </w:rPr>
              <w:t>楼宇信息设置，系统提供录入、导入或与第三方系统集成对接等方式实现楼宇信息的配置管理。"</w:t>
            </w:r>
          </w:p>
          <w:p>
            <w:pPr>
              <w:widowControl/>
              <w:jc w:val="left"/>
              <w:textAlignment w:val="center"/>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师生信息管理：实现老师和学生基本信息展示和查询功能。系统提供导入或与第三方系统集成对接的方式，实现师生信息的配置管理。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ascii="宋体" w:hAnsi="宋体" w:cs="宋体"/>
                <w:kern w:val="0"/>
                <w:szCs w:val="21"/>
              </w:rPr>
              <w:t>大数据可视化分析平台（领导驾驶舱）</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1、出入统计功能</w:t>
            </w:r>
          </w:p>
          <w:p>
            <w:pPr>
              <w:widowControl/>
              <w:jc w:val="left"/>
              <w:textAlignment w:val="center"/>
              <w:rPr>
                <w:rFonts w:ascii="宋体" w:hAnsi="宋体" w:cs="宋体"/>
                <w:kern w:val="0"/>
                <w:szCs w:val="21"/>
              </w:rPr>
            </w:pPr>
            <w:r>
              <w:rPr>
                <w:rFonts w:hint="eastAsia" w:ascii="宋体" w:hAnsi="宋体" w:cs="宋体"/>
                <w:kern w:val="0"/>
                <w:szCs w:val="21"/>
              </w:rPr>
              <w:t>支持统计院系出入信息、楼栋出入信息、院系在寝时间统计、楼栋在寝时间统计、轨迹查询等，出入信息可以按照时间统计需要查询的出入数据，并支持渐进式报表查询功能，能够直观查看总人数、实习人数、请假人数、异常人数、晚归、未出、未归、陌生人的总人数，汇总数据展开可以快速查看对应的明细数据，明细数据可以查看对应人员的详细信息、违规汇总、近期进出、近期违规、近期请假及近期预警的相关数据，方便辅导员及管理人员的数据查询。支持按照楼栋、院系维度查询平均在寝时间数据，支持按照时间进行检索并预设多种时间条件供选择，支持查询多天无通过记录的人员数据功能，支持按部门及宿舍查询人员在寝时间汇总统计功能，支持查询人员的出入轨迹能够按时间及通过状态显示数据记录，支持按时段统计人员出入记录并支持按部门或房间进行数据统计。</w:t>
            </w:r>
          </w:p>
          <w:p>
            <w:pPr>
              <w:widowControl/>
              <w:jc w:val="left"/>
              <w:textAlignment w:val="center"/>
              <w:rPr>
                <w:rFonts w:ascii="宋体" w:hAnsi="宋体" w:cs="宋体"/>
                <w:kern w:val="0"/>
                <w:szCs w:val="21"/>
              </w:rPr>
            </w:pPr>
            <w:r>
              <w:rPr>
                <w:rFonts w:hint="eastAsia" w:ascii="宋体" w:hAnsi="宋体" w:cs="宋体"/>
                <w:kern w:val="0"/>
                <w:szCs w:val="21"/>
              </w:rPr>
              <w:t>2、所有统计报表可以按照表格或图标的方式进行数据显示。</w:t>
            </w:r>
          </w:p>
          <w:p>
            <w:pPr>
              <w:widowControl/>
              <w:jc w:val="left"/>
              <w:textAlignment w:val="center"/>
              <w:rPr>
                <w:rFonts w:ascii="宋体" w:hAnsi="宋体" w:cs="宋体"/>
                <w:kern w:val="0"/>
                <w:szCs w:val="21"/>
              </w:rPr>
            </w:pPr>
            <w:r>
              <w:rPr>
                <w:rFonts w:hint="eastAsia" w:ascii="宋体" w:hAnsi="宋体" w:cs="宋体"/>
                <w:kern w:val="0"/>
                <w:szCs w:val="21"/>
              </w:rPr>
              <w:t>3、所有数据支持筛选数据或全部数据导出Excel功能，并需提供标准接口，供其他第三方获取数据。</w:t>
            </w:r>
          </w:p>
          <w:p>
            <w:pPr>
              <w:widowControl/>
              <w:jc w:val="left"/>
              <w:textAlignment w:val="center"/>
              <w:rPr>
                <w:rFonts w:ascii="宋体" w:hAnsi="宋体" w:cs="宋体"/>
                <w:kern w:val="0"/>
                <w:szCs w:val="21"/>
              </w:rPr>
            </w:pPr>
            <w:r>
              <w:rPr>
                <w:rFonts w:hint="eastAsia" w:ascii="宋体" w:hAnsi="宋体" w:cs="宋体"/>
                <w:kern w:val="0"/>
                <w:szCs w:val="21"/>
              </w:rPr>
              <w:t>4、时间查询条件预设最近三条、最近一周、最近一月、最近一年查询条件，方便操作人员的快速操作。</w:t>
            </w:r>
          </w:p>
          <w:p>
            <w:pPr>
              <w:widowControl/>
              <w:jc w:val="left"/>
              <w:textAlignment w:val="center"/>
              <w:rPr>
                <w:rFonts w:ascii="宋体" w:hAnsi="宋体" w:cs="宋体"/>
                <w:kern w:val="0"/>
                <w:szCs w:val="21"/>
              </w:rPr>
            </w:pPr>
            <w:r>
              <w:rPr>
                <w:rFonts w:hint="eastAsia" w:ascii="宋体" w:hAnsi="宋体" w:cs="宋体"/>
                <w:kern w:val="0"/>
                <w:szCs w:val="21"/>
              </w:rPr>
              <w:t>5、行为分析功能</w:t>
            </w:r>
          </w:p>
          <w:p>
            <w:pPr>
              <w:widowControl/>
              <w:jc w:val="left"/>
              <w:textAlignment w:val="center"/>
              <w:rPr>
                <w:rFonts w:ascii="宋体" w:hAnsi="宋体" w:cs="宋体"/>
                <w:kern w:val="0"/>
                <w:szCs w:val="21"/>
              </w:rPr>
            </w:pPr>
            <w:r>
              <w:rPr>
                <w:rFonts w:hint="eastAsia" w:ascii="宋体" w:hAnsi="宋体" w:cs="宋体"/>
                <w:kern w:val="0"/>
                <w:szCs w:val="21"/>
              </w:rPr>
              <w:t>对于超时未归人员自动形成预警数据并支持按照表格或图标的方式显示预警人员数据，预警行为数据可以按照时间快速查询院系行为预警、楼栋行为预警维度数据统计，数据展现应包含预警总数、预警处理总数、预警率及处理率等信息，预警数据可以直接点开查看预警人员的明细数据；</w:t>
            </w:r>
          </w:p>
          <w:p>
            <w:pPr>
              <w:widowControl/>
              <w:jc w:val="left"/>
              <w:textAlignment w:val="center"/>
              <w:rPr>
                <w:rFonts w:ascii="宋体" w:hAnsi="宋体" w:cs="宋体"/>
                <w:kern w:val="0"/>
                <w:szCs w:val="21"/>
              </w:rPr>
            </w:pPr>
            <w:r>
              <w:rPr>
                <w:rFonts w:hint="eastAsia" w:ascii="宋体" w:hAnsi="宋体" w:cs="宋体"/>
                <w:kern w:val="0"/>
                <w:szCs w:val="21"/>
              </w:rPr>
              <w:t>6、辅导员可以对预警人员进行手工标记处理并能够填写处理的原因，预警处理支持单个处理及批量处理，方便辅导员的日常操作提升工作效率。</w:t>
            </w:r>
          </w:p>
          <w:p>
            <w:pPr>
              <w:widowControl/>
              <w:jc w:val="left"/>
              <w:textAlignment w:val="center"/>
              <w:rPr>
                <w:rFonts w:ascii="宋体" w:hAnsi="宋体" w:cs="宋体"/>
                <w:kern w:val="0"/>
                <w:szCs w:val="21"/>
              </w:rPr>
            </w:pPr>
            <w:r>
              <w:rPr>
                <w:rFonts w:hint="eastAsia" w:ascii="宋体" w:hAnsi="宋体" w:cs="宋体"/>
                <w:kern w:val="0"/>
                <w:szCs w:val="21"/>
              </w:rPr>
              <w:t>7、异常统计功能</w:t>
            </w:r>
          </w:p>
          <w:p>
            <w:pPr>
              <w:widowControl/>
              <w:jc w:val="left"/>
              <w:textAlignment w:val="center"/>
              <w:rPr>
                <w:rFonts w:ascii="宋体" w:hAnsi="宋体" w:cs="宋体"/>
                <w:kern w:val="0"/>
                <w:szCs w:val="21"/>
              </w:rPr>
            </w:pPr>
            <w:r>
              <w:rPr>
                <w:rFonts w:hint="eastAsia" w:ascii="宋体" w:hAnsi="宋体" w:cs="宋体"/>
                <w:kern w:val="0"/>
                <w:szCs w:val="21"/>
              </w:rPr>
              <w:t>系统支持按照时间统计楼栋、院系异常数据，异常数据包含实习、请假、异常、晚归、未出、未归、陌生人的总人数；违规通过人员数据包含无权限进出入及陌生人出入数据汇总；未归人员数据包含未归人员总数，请假人数、未归人数及异常率等数据；晚归人员数据包含晚归人员总数及异常率等数据；</w:t>
            </w:r>
          </w:p>
          <w:p>
            <w:pPr>
              <w:widowControl/>
              <w:jc w:val="left"/>
              <w:textAlignment w:val="center"/>
              <w:rPr>
                <w:rFonts w:ascii="宋体" w:hAnsi="宋体" w:cs="宋体"/>
                <w:kern w:val="0"/>
                <w:szCs w:val="21"/>
              </w:rPr>
            </w:pPr>
            <w:r>
              <w:rPr>
                <w:rFonts w:hint="eastAsia" w:ascii="宋体" w:hAnsi="宋体" w:cs="宋体"/>
                <w:kern w:val="0"/>
                <w:szCs w:val="21"/>
              </w:rPr>
              <w:t>8、未归明细查询处理功能，系统对未归人员处理支持辅导员、学院领导、学工领导三级审批的功能，针对未归时间不同，系统自动推送给各级领导需要领导进行审阅。</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s>
              <w:jc w:val="left"/>
              <w:textAlignment w:val="center"/>
              <w:rPr>
                <w:szCs w:val="21"/>
              </w:rPr>
            </w:pPr>
            <w:r>
              <w:rPr>
                <w:rFonts w:hint="eastAsia"/>
                <w:szCs w:val="21"/>
              </w:rPr>
              <w:t>套</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s>
              <w:jc w:val="left"/>
              <w:textAlignment w:val="center"/>
              <w:rPr>
                <w:szCs w:val="21"/>
              </w:rPr>
            </w:pPr>
            <w:r>
              <w:rPr>
                <w:rFonts w:hint="eastAsia"/>
                <w:szCs w:val="21"/>
              </w:rPr>
              <w:t>1</w:t>
            </w:r>
          </w:p>
        </w:tc>
      </w:tr>
      <w:tr>
        <w:tblPrEx>
          <w:tblCellMar>
            <w:top w:w="0" w:type="dxa"/>
            <w:left w:w="108" w:type="dxa"/>
            <w:bottom w:w="0" w:type="dxa"/>
            <w:right w:w="108" w:type="dxa"/>
          </w:tblCellMar>
        </w:tblPrEx>
        <w:trPr>
          <w:trHeight w:val="138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4</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单机芯智能翼闸</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1、机箱材料：国标不锈钢；</w:t>
            </w:r>
          </w:p>
          <w:p>
            <w:pPr>
              <w:widowControl/>
              <w:jc w:val="left"/>
              <w:textAlignment w:val="center"/>
              <w:rPr>
                <w:rFonts w:ascii="宋体" w:hAnsi="宋体" w:cs="宋体"/>
                <w:kern w:val="0"/>
                <w:szCs w:val="21"/>
              </w:rPr>
            </w:pPr>
            <w:r>
              <w:rPr>
                <w:rFonts w:hint="eastAsia" w:ascii="宋体" w:hAnsi="宋体" w:cs="宋体"/>
                <w:kern w:val="0"/>
                <w:szCs w:val="21"/>
              </w:rPr>
              <w:t>2、材料厚度：上盖厚度≥1.2mm，侧身厚度≥1.2mm；</w:t>
            </w:r>
          </w:p>
          <w:p>
            <w:pPr>
              <w:widowControl/>
              <w:jc w:val="left"/>
              <w:textAlignment w:val="center"/>
              <w:rPr>
                <w:rFonts w:ascii="宋体" w:hAnsi="宋体" w:cs="宋体"/>
                <w:kern w:val="0"/>
                <w:szCs w:val="21"/>
              </w:rPr>
            </w:pPr>
            <w:r>
              <w:rPr>
                <w:rFonts w:hint="eastAsia" w:ascii="宋体" w:hAnsi="宋体" w:cs="宋体"/>
                <w:kern w:val="0"/>
                <w:szCs w:val="21"/>
              </w:rPr>
              <w:t>3、红外对数：≥6对；</w:t>
            </w:r>
          </w:p>
          <w:p>
            <w:pPr>
              <w:widowControl/>
              <w:jc w:val="left"/>
              <w:textAlignment w:val="center"/>
              <w:rPr>
                <w:rFonts w:ascii="宋体" w:hAnsi="宋体" w:cs="宋体"/>
                <w:kern w:val="0"/>
                <w:szCs w:val="21"/>
              </w:rPr>
            </w:pPr>
            <w:r>
              <w:rPr>
                <w:rFonts w:hint="eastAsia" w:ascii="宋体" w:hAnsi="宋体" w:cs="宋体"/>
                <w:kern w:val="0"/>
                <w:szCs w:val="21"/>
              </w:rPr>
              <w:t>4、通行方向：单向或双向(可设置)；</w:t>
            </w:r>
          </w:p>
          <w:p>
            <w:pPr>
              <w:widowControl/>
              <w:jc w:val="left"/>
              <w:textAlignment w:val="center"/>
              <w:rPr>
                <w:rFonts w:ascii="宋体" w:hAnsi="宋体" w:cs="宋体"/>
                <w:kern w:val="0"/>
                <w:szCs w:val="21"/>
              </w:rPr>
            </w:pPr>
            <w:r>
              <w:rPr>
                <w:rFonts w:hint="eastAsia" w:ascii="宋体" w:hAnsi="宋体" w:cs="宋体"/>
                <w:kern w:val="0"/>
                <w:szCs w:val="21"/>
              </w:rPr>
              <w:t>5、通行速度：每分钟最高可通行人数不小于60；</w:t>
            </w:r>
          </w:p>
          <w:p>
            <w:pPr>
              <w:widowControl/>
              <w:jc w:val="left"/>
              <w:textAlignment w:val="center"/>
              <w:rPr>
                <w:rFonts w:ascii="宋体" w:hAnsi="宋体" w:cs="宋体"/>
                <w:kern w:val="0"/>
                <w:szCs w:val="21"/>
              </w:rPr>
            </w:pPr>
            <w:r>
              <w:rPr>
                <w:rFonts w:hint="eastAsia" w:ascii="宋体" w:hAnsi="宋体" w:cs="宋体"/>
                <w:kern w:val="0"/>
                <w:szCs w:val="21"/>
              </w:rPr>
              <w:t>6、自动复位功能：开闸后，在规定的时间内未通行系统将自动上锁，通行时间可调；</w:t>
            </w:r>
          </w:p>
          <w:p>
            <w:pPr>
              <w:widowControl/>
              <w:jc w:val="left"/>
              <w:textAlignment w:val="center"/>
              <w:rPr>
                <w:rFonts w:ascii="宋体" w:hAnsi="宋体" w:cs="宋体"/>
                <w:kern w:val="0"/>
                <w:szCs w:val="21"/>
              </w:rPr>
            </w:pPr>
            <w:r>
              <w:rPr>
                <w:rFonts w:hint="eastAsia" w:ascii="宋体" w:hAnsi="宋体" w:cs="宋体"/>
                <w:kern w:val="0"/>
                <w:szCs w:val="21"/>
              </w:rPr>
              <w:t>7、工作温度：-10℃～+55℃；</w:t>
            </w:r>
          </w:p>
          <w:p>
            <w:pPr>
              <w:widowControl/>
              <w:jc w:val="left"/>
              <w:textAlignment w:val="center"/>
              <w:rPr>
                <w:rFonts w:ascii="宋体" w:hAnsi="宋体" w:cs="宋体"/>
                <w:kern w:val="0"/>
                <w:szCs w:val="21"/>
              </w:rPr>
            </w:pPr>
            <w:r>
              <w:rPr>
                <w:rFonts w:hint="eastAsia" w:ascii="宋体" w:hAnsi="宋体" w:cs="宋体"/>
                <w:kern w:val="0"/>
                <w:szCs w:val="21"/>
              </w:rPr>
              <w:t>8、相对湿度：≤95%；</w:t>
            </w:r>
          </w:p>
          <w:p>
            <w:pPr>
              <w:widowControl/>
              <w:jc w:val="left"/>
              <w:textAlignment w:val="center"/>
              <w:rPr>
                <w:rFonts w:ascii="宋体" w:hAnsi="宋体" w:cs="宋体"/>
                <w:kern w:val="0"/>
                <w:szCs w:val="21"/>
              </w:rPr>
            </w:pPr>
            <w:r>
              <w:rPr>
                <w:rFonts w:hint="eastAsia" w:ascii="宋体" w:hAnsi="宋体" w:cs="宋体"/>
                <w:kern w:val="0"/>
                <w:szCs w:val="21"/>
              </w:rPr>
              <w:t>9、允许进入时间：设备允许进入时间宜在1s-999s范围内，宜可调；</w:t>
            </w:r>
          </w:p>
          <w:p>
            <w:pPr>
              <w:widowControl/>
              <w:jc w:val="left"/>
              <w:textAlignment w:val="center"/>
              <w:rPr>
                <w:rFonts w:ascii="宋体" w:hAnsi="宋体" w:cs="宋体"/>
                <w:kern w:val="0"/>
                <w:szCs w:val="21"/>
              </w:rPr>
            </w:pPr>
            <w:r>
              <w:rPr>
                <w:rFonts w:hint="eastAsia" w:ascii="宋体" w:hAnsi="宋体" w:cs="宋体"/>
                <w:kern w:val="0"/>
                <w:szCs w:val="21"/>
              </w:rPr>
              <w:t>10、允许通行时间：设备允许通行时间宜在1s-999s范围内，宜可调；</w:t>
            </w:r>
          </w:p>
          <w:p>
            <w:pPr>
              <w:widowControl/>
              <w:jc w:val="left"/>
              <w:textAlignment w:val="center"/>
              <w:rPr>
                <w:rFonts w:ascii="宋体" w:hAnsi="宋体" w:cs="宋体"/>
                <w:kern w:val="0"/>
                <w:szCs w:val="21"/>
              </w:rPr>
            </w:pPr>
            <w:r>
              <w:rPr>
                <w:rFonts w:hint="eastAsia" w:ascii="宋体" w:hAnsi="宋体" w:cs="宋体"/>
                <w:kern w:val="0"/>
                <w:szCs w:val="21"/>
              </w:rPr>
              <w:t>11、红外防夹功能：应具有红外防夹功能；</w:t>
            </w:r>
          </w:p>
          <w:p>
            <w:pPr>
              <w:widowControl/>
              <w:jc w:val="left"/>
              <w:textAlignment w:val="center"/>
              <w:rPr>
                <w:rFonts w:ascii="宋体" w:hAnsi="宋体" w:cs="宋体"/>
                <w:kern w:val="0"/>
                <w:szCs w:val="21"/>
              </w:rPr>
            </w:pPr>
            <w:r>
              <w:rPr>
                <w:rFonts w:hint="eastAsia" w:ascii="宋体" w:hAnsi="宋体" w:cs="宋体"/>
                <w:kern w:val="0"/>
                <w:szCs w:val="21"/>
              </w:rPr>
              <w:t>12、语音提示功能：设备集成语音模块，可根据不同事件同时结合用户设定播放提醒语音，</w:t>
            </w:r>
          </w:p>
          <w:p>
            <w:pPr>
              <w:widowControl/>
              <w:jc w:val="left"/>
              <w:textAlignment w:val="center"/>
              <w:rPr>
                <w:rFonts w:ascii="宋体" w:hAnsi="宋体" w:cs="宋体"/>
                <w:kern w:val="0"/>
                <w:szCs w:val="21"/>
              </w:rPr>
            </w:pPr>
            <w:r>
              <w:rPr>
                <w:rFonts w:hint="eastAsia" w:ascii="宋体" w:hAnsi="宋体" w:cs="宋体"/>
                <w:kern w:val="0"/>
                <w:szCs w:val="21"/>
              </w:rPr>
              <w:t>13、自检和报障功能：应具备部件自检功能，故障检测类型包括电机故障、红外故障等。</w:t>
            </w:r>
          </w:p>
          <w:p>
            <w:pPr>
              <w:widowControl/>
              <w:jc w:val="left"/>
              <w:textAlignment w:val="center"/>
              <w:rPr>
                <w:rFonts w:ascii="宋体" w:hAnsi="宋体" w:cs="宋体"/>
                <w:kern w:val="0"/>
                <w:szCs w:val="21"/>
              </w:rPr>
            </w:pPr>
            <w:r>
              <w:rPr>
                <w:rFonts w:hint="eastAsia" w:ascii="宋体" w:hAnsi="宋体" w:cs="宋体"/>
                <w:kern w:val="0"/>
                <w:szCs w:val="21"/>
              </w:rPr>
              <w:t>14、瞬间最大噪声声压不大于66dB(A)；持续噪声声压不大于56dB(A)</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15、门翼开/关门速度≥0.4s可调（不少于10个档位调节</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w:t>
            </w:r>
          </w:p>
        </w:tc>
      </w:tr>
      <w:tr>
        <w:tblPrEx>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5</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双机芯智能翼闸</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1、机箱材料：国标不锈钢；</w:t>
            </w:r>
          </w:p>
          <w:p>
            <w:pPr>
              <w:widowControl/>
              <w:jc w:val="left"/>
              <w:textAlignment w:val="center"/>
              <w:rPr>
                <w:rFonts w:ascii="宋体" w:hAnsi="宋体" w:cs="宋体"/>
                <w:kern w:val="0"/>
                <w:szCs w:val="21"/>
              </w:rPr>
            </w:pPr>
            <w:r>
              <w:rPr>
                <w:rFonts w:hint="eastAsia" w:ascii="宋体" w:hAnsi="宋体" w:cs="宋体"/>
                <w:kern w:val="0"/>
                <w:szCs w:val="21"/>
              </w:rPr>
              <w:t>2、材料厚度：上盖厚度≥1.2mm，侧身厚度≥1.2mm；</w:t>
            </w:r>
          </w:p>
          <w:p>
            <w:pPr>
              <w:widowControl/>
              <w:jc w:val="left"/>
              <w:textAlignment w:val="center"/>
              <w:rPr>
                <w:rFonts w:ascii="宋体" w:hAnsi="宋体" w:cs="宋体"/>
                <w:kern w:val="0"/>
                <w:szCs w:val="21"/>
              </w:rPr>
            </w:pPr>
            <w:r>
              <w:rPr>
                <w:rFonts w:hint="eastAsia" w:ascii="宋体" w:hAnsi="宋体" w:cs="宋体"/>
                <w:kern w:val="0"/>
                <w:szCs w:val="21"/>
              </w:rPr>
              <w:t>3、通行方向：单向或双向(可设置)；</w:t>
            </w:r>
          </w:p>
          <w:p>
            <w:pPr>
              <w:widowControl/>
              <w:jc w:val="left"/>
              <w:textAlignment w:val="center"/>
              <w:rPr>
                <w:rFonts w:ascii="宋体" w:hAnsi="宋体" w:cs="宋体"/>
                <w:kern w:val="0"/>
                <w:szCs w:val="21"/>
              </w:rPr>
            </w:pPr>
            <w:r>
              <w:rPr>
                <w:rFonts w:hint="eastAsia" w:ascii="宋体" w:hAnsi="宋体" w:cs="宋体"/>
                <w:kern w:val="0"/>
                <w:szCs w:val="21"/>
              </w:rPr>
              <w:t>4、通行速度：每分钟最高可通行人数不小于60；</w:t>
            </w:r>
          </w:p>
          <w:p>
            <w:pPr>
              <w:widowControl/>
              <w:jc w:val="left"/>
              <w:textAlignment w:val="center"/>
              <w:rPr>
                <w:rFonts w:ascii="宋体" w:hAnsi="宋体" w:cs="宋体"/>
                <w:kern w:val="0"/>
                <w:szCs w:val="21"/>
              </w:rPr>
            </w:pPr>
            <w:r>
              <w:rPr>
                <w:rFonts w:hint="eastAsia" w:ascii="宋体" w:hAnsi="宋体" w:cs="宋体"/>
                <w:kern w:val="0"/>
                <w:szCs w:val="21"/>
              </w:rPr>
              <w:t>5、自动复位功能：开闸后，在规定的时间内未通行系统将自动上锁，通行时间可调；</w:t>
            </w:r>
          </w:p>
          <w:p>
            <w:pPr>
              <w:widowControl/>
              <w:jc w:val="left"/>
              <w:textAlignment w:val="center"/>
              <w:rPr>
                <w:rFonts w:ascii="宋体" w:hAnsi="宋体" w:cs="宋体"/>
                <w:kern w:val="0"/>
                <w:szCs w:val="21"/>
              </w:rPr>
            </w:pPr>
            <w:r>
              <w:rPr>
                <w:rFonts w:hint="eastAsia" w:ascii="宋体" w:hAnsi="宋体" w:cs="宋体"/>
                <w:kern w:val="0"/>
                <w:szCs w:val="21"/>
              </w:rPr>
              <w:t>6、工作温度：-10℃～+55℃；</w:t>
            </w:r>
          </w:p>
          <w:p>
            <w:pPr>
              <w:widowControl/>
              <w:jc w:val="left"/>
              <w:textAlignment w:val="center"/>
              <w:rPr>
                <w:rFonts w:ascii="宋体" w:hAnsi="宋体" w:cs="宋体"/>
                <w:kern w:val="0"/>
                <w:szCs w:val="21"/>
              </w:rPr>
            </w:pPr>
            <w:r>
              <w:rPr>
                <w:rFonts w:hint="eastAsia" w:ascii="宋体" w:hAnsi="宋体" w:cs="宋体"/>
                <w:kern w:val="0"/>
                <w:szCs w:val="21"/>
              </w:rPr>
              <w:t>7、相对湿度：≤95%</w:t>
            </w:r>
          </w:p>
          <w:p>
            <w:pPr>
              <w:widowControl/>
              <w:jc w:val="left"/>
              <w:textAlignment w:val="center"/>
              <w:rPr>
                <w:rFonts w:ascii="宋体" w:hAnsi="宋体" w:cs="宋体"/>
                <w:kern w:val="0"/>
                <w:szCs w:val="21"/>
              </w:rPr>
            </w:pPr>
            <w:r>
              <w:rPr>
                <w:rFonts w:hint="eastAsia" w:ascii="宋体" w:hAnsi="宋体" w:cs="宋体"/>
                <w:kern w:val="0"/>
                <w:szCs w:val="21"/>
              </w:rPr>
              <w:t>8、允许进入时间：设备允许进入时间宜在1s-999s范围内，宜可调；</w:t>
            </w:r>
          </w:p>
          <w:p>
            <w:pPr>
              <w:widowControl/>
              <w:jc w:val="left"/>
              <w:textAlignment w:val="center"/>
              <w:rPr>
                <w:rFonts w:ascii="宋体" w:hAnsi="宋体" w:cs="宋体"/>
                <w:kern w:val="0"/>
                <w:szCs w:val="21"/>
              </w:rPr>
            </w:pPr>
            <w:r>
              <w:rPr>
                <w:rFonts w:hint="eastAsia" w:ascii="宋体" w:hAnsi="宋体" w:cs="宋体"/>
                <w:kern w:val="0"/>
                <w:szCs w:val="21"/>
              </w:rPr>
              <w:t>9、允许通行时间：设备允许通行时间宜在1s-999s范围内，宜可调；</w:t>
            </w:r>
          </w:p>
          <w:p>
            <w:pPr>
              <w:widowControl/>
              <w:jc w:val="left"/>
              <w:textAlignment w:val="center"/>
              <w:rPr>
                <w:rFonts w:ascii="宋体" w:hAnsi="宋体" w:cs="宋体"/>
                <w:kern w:val="0"/>
                <w:szCs w:val="21"/>
              </w:rPr>
            </w:pPr>
            <w:r>
              <w:rPr>
                <w:rFonts w:hint="eastAsia" w:ascii="宋体" w:hAnsi="宋体" w:cs="宋体"/>
                <w:kern w:val="0"/>
                <w:szCs w:val="21"/>
              </w:rPr>
              <w:t>10、红外防夹功能：应具有红外防夹功能；</w:t>
            </w:r>
          </w:p>
          <w:p>
            <w:pPr>
              <w:widowControl/>
              <w:jc w:val="left"/>
              <w:textAlignment w:val="center"/>
              <w:rPr>
                <w:rFonts w:ascii="宋体" w:hAnsi="宋体" w:cs="宋体"/>
                <w:kern w:val="0"/>
                <w:szCs w:val="21"/>
              </w:rPr>
            </w:pPr>
            <w:r>
              <w:rPr>
                <w:rFonts w:hint="eastAsia" w:ascii="宋体" w:hAnsi="宋体" w:cs="宋体"/>
                <w:kern w:val="0"/>
                <w:szCs w:val="21"/>
              </w:rPr>
              <w:t>11、语音提示功能：设备集成语音模块，可根据不同事件同时结合用户设定播放提醒语音，</w:t>
            </w:r>
          </w:p>
          <w:p>
            <w:pPr>
              <w:widowControl/>
              <w:jc w:val="left"/>
              <w:textAlignment w:val="center"/>
              <w:rPr>
                <w:rFonts w:ascii="宋体" w:hAnsi="宋体" w:cs="宋体"/>
                <w:kern w:val="0"/>
                <w:szCs w:val="21"/>
              </w:rPr>
            </w:pPr>
            <w:r>
              <w:rPr>
                <w:rFonts w:hint="eastAsia" w:ascii="宋体" w:hAnsi="宋体" w:cs="宋体"/>
                <w:kern w:val="0"/>
                <w:szCs w:val="21"/>
              </w:rPr>
              <w:t>12、自检和报障功能：应具备部件自检功能，故障检测类型包括电机故障、红外故障等。</w:t>
            </w:r>
          </w:p>
          <w:p>
            <w:pPr>
              <w:widowControl/>
              <w:jc w:val="left"/>
              <w:textAlignment w:val="center"/>
              <w:rPr>
                <w:rFonts w:ascii="宋体" w:hAnsi="宋体" w:cs="宋体"/>
                <w:kern w:val="0"/>
                <w:szCs w:val="21"/>
              </w:rPr>
            </w:pPr>
            <w:r>
              <w:rPr>
                <w:rFonts w:hint="eastAsia" w:ascii="宋体" w:hAnsi="宋体" w:cs="宋体"/>
                <w:kern w:val="0"/>
                <w:szCs w:val="21"/>
              </w:rPr>
              <w:t>13、瞬间最大噪声声压不大于66dB(A)；持续噪声声压不大于56dB(A)</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1</w:t>
            </w:r>
            <w:r>
              <w:rPr>
                <w:rFonts w:hint="eastAsia" w:ascii="宋体" w:hAnsi="宋体" w:cs="宋体"/>
                <w:spacing w:val="0"/>
                <w:kern w:val="0"/>
                <w:szCs w:val="21"/>
                <w:lang w:val="en-US" w:eastAsia="zh-CN"/>
              </w:rPr>
              <w:t>4</w:t>
            </w:r>
            <w:r>
              <w:rPr>
                <w:rFonts w:hint="eastAsia" w:ascii="宋体" w:hAnsi="宋体" w:cs="宋体"/>
                <w:spacing w:val="0"/>
                <w:kern w:val="0"/>
                <w:szCs w:val="21"/>
              </w:rPr>
              <w:t>、门翼开/关门速度≥0.4s可调（不少于10个档位调节）</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人脸识别一体机</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jc w:val="left"/>
              <w:textAlignment w:val="center"/>
              <w:rPr>
                <w:rFonts w:ascii="宋体" w:hAnsi="宋体" w:cs="宋体"/>
                <w:kern w:val="0"/>
                <w:szCs w:val="21"/>
              </w:rPr>
            </w:pPr>
            <w:r>
              <w:rPr>
                <w:rFonts w:hint="eastAsia" w:ascii="宋体" w:hAnsi="宋体" w:cs="宋体"/>
                <w:kern w:val="0"/>
                <w:szCs w:val="21"/>
              </w:rPr>
              <w:t>CPU：≥四核；</w:t>
            </w:r>
          </w:p>
          <w:p>
            <w:pPr>
              <w:widowControl/>
              <w:jc w:val="left"/>
              <w:textAlignment w:val="center"/>
              <w:rPr>
                <w:rFonts w:ascii="宋体" w:hAnsi="宋体" w:cs="宋体"/>
                <w:kern w:val="0"/>
                <w:szCs w:val="21"/>
              </w:rPr>
            </w:pPr>
            <w:r>
              <w:rPr>
                <w:rFonts w:hint="eastAsia" w:ascii="宋体" w:hAnsi="宋体" w:cs="宋体"/>
                <w:kern w:val="0"/>
                <w:szCs w:val="21"/>
              </w:rPr>
              <w:t>2、存储：≥RAM 2GB+ROM 16GB；</w:t>
            </w:r>
          </w:p>
          <w:p>
            <w:pPr>
              <w:widowControl/>
              <w:jc w:val="left"/>
              <w:textAlignment w:val="center"/>
              <w:rPr>
                <w:rFonts w:ascii="宋体" w:hAnsi="宋体" w:cs="宋体"/>
                <w:kern w:val="0"/>
                <w:szCs w:val="21"/>
              </w:rPr>
            </w:pPr>
            <w:r>
              <w:rPr>
                <w:rFonts w:hint="eastAsia" w:ascii="宋体" w:hAnsi="宋体" w:cs="宋体"/>
                <w:kern w:val="0"/>
                <w:szCs w:val="21"/>
              </w:rPr>
              <w:t>3、操作系统：≥Android 5.0；</w:t>
            </w:r>
          </w:p>
          <w:p>
            <w:pPr>
              <w:widowControl/>
              <w:jc w:val="left"/>
              <w:textAlignment w:val="center"/>
              <w:rPr>
                <w:rFonts w:ascii="宋体" w:hAnsi="宋体" w:cs="宋体"/>
                <w:kern w:val="0"/>
                <w:szCs w:val="21"/>
              </w:rPr>
            </w:pPr>
            <w:r>
              <w:rPr>
                <w:rFonts w:hint="eastAsia" w:ascii="宋体" w:hAnsi="宋体" w:cs="宋体"/>
                <w:kern w:val="0"/>
                <w:szCs w:val="21"/>
              </w:rPr>
              <w:t>4、摄像头：双目摄像头设计，RGB摄像头≥200万高清摄像头，红外摄像头≥130万高清摄像头；</w:t>
            </w:r>
          </w:p>
          <w:p>
            <w:pPr>
              <w:widowControl/>
              <w:jc w:val="left"/>
              <w:textAlignment w:val="center"/>
              <w:rPr>
                <w:rFonts w:ascii="宋体" w:hAnsi="宋体" w:cs="宋体"/>
                <w:kern w:val="0"/>
                <w:szCs w:val="21"/>
              </w:rPr>
            </w:pPr>
            <w:r>
              <w:rPr>
                <w:rFonts w:hint="eastAsia" w:ascii="宋体" w:hAnsi="宋体" w:cs="宋体"/>
                <w:kern w:val="0"/>
                <w:szCs w:val="21"/>
              </w:rPr>
              <w:t>5、补光灯：感应式LED补光灯；</w:t>
            </w:r>
          </w:p>
          <w:p>
            <w:pPr>
              <w:widowControl/>
              <w:jc w:val="left"/>
              <w:textAlignment w:val="center"/>
              <w:rPr>
                <w:rFonts w:ascii="宋体" w:hAnsi="宋体" w:cs="宋体"/>
                <w:kern w:val="0"/>
                <w:szCs w:val="21"/>
              </w:rPr>
            </w:pPr>
            <w:r>
              <w:rPr>
                <w:rFonts w:hint="eastAsia" w:ascii="宋体" w:hAnsi="宋体" w:cs="宋体"/>
                <w:kern w:val="0"/>
                <w:szCs w:val="21"/>
              </w:rPr>
              <w:t>6、显示屏：8英寸IPS高清屏：</w:t>
            </w:r>
          </w:p>
          <w:p>
            <w:pPr>
              <w:widowControl/>
              <w:jc w:val="left"/>
              <w:textAlignment w:val="center"/>
              <w:rPr>
                <w:rFonts w:ascii="宋体" w:hAnsi="宋体" w:cs="宋体"/>
                <w:kern w:val="0"/>
                <w:szCs w:val="21"/>
              </w:rPr>
            </w:pPr>
            <w:r>
              <w:rPr>
                <w:rFonts w:hint="eastAsia" w:ascii="宋体" w:hAnsi="宋体" w:cs="宋体"/>
                <w:kern w:val="0"/>
                <w:szCs w:val="21"/>
              </w:rPr>
              <w:t>7、触摸屏：5点触控电容式触摸屏；</w:t>
            </w:r>
          </w:p>
          <w:p>
            <w:pPr>
              <w:widowControl/>
              <w:jc w:val="left"/>
              <w:textAlignment w:val="center"/>
              <w:rPr>
                <w:rFonts w:ascii="宋体" w:hAnsi="宋体" w:cs="宋体"/>
                <w:kern w:val="0"/>
                <w:szCs w:val="21"/>
              </w:rPr>
            </w:pPr>
            <w:r>
              <w:rPr>
                <w:rFonts w:hint="eastAsia" w:ascii="宋体" w:hAnsi="宋体" w:cs="宋体"/>
                <w:kern w:val="0"/>
                <w:szCs w:val="21"/>
              </w:rPr>
              <w:t xml:space="preserve">8、人脸注册人数：≥10000人； </w:t>
            </w:r>
          </w:p>
          <w:p>
            <w:pPr>
              <w:widowControl/>
              <w:jc w:val="left"/>
              <w:textAlignment w:val="center"/>
              <w:rPr>
                <w:rFonts w:ascii="宋体" w:hAnsi="宋体" w:cs="宋体"/>
                <w:kern w:val="0"/>
                <w:szCs w:val="21"/>
              </w:rPr>
            </w:pPr>
            <w:r>
              <w:rPr>
                <w:rFonts w:hint="eastAsia" w:ascii="宋体" w:hAnsi="宋体" w:cs="宋体"/>
                <w:kern w:val="0"/>
                <w:szCs w:val="21"/>
              </w:rPr>
              <w:t xml:space="preserve">9、离线记录保存：≥50000条； </w:t>
            </w:r>
          </w:p>
          <w:p>
            <w:pPr>
              <w:widowControl/>
              <w:jc w:val="left"/>
              <w:textAlignment w:val="center"/>
              <w:rPr>
                <w:rFonts w:ascii="宋体" w:hAnsi="宋体" w:cs="宋体"/>
                <w:kern w:val="0"/>
                <w:szCs w:val="21"/>
              </w:rPr>
            </w:pPr>
            <w:r>
              <w:rPr>
                <w:rFonts w:hint="eastAsia" w:ascii="宋体" w:hAnsi="宋体" w:cs="宋体"/>
                <w:kern w:val="0"/>
                <w:szCs w:val="21"/>
              </w:rPr>
              <w:t xml:space="preserve">10、图像分辨率：≥720TVL； </w:t>
            </w:r>
          </w:p>
          <w:p>
            <w:pPr>
              <w:widowControl/>
              <w:jc w:val="left"/>
              <w:textAlignment w:val="center"/>
              <w:rPr>
                <w:rFonts w:ascii="宋体" w:hAnsi="宋体" w:cs="宋体"/>
                <w:kern w:val="0"/>
                <w:szCs w:val="21"/>
              </w:rPr>
            </w:pPr>
            <w:r>
              <w:rPr>
                <w:rFonts w:hint="eastAsia" w:ascii="宋体" w:hAnsi="宋体" w:cs="宋体"/>
                <w:kern w:val="0"/>
                <w:szCs w:val="21"/>
              </w:rPr>
              <w:t>11、图像帧率：25帧/s；</w:t>
            </w:r>
          </w:p>
          <w:p>
            <w:pPr>
              <w:widowControl/>
              <w:jc w:val="left"/>
              <w:textAlignment w:val="center"/>
              <w:rPr>
                <w:rFonts w:ascii="宋体" w:hAnsi="宋体" w:cs="宋体"/>
                <w:kern w:val="0"/>
                <w:szCs w:val="21"/>
              </w:rPr>
            </w:pPr>
            <w:r>
              <w:rPr>
                <w:rFonts w:hint="eastAsia" w:ascii="宋体" w:hAnsi="宋体" w:cs="宋体"/>
                <w:kern w:val="0"/>
                <w:szCs w:val="21"/>
              </w:rPr>
              <w:t>12、宽动态功能：支持；</w:t>
            </w:r>
          </w:p>
          <w:p>
            <w:pPr>
              <w:widowControl/>
              <w:jc w:val="left"/>
              <w:textAlignment w:val="center"/>
              <w:rPr>
                <w:rFonts w:ascii="宋体" w:hAnsi="宋体" w:cs="宋体"/>
                <w:kern w:val="0"/>
                <w:szCs w:val="21"/>
              </w:rPr>
            </w:pPr>
            <w:r>
              <w:rPr>
                <w:rFonts w:hint="eastAsia" w:ascii="宋体" w:hAnsi="宋体" w:cs="宋体"/>
                <w:kern w:val="0"/>
                <w:szCs w:val="21"/>
              </w:rPr>
              <w:t>13、人脸识别有效距离：30-80cm；</w:t>
            </w:r>
          </w:p>
          <w:p>
            <w:pPr>
              <w:widowControl/>
              <w:jc w:val="left"/>
              <w:textAlignment w:val="center"/>
              <w:rPr>
                <w:rFonts w:ascii="宋体" w:hAnsi="宋体" w:cs="宋体"/>
                <w:kern w:val="0"/>
                <w:szCs w:val="21"/>
              </w:rPr>
            </w:pPr>
            <w:r>
              <w:rPr>
                <w:rFonts w:hint="eastAsia" w:ascii="宋体" w:hAnsi="宋体" w:cs="宋体"/>
                <w:kern w:val="0"/>
                <w:szCs w:val="21"/>
              </w:rPr>
              <w:t>14、人脸角度偏移：±10°；</w:t>
            </w:r>
          </w:p>
          <w:p>
            <w:pPr>
              <w:widowControl/>
              <w:jc w:val="left"/>
              <w:textAlignment w:val="center"/>
              <w:rPr>
                <w:rFonts w:ascii="宋体" w:hAnsi="宋体" w:cs="宋体"/>
                <w:kern w:val="0"/>
                <w:szCs w:val="21"/>
              </w:rPr>
            </w:pPr>
            <w:r>
              <w:rPr>
                <w:rFonts w:hint="eastAsia" w:ascii="宋体" w:hAnsi="宋体" w:cs="宋体"/>
                <w:kern w:val="0"/>
                <w:szCs w:val="21"/>
              </w:rPr>
              <w:t>15、人脸图片格式：JPEG、BMP、PNG；</w:t>
            </w:r>
          </w:p>
          <w:p>
            <w:pPr>
              <w:widowControl/>
              <w:jc w:val="left"/>
              <w:textAlignment w:val="center"/>
              <w:rPr>
                <w:rFonts w:ascii="宋体" w:hAnsi="宋体" w:cs="宋体"/>
                <w:kern w:val="0"/>
                <w:szCs w:val="21"/>
              </w:rPr>
            </w:pPr>
            <w:r>
              <w:rPr>
                <w:rFonts w:hint="eastAsia" w:ascii="宋体" w:hAnsi="宋体" w:cs="宋体"/>
                <w:kern w:val="0"/>
                <w:szCs w:val="21"/>
              </w:rPr>
              <w:t>16、识别结果显示：支持；</w:t>
            </w:r>
          </w:p>
          <w:p>
            <w:pPr>
              <w:widowControl/>
              <w:jc w:val="left"/>
              <w:textAlignment w:val="center"/>
              <w:rPr>
                <w:rFonts w:ascii="宋体" w:hAnsi="宋体" w:cs="宋体"/>
                <w:kern w:val="0"/>
                <w:szCs w:val="21"/>
              </w:rPr>
            </w:pPr>
            <w:r>
              <w:rPr>
                <w:rFonts w:hint="eastAsia" w:ascii="宋体" w:hAnsi="宋体" w:cs="宋体"/>
                <w:kern w:val="0"/>
                <w:szCs w:val="21"/>
              </w:rPr>
              <w:t>17、语音提示：支持；</w:t>
            </w:r>
          </w:p>
          <w:p>
            <w:pPr>
              <w:widowControl/>
              <w:jc w:val="left"/>
              <w:textAlignment w:val="center"/>
              <w:rPr>
                <w:rFonts w:ascii="宋体" w:hAnsi="宋体" w:cs="宋体"/>
                <w:kern w:val="0"/>
                <w:szCs w:val="21"/>
              </w:rPr>
            </w:pPr>
            <w:r>
              <w:rPr>
                <w:rFonts w:hint="eastAsia" w:ascii="宋体" w:hAnsi="宋体" w:cs="宋体"/>
                <w:kern w:val="0"/>
                <w:szCs w:val="21"/>
              </w:rPr>
              <w:t>18、防假功能：能够有效御制照片、视频等非法对象识别验证；</w:t>
            </w:r>
          </w:p>
          <w:p>
            <w:pPr>
              <w:widowControl/>
              <w:jc w:val="left"/>
              <w:textAlignment w:val="center"/>
              <w:rPr>
                <w:rFonts w:ascii="宋体" w:hAnsi="宋体" w:cs="宋体"/>
                <w:kern w:val="0"/>
                <w:szCs w:val="21"/>
              </w:rPr>
            </w:pPr>
            <w:r>
              <w:rPr>
                <w:rFonts w:hint="eastAsia" w:ascii="宋体" w:hAnsi="宋体" w:cs="宋体"/>
                <w:kern w:val="0"/>
                <w:szCs w:val="21"/>
              </w:rPr>
              <w:t>19、静态人脸识别通过率：≥99.2%；</w:t>
            </w:r>
          </w:p>
          <w:p>
            <w:pPr>
              <w:widowControl/>
              <w:jc w:val="left"/>
              <w:textAlignment w:val="center"/>
              <w:rPr>
                <w:rFonts w:ascii="宋体" w:hAnsi="宋体" w:cs="宋体"/>
                <w:kern w:val="0"/>
                <w:szCs w:val="21"/>
              </w:rPr>
            </w:pPr>
            <w:r>
              <w:rPr>
                <w:rFonts w:hint="eastAsia" w:ascii="宋体" w:hAnsi="宋体" w:cs="宋体"/>
                <w:kern w:val="0"/>
                <w:szCs w:val="21"/>
              </w:rPr>
              <w:t>20、低照度：≤0.1Lux；</w:t>
            </w:r>
          </w:p>
          <w:p>
            <w:pPr>
              <w:widowControl/>
              <w:jc w:val="left"/>
              <w:textAlignment w:val="center"/>
              <w:rPr>
                <w:rFonts w:ascii="宋体" w:hAnsi="宋体" w:cs="宋体"/>
                <w:kern w:val="0"/>
                <w:szCs w:val="21"/>
              </w:rPr>
            </w:pPr>
            <w:r>
              <w:rPr>
                <w:rFonts w:hint="eastAsia" w:ascii="宋体" w:hAnsi="宋体" w:cs="宋体"/>
                <w:kern w:val="0"/>
                <w:szCs w:val="21"/>
              </w:rPr>
              <w:t>21、注册名单信息：人脸图像、唯一编号、姓名、性别、联系方式、住址信息（楼栋号、房号）；</w:t>
            </w:r>
          </w:p>
          <w:p>
            <w:pPr>
              <w:widowControl/>
              <w:jc w:val="left"/>
              <w:textAlignment w:val="center"/>
              <w:rPr>
                <w:rFonts w:ascii="宋体" w:hAnsi="宋体" w:cs="宋体"/>
                <w:kern w:val="0"/>
                <w:szCs w:val="21"/>
              </w:rPr>
            </w:pPr>
            <w:r>
              <w:rPr>
                <w:rFonts w:hint="eastAsia" w:ascii="宋体" w:hAnsi="宋体" w:cs="宋体"/>
                <w:kern w:val="0"/>
                <w:szCs w:val="21"/>
              </w:rPr>
              <w:t>22、注册名单管理：查询、修改、注销、删除；</w:t>
            </w:r>
          </w:p>
          <w:p>
            <w:pPr>
              <w:widowControl/>
              <w:jc w:val="left"/>
              <w:textAlignment w:val="center"/>
              <w:rPr>
                <w:rFonts w:ascii="宋体" w:hAnsi="宋体" w:cs="宋体"/>
                <w:kern w:val="0"/>
                <w:szCs w:val="21"/>
              </w:rPr>
            </w:pPr>
            <w:r>
              <w:rPr>
                <w:rFonts w:hint="eastAsia" w:ascii="宋体" w:hAnsi="宋体" w:cs="宋体"/>
                <w:kern w:val="0"/>
                <w:szCs w:val="21"/>
              </w:rPr>
              <w:t>23、人脸识别响应时间：≤1s；</w:t>
            </w:r>
          </w:p>
          <w:p>
            <w:pPr>
              <w:widowControl/>
              <w:jc w:val="left"/>
              <w:textAlignment w:val="center"/>
              <w:rPr>
                <w:rFonts w:ascii="宋体" w:hAnsi="宋体" w:cs="宋体"/>
                <w:kern w:val="0"/>
                <w:szCs w:val="21"/>
              </w:rPr>
            </w:pPr>
            <w:r>
              <w:rPr>
                <w:rFonts w:hint="eastAsia" w:ascii="宋体" w:hAnsi="宋体" w:cs="宋体"/>
                <w:kern w:val="0"/>
                <w:szCs w:val="21"/>
              </w:rPr>
              <w:t>24、自动校时：支持；</w:t>
            </w:r>
          </w:p>
          <w:p>
            <w:pPr>
              <w:widowControl/>
              <w:jc w:val="left"/>
              <w:textAlignment w:val="center"/>
              <w:rPr>
                <w:rFonts w:ascii="宋体" w:hAnsi="宋体" w:cs="宋体"/>
                <w:kern w:val="0"/>
                <w:szCs w:val="21"/>
              </w:rPr>
            </w:pPr>
            <w:r>
              <w:rPr>
                <w:rFonts w:hint="eastAsia" w:ascii="宋体" w:hAnsi="宋体" w:cs="宋体"/>
                <w:kern w:val="0"/>
                <w:szCs w:val="21"/>
              </w:rPr>
              <w:t>25、日志管理：支持；</w:t>
            </w:r>
          </w:p>
          <w:p>
            <w:pPr>
              <w:widowControl/>
              <w:jc w:val="left"/>
              <w:textAlignment w:val="center"/>
              <w:rPr>
                <w:rFonts w:ascii="宋体" w:hAnsi="宋体" w:cs="宋体"/>
                <w:kern w:val="0"/>
                <w:szCs w:val="21"/>
              </w:rPr>
            </w:pPr>
            <w:r>
              <w:rPr>
                <w:rFonts w:hint="eastAsia" w:ascii="宋体" w:hAnsi="宋体" w:cs="宋体"/>
                <w:kern w:val="0"/>
                <w:szCs w:val="21"/>
              </w:rPr>
              <w:t>26、故障自检：支持；</w:t>
            </w:r>
          </w:p>
          <w:p>
            <w:pPr>
              <w:widowControl/>
              <w:jc w:val="left"/>
              <w:textAlignment w:val="center"/>
              <w:rPr>
                <w:rFonts w:ascii="宋体" w:hAnsi="宋体" w:cs="宋体"/>
                <w:kern w:val="0"/>
                <w:szCs w:val="21"/>
              </w:rPr>
            </w:pPr>
            <w:r>
              <w:rPr>
                <w:rFonts w:hint="eastAsia" w:ascii="宋体" w:hAnsi="宋体" w:cs="宋体"/>
                <w:kern w:val="0"/>
                <w:szCs w:val="21"/>
              </w:rPr>
              <w:t>27、物理接口：韦根、RS232、RS485、网口、RJ45；</w:t>
            </w:r>
          </w:p>
          <w:p>
            <w:pPr>
              <w:widowControl/>
              <w:jc w:val="left"/>
              <w:textAlignment w:val="center"/>
              <w:rPr>
                <w:rFonts w:ascii="宋体" w:hAnsi="宋体" w:cs="宋体"/>
                <w:kern w:val="0"/>
                <w:szCs w:val="21"/>
              </w:rPr>
            </w:pPr>
            <w:r>
              <w:rPr>
                <w:rFonts w:hint="eastAsia" w:ascii="宋体" w:hAnsi="宋体" w:cs="宋体"/>
                <w:kern w:val="0"/>
                <w:szCs w:val="21"/>
              </w:rPr>
              <w:t>28、工作温度：-10℃- +55℃；</w:t>
            </w:r>
          </w:p>
          <w:p>
            <w:pPr>
              <w:widowControl/>
              <w:jc w:val="left"/>
              <w:textAlignment w:val="center"/>
              <w:rPr>
                <w:rFonts w:ascii="宋体" w:hAnsi="宋体" w:cs="宋体"/>
                <w:kern w:val="0"/>
                <w:szCs w:val="21"/>
              </w:rPr>
            </w:pPr>
            <w:r>
              <w:rPr>
                <w:rFonts w:hint="eastAsia" w:ascii="宋体" w:hAnsi="宋体" w:cs="宋体"/>
                <w:kern w:val="0"/>
                <w:szCs w:val="21"/>
              </w:rPr>
              <w:t>29、防护等级：≥IP32（室内）。</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36</w:t>
            </w:r>
          </w:p>
        </w:tc>
      </w:tr>
      <w:tr>
        <w:tblPrEx>
          <w:tblCellMar>
            <w:top w:w="0" w:type="dxa"/>
            <w:left w:w="108" w:type="dxa"/>
            <w:bottom w:w="0" w:type="dxa"/>
            <w:right w:w="108" w:type="dxa"/>
          </w:tblCellMar>
        </w:tblPrEx>
        <w:trPr>
          <w:trHeight w:val="1465"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7</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台式计算机</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s>
              <w:jc w:val="left"/>
              <w:textAlignment w:val="center"/>
              <w:rPr>
                <w:rFonts w:ascii="宋体" w:hAnsi="宋体" w:cs="宋体"/>
                <w:kern w:val="0"/>
                <w:szCs w:val="21"/>
              </w:rPr>
            </w:pPr>
            <w:r>
              <w:rPr>
                <w:rFonts w:hint="eastAsia" w:ascii="宋体" w:hAnsi="宋体" w:cs="宋体"/>
                <w:kern w:val="0"/>
                <w:szCs w:val="21"/>
              </w:rPr>
              <w:t>1、主机配置CPU：≥I7处理器；内存：≥16GB DDR4；硬盘：≥1T SATA；显卡：≥2G独立显卡；电源：≥180W；键鼠套装，W</w:t>
            </w:r>
            <w:r>
              <w:rPr>
                <w:rFonts w:ascii="宋体" w:hAnsi="宋体" w:cs="宋体"/>
                <w:kern w:val="0"/>
                <w:szCs w:val="21"/>
              </w:rPr>
              <w:t>INDOWS</w:t>
            </w:r>
            <w:r>
              <w:rPr>
                <w:rFonts w:hint="eastAsia" w:ascii="宋体" w:hAnsi="宋体" w:cs="宋体"/>
                <w:kern w:val="0"/>
                <w:szCs w:val="21"/>
              </w:rPr>
              <w:t>操作系统</w:t>
            </w:r>
          </w:p>
          <w:p>
            <w:pPr>
              <w:widowControl/>
              <w:tabs>
                <w:tab w:val="left" w:pos="0"/>
              </w:tabs>
              <w:jc w:val="left"/>
              <w:textAlignment w:val="center"/>
              <w:rPr>
                <w:rFonts w:ascii="宋体" w:hAnsi="宋体" w:cs="宋体"/>
                <w:kern w:val="0"/>
                <w:szCs w:val="21"/>
              </w:rPr>
            </w:pPr>
            <w:r>
              <w:rPr>
                <w:rFonts w:ascii="宋体" w:hAnsi="宋体" w:cs="宋体"/>
                <w:kern w:val="0"/>
                <w:szCs w:val="21"/>
              </w:rPr>
              <w:t>2</w:t>
            </w:r>
            <w:r>
              <w:rPr>
                <w:rFonts w:hint="eastAsia" w:ascii="宋体" w:hAnsi="宋体" w:cs="宋体"/>
                <w:kern w:val="0"/>
                <w:szCs w:val="21"/>
              </w:rPr>
              <w:t>、液晶显示器：≥2</w:t>
            </w:r>
            <w:r>
              <w:rPr>
                <w:rFonts w:ascii="宋体" w:hAnsi="宋体" w:cs="宋体"/>
                <w:kern w:val="0"/>
                <w:szCs w:val="21"/>
              </w:rPr>
              <w:t>1.5</w:t>
            </w:r>
            <w:r>
              <w:rPr>
                <w:rFonts w:hint="eastAsia" w:ascii="宋体" w:hAnsi="宋体" w:cs="宋体"/>
                <w:kern w:val="0"/>
                <w:szCs w:val="21"/>
              </w:rPr>
              <w:t>英寸显示器；</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szCs w:val="21"/>
              </w:rPr>
              <w:t>9</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8</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人脸识别算法授权</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前端人脸识别单元接入系统使用授权，属于一次性授权方式，支持二次开发调用。</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36</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9</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人脸识别服务器</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硬件要求:</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2*Xeon-Gold 6226R 16核/32线程，2.9GHz主频/2*32GB 2933MHz/P408i-2GB FBWC/2*480GB SSD+3*4TB/4个千兆电口/2个800W电源</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1283"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10</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违规抓拍摄像机</w:t>
            </w:r>
          </w:p>
        </w:tc>
        <w:tc>
          <w:tcPr>
            <w:tcW w:w="5752"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设备通道1和通道2的主码流均支持2560×1440@25fps。</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设备内置双镜头，具有2个CMOS图像传感器，靶面尺寸均不小于1/1.8英寸。</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通道1和通道2均满足最低照度彩色不大于0.0002 lx，黑白不大于0.0001 lx。</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设备的2个镜头均支持电动变倍、自动/电动聚焦，自动调节光圈功能。</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支持H.264、H.265、MJPEG设置选项，可将H.265、H.264格式设置为Baseline/Main/High Profile</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同一静止场景相同图像质量下，设备在H.265编码方式时，开启智能编码功能和不开启智能编码相比，码率节约80%。</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在分辨率1920x1080 @ 25fps，码流设置为1Mbps时，视频图像传输延时不大于60ms。</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内置不少于2颗GPU芯片</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支持检出面部过曝、面部欠曝、阴阳脸、逆光等不同光照条件下人脸。</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支持人脸、行人属性识别功能，可识别不小于11种行人衣服/裤子颜色。</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支持检出人脸瞳距13像素点以上的人脸图片。</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支持智能分析功能，包括场景变更侦测、进入区域、离开区域、徘徊、区域入侵、人员聚集、视频遮挡、停车侦测、物品移除、物品遗留、越界入侵等功能，平均捕获率不小于99%，平均准确率不小于99%。</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设备内置4个电机，双通道均支持PT一体化云台，通道1和通道2的云台应可独立控制，可通过IE浏览器或客户端远程调节PT位置以实现监控场景的切换。</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双镜头PT云台旋转角度均支持水平调节角度：0°～180°，垂直调节角度：-5°～30°。</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可通过IE浏览器或客户端分别检查通道1和通道2的PT云台控制功能，自检命令下发后，设备镜头可上、下、左、右完成自检，并反馈自检结果。</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样机内置能耗检测模块，可实时检测输入电压和功耗信息，可生成日报表、周报表，并以图表形式展现。</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自带机身平衡检测模块，可指示设备安装是否水平。</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设备内置8颗混合补光灯，通道1通道2均具有4颗混合补光灯，各含一组近光灯和一组远光灯，支持自动和手动亮度调节模式；手动模式下可独立配置双通道的混合补光灯组的红外和白光补光灯亮度值。</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设备可识别距离样机不小于80m的人体轮廓。</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内置鳞镜式补光灯，补光灯开启后，灯光均匀无波纹、圆环状、麻点状、条纹状和不规则亮斑。</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设备具有2路音频输入接口，1路音频输出接口，3路报警输入接口，2路报警输出接口</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设备防护等级不低于IP67，工作温度：-30 °C~60 °C。</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只</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11</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宿管终端</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系统功能</w:t>
            </w:r>
          </w:p>
          <w:p>
            <w:pPr>
              <w:widowControl/>
              <w:jc w:val="left"/>
              <w:textAlignment w:val="center"/>
              <w:rPr>
                <w:rFonts w:ascii="宋体" w:hAnsi="宋体" w:cs="宋体"/>
                <w:kern w:val="0"/>
                <w:szCs w:val="21"/>
              </w:rPr>
            </w:pPr>
            <w:r>
              <w:rPr>
                <w:rFonts w:hint="eastAsia" w:ascii="宋体" w:hAnsi="宋体" w:cs="宋体"/>
                <w:kern w:val="0"/>
                <w:szCs w:val="21"/>
              </w:rPr>
              <w:t>1、监控显示：支持门禁通道实时监控视频显示；</w:t>
            </w:r>
          </w:p>
          <w:p>
            <w:pPr>
              <w:widowControl/>
              <w:jc w:val="left"/>
              <w:textAlignment w:val="center"/>
              <w:rPr>
                <w:rFonts w:ascii="宋体" w:hAnsi="宋体" w:cs="宋体"/>
                <w:kern w:val="0"/>
                <w:szCs w:val="21"/>
              </w:rPr>
            </w:pPr>
            <w:r>
              <w:rPr>
                <w:rFonts w:hint="eastAsia" w:ascii="宋体" w:hAnsi="宋体" w:cs="宋体"/>
                <w:kern w:val="0"/>
                <w:szCs w:val="21"/>
              </w:rPr>
              <w:t>2、识别结果显示：支持通行人员身份识别与显示；</w:t>
            </w:r>
          </w:p>
          <w:p>
            <w:pPr>
              <w:widowControl/>
              <w:jc w:val="left"/>
              <w:textAlignment w:val="center"/>
              <w:rPr>
                <w:rFonts w:ascii="宋体" w:hAnsi="宋体" w:cs="宋体"/>
                <w:kern w:val="0"/>
                <w:szCs w:val="21"/>
              </w:rPr>
            </w:pPr>
            <w:r>
              <w:rPr>
                <w:rFonts w:hint="eastAsia" w:ascii="宋体" w:hAnsi="宋体" w:cs="宋体"/>
                <w:kern w:val="0"/>
                <w:szCs w:val="21"/>
              </w:rPr>
              <w:t>3、陌生人识别提醒：支持陌生人员识别与提醒；</w:t>
            </w:r>
          </w:p>
          <w:p>
            <w:pPr>
              <w:widowControl/>
              <w:jc w:val="left"/>
              <w:textAlignment w:val="center"/>
              <w:rPr>
                <w:rFonts w:ascii="宋体" w:hAnsi="宋体" w:cs="宋体"/>
                <w:kern w:val="0"/>
                <w:szCs w:val="21"/>
              </w:rPr>
            </w:pPr>
            <w:r>
              <w:rPr>
                <w:rFonts w:hint="eastAsia" w:ascii="宋体" w:hAnsi="宋体" w:cs="宋体"/>
                <w:kern w:val="0"/>
                <w:szCs w:val="21"/>
              </w:rPr>
              <w:t>4、黑名单人员预警：支持黑名单人员识别与预警；</w:t>
            </w:r>
          </w:p>
          <w:p>
            <w:pPr>
              <w:widowControl/>
              <w:jc w:val="left"/>
              <w:textAlignment w:val="center"/>
              <w:rPr>
                <w:rFonts w:ascii="宋体" w:hAnsi="宋体" w:cs="宋体"/>
                <w:kern w:val="0"/>
                <w:szCs w:val="21"/>
              </w:rPr>
            </w:pPr>
            <w:r>
              <w:rPr>
                <w:rFonts w:hint="eastAsia" w:ascii="宋体" w:hAnsi="宋体" w:cs="宋体"/>
                <w:kern w:val="0"/>
                <w:szCs w:val="21"/>
              </w:rPr>
              <w:t>5、人员管理：支持学生或教职工身份信息管理；</w:t>
            </w:r>
          </w:p>
          <w:p>
            <w:pPr>
              <w:widowControl/>
              <w:jc w:val="left"/>
              <w:textAlignment w:val="center"/>
              <w:rPr>
                <w:rFonts w:ascii="宋体" w:hAnsi="宋体" w:cs="宋体"/>
                <w:kern w:val="0"/>
                <w:szCs w:val="21"/>
              </w:rPr>
            </w:pPr>
            <w:r>
              <w:rPr>
                <w:rFonts w:hint="eastAsia" w:ascii="宋体" w:hAnsi="宋体" w:cs="宋体"/>
                <w:kern w:val="0"/>
                <w:szCs w:val="21"/>
              </w:rPr>
              <w:t>6、通知公告发布：支持预定义的通知公告信息内容发布，可定期更新。</w:t>
            </w:r>
          </w:p>
          <w:p>
            <w:pPr>
              <w:widowControl/>
              <w:jc w:val="left"/>
              <w:textAlignment w:val="center"/>
              <w:rPr>
                <w:rFonts w:ascii="宋体" w:hAnsi="宋体" w:cs="宋体"/>
                <w:kern w:val="0"/>
                <w:szCs w:val="21"/>
              </w:rPr>
            </w:pPr>
            <w:r>
              <w:rPr>
                <w:rFonts w:hint="eastAsia" w:ascii="宋体" w:hAnsi="宋体" w:cs="宋体"/>
                <w:kern w:val="0"/>
                <w:szCs w:val="21"/>
              </w:rPr>
              <w:t>硬件参数</w:t>
            </w:r>
          </w:p>
          <w:p>
            <w:pPr>
              <w:widowControl/>
              <w:jc w:val="left"/>
              <w:textAlignment w:val="center"/>
              <w:rPr>
                <w:rFonts w:ascii="宋体" w:hAnsi="宋体" w:cs="宋体"/>
                <w:kern w:val="0"/>
                <w:szCs w:val="21"/>
              </w:rPr>
            </w:pPr>
            <w:r>
              <w:rPr>
                <w:rFonts w:hint="eastAsia" w:ascii="宋体" w:hAnsi="宋体" w:cs="宋体"/>
                <w:kern w:val="0"/>
                <w:szCs w:val="21"/>
              </w:rPr>
              <w:t>1、工控级硬件设计；</w:t>
            </w:r>
          </w:p>
          <w:p>
            <w:pPr>
              <w:widowControl/>
              <w:jc w:val="left"/>
              <w:textAlignment w:val="center"/>
              <w:rPr>
                <w:rFonts w:ascii="宋体" w:hAnsi="宋体" w:cs="宋体"/>
                <w:kern w:val="0"/>
                <w:szCs w:val="21"/>
              </w:rPr>
            </w:pPr>
            <w:r>
              <w:rPr>
                <w:rFonts w:hint="eastAsia" w:ascii="宋体" w:hAnsi="宋体" w:cs="宋体"/>
                <w:kern w:val="0"/>
                <w:szCs w:val="21"/>
              </w:rPr>
              <w:t>2、支持7*24小时持续运行；</w:t>
            </w:r>
          </w:p>
          <w:p>
            <w:pPr>
              <w:widowControl/>
              <w:jc w:val="left"/>
              <w:textAlignment w:val="center"/>
              <w:rPr>
                <w:rFonts w:ascii="宋体" w:hAnsi="宋体" w:cs="宋体"/>
                <w:kern w:val="0"/>
                <w:szCs w:val="21"/>
              </w:rPr>
            </w:pPr>
            <w:r>
              <w:rPr>
                <w:rFonts w:hint="eastAsia" w:ascii="宋体" w:hAnsi="宋体" w:cs="宋体"/>
                <w:kern w:val="0"/>
                <w:szCs w:val="21"/>
              </w:rPr>
              <w:t>3、支持VGA、HDMI显示信号同时输出；</w:t>
            </w:r>
          </w:p>
          <w:p>
            <w:pPr>
              <w:widowControl/>
              <w:jc w:val="left"/>
              <w:textAlignment w:val="center"/>
              <w:rPr>
                <w:rFonts w:ascii="宋体" w:hAnsi="宋体" w:cs="宋体"/>
                <w:kern w:val="0"/>
                <w:szCs w:val="21"/>
              </w:rPr>
            </w:pPr>
            <w:r>
              <w:rPr>
                <w:rFonts w:hint="eastAsia" w:ascii="宋体" w:hAnsi="宋体" w:cs="宋体"/>
                <w:kern w:val="0"/>
                <w:szCs w:val="21"/>
              </w:rPr>
              <w:t>4、定制版无人值守工控级操作系统，上电自动启动、非法断电不影响系统正常使用。</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12</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可视化显示终端</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硬件参数</w:t>
            </w:r>
          </w:p>
          <w:p>
            <w:pPr>
              <w:widowControl/>
              <w:jc w:val="left"/>
              <w:textAlignment w:val="center"/>
              <w:rPr>
                <w:rFonts w:ascii="宋体" w:hAnsi="宋体" w:cs="宋体"/>
                <w:kern w:val="0"/>
                <w:szCs w:val="21"/>
              </w:rPr>
            </w:pPr>
            <w:r>
              <w:rPr>
                <w:rFonts w:hint="eastAsia" w:ascii="宋体" w:hAnsi="宋体" w:cs="宋体"/>
                <w:kern w:val="0"/>
                <w:szCs w:val="21"/>
              </w:rPr>
              <w:t>1、屏幕尺寸：≥50英寸；</w:t>
            </w:r>
          </w:p>
          <w:p>
            <w:pPr>
              <w:widowControl/>
              <w:jc w:val="left"/>
              <w:textAlignment w:val="center"/>
              <w:rPr>
                <w:rFonts w:ascii="宋体" w:hAnsi="宋体" w:cs="宋体"/>
                <w:kern w:val="0"/>
                <w:szCs w:val="21"/>
              </w:rPr>
            </w:pPr>
            <w:r>
              <w:rPr>
                <w:rFonts w:hint="eastAsia" w:ascii="宋体" w:hAnsi="宋体" w:cs="宋体"/>
                <w:kern w:val="0"/>
                <w:szCs w:val="21"/>
              </w:rPr>
              <w:t>2、屏幕类型：窄边屏或全面屏；</w:t>
            </w:r>
          </w:p>
          <w:p>
            <w:pPr>
              <w:widowControl/>
              <w:jc w:val="left"/>
              <w:textAlignment w:val="center"/>
              <w:rPr>
                <w:rFonts w:ascii="宋体" w:hAnsi="宋体" w:cs="宋体"/>
                <w:kern w:val="0"/>
                <w:szCs w:val="21"/>
              </w:rPr>
            </w:pPr>
            <w:r>
              <w:rPr>
                <w:rFonts w:hint="eastAsia" w:ascii="宋体" w:hAnsi="宋体" w:cs="宋体"/>
                <w:kern w:val="0"/>
                <w:szCs w:val="21"/>
              </w:rPr>
              <w:t>3、显示类型：LED背光源；</w:t>
            </w:r>
          </w:p>
          <w:p>
            <w:pPr>
              <w:widowControl/>
              <w:jc w:val="left"/>
              <w:textAlignment w:val="center"/>
              <w:rPr>
                <w:rFonts w:ascii="宋体" w:hAnsi="宋体" w:cs="宋体"/>
                <w:kern w:val="0"/>
                <w:szCs w:val="21"/>
              </w:rPr>
            </w:pPr>
            <w:r>
              <w:rPr>
                <w:rFonts w:hint="eastAsia" w:ascii="宋体" w:hAnsi="宋体" w:cs="宋体"/>
                <w:kern w:val="0"/>
                <w:szCs w:val="21"/>
              </w:rPr>
              <w:t>4、显示比例：16:9；</w:t>
            </w:r>
          </w:p>
          <w:p>
            <w:pPr>
              <w:widowControl/>
              <w:jc w:val="left"/>
              <w:textAlignment w:val="center"/>
              <w:rPr>
                <w:rFonts w:ascii="宋体" w:hAnsi="宋体" w:cs="宋体"/>
                <w:kern w:val="0"/>
                <w:szCs w:val="21"/>
              </w:rPr>
            </w:pPr>
            <w:r>
              <w:rPr>
                <w:rFonts w:hint="eastAsia" w:ascii="宋体" w:hAnsi="宋体" w:cs="宋体"/>
                <w:kern w:val="0"/>
                <w:szCs w:val="21"/>
              </w:rPr>
              <w:t>5、显示分辨率：超高清4K；</w:t>
            </w:r>
          </w:p>
          <w:p>
            <w:pPr>
              <w:widowControl/>
              <w:jc w:val="left"/>
              <w:textAlignment w:val="center"/>
              <w:rPr>
                <w:rFonts w:ascii="宋体" w:hAnsi="宋体" w:cs="宋体"/>
                <w:kern w:val="0"/>
                <w:szCs w:val="21"/>
              </w:rPr>
            </w:pPr>
            <w:r>
              <w:rPr>
                <w:rFonts w:hint="eastAsia" w:ascii="宋体" w:hAnsi="宋体" w:cs="宋体"/>
                <w:kern w:val="0"/>
                <w:szCs w:val="21"/>
              </w:rPr>
              <w:t>6、CPU：≥四核；</w:t>
            </w:r>
          </w:p>
          <w:p>
            <w:pPr>
              <w:widowControl/>
              <w:jc w:val="left"/>
              <w:textAlignment w:val="center"/>
              <w:rPr>
                <w:rFonts w:ascii="宋体" w:hAnsi="宋体" w:cs="宋体"/>
                <w:kern w:val="0"/>
                <w:szCs w:val="21"/>
              </w:rPr>
            </w:pPr>
            <w:r>
              <w:rPr>
                <w:rFonts w:hint="eastAsia" w:ascii="宋体" w:hAnsi="宋体" w:cs="宋体"/>
                <w:kern w:val="0"/>
                <w:szCs w:val="21"/>
              </w:rPr>
              <w:t>7、运行内存：≥1.5GB；</w:t>
            </w:r>
          </w:p>
          <w:p>
            <w:pPr>
              <w:widowControl/>
              <w:jc w:val="left"/>
              <w:textAlignment w:val="center"/>
              <w:rPr>
                <w:rFonts w:ascii="宋体" w:hAnsi="宋体" w:cs="宋体"/>
                <w:kern w:val="0"/>
                <w:szCs w:val="21"/>
              </w:rPr>
            </w:pPr>
            <w:r>
              <w:rPr>
                <w:rFonts w:hint="eastAsia" w:ascii="宋体" w:hAnsi="宋体" w:cs="宋体"/>
                <w:kern w:val="0"/>
                <w:szCs w:val="21"/>
              </w:rPr>
              <w:t>8、存储内存：≥8GB；</w:t>
            </w:r>
          </w:p>
          <w:p>
            <w:pPr>
              <w:widowControl/>
              <w:jc w:val="left"/>
              <w:textAlignment w:val="center"/>
              <w:rPr>
                <w:rFonts w:ascii="宋体" w:hAnsi="宋体" w:cs="宋体"/>
                <w:kern w:val="0"/>
                <w:szCs w:val="21"/>
              </w:rPr>
            </w:pPr>
            <w:r>
              <w:rPr>
                <w:rFonts w:hint="eastAsia" w:ascii="宋体" w:hAnsi="宋体" w:cs="宋体"/>
                <w:kern w:val="0"/>
                <w:szCs w:val="21"/>
              </w:rPr>
              <w:t>9、操作系统：≥Android5.0；</w:t>
            </w:r>
          </w:p>
          <w:p>
            <w:pPr>
              <w:widowControl/>
              <w:jc w:val="left"/>
              <w:textAlignment w:val="center"/>
              <w:rPr>
                <w:rFonts w:ascii="宋体" w:hAnsi="宋体" w:cs="宋体"/>
                <w:kern w:val="0"/>
                <w:szCs w:val="21"/>
              </w:rPr>
            </w:pPr>
            <w:r>
              <w:rPr>
                <w:rFonts w:hint="eastAsia" w:ascii="宋体" w:hAnsi="宋体" w:cs="宋体"/>
                <w:kern w:val="0"/>
                <w:szCs w:val="21"/>
              </w:rPr>
              <w:t>10、亮度：200-300尼特；</w:t>
            </w:r>
          </w:p>
          <w:p>
            <w:pPr>
              <w:widowControl/>
              <w:jc w:val="left"/>
              <w:textAlignment w:val="center"/>
              <w:rPr>
                <w:rFonts w:ascii="宋体" w:hAnsi="宋体" w:cs="宋体"/>
                <w:kern w:val="0"/>
                <w:szCs w:val="21"/>
              </w:rPr>
            </w:pPr>
            <w:r>
              <w:rPr>
                <w:rFonts w:hint="eastAsia" w:ascii="宋体" w:hAnsi="宋体" w:cs="宋体"/>
                <w:kern w:val="0"/>
                <w:szCs w:val="21"/>
              </w:rPr>
              <w:t>11、对比度：≥3000：1；</w:t>
            </w:r>
          </w:p>
          <w:p>
            <w:pPr>
              <w:widowControl/>
              <w:jc w:val="left"/>
              <w:textAlignment w:val="center"/>
              <w:rPr>
                <w:rFonts w:ascii="宋体" w:hAnsi="宋体" w:cs="宋体"/>
                <w:kern w:val="0"/>
                <w:szCs w:val="21"/>
              </w:rPr>
            </w:pPr>
            <w:r>
              <w:rPr>
                <w:rFonts w:hint="eastAsia" w:ascii="宋体" w:hAnsi="宋体" w:cs="宋体"/>
                <w:kern w:val="0"/>
                <w:szCs w:val="21"/>
              </w:rPr>
              <w:t>12、刷屏率：60Hz；</w:t>
            </w:r>
          </w:p>
          <w:p>
            <w:pPr>
              <w:widowControl/>
              <w:jc w:val="left"/>
              <w:textAlignment w:val="center"/>
              <w:rPr>
                <w:rFonts w:ascii="宋体" w:hAnsi="宋体" w:cs="宋体"/>
                <w:kern w:val="0"/>
                <w:szCs w:val="21"/>
              </w:rPr>
            </w:pPr>
            <w:r>
              <w:rPr>
                <w:rFonts w:hint="eastAsia" w:ascii="宋体" w:hAnsi="宋体" w:cs="宋体"/>
                <w:kern w:val="0"/>
                <w:szCs w:val="21"/>
              </w:rPr>
              <w:t>13、响应时间：≤9ms；</w:t>
            </w:r>
          </w:p>
          <w:p>
            <w:pPr>
              <w:widowControl/>
              <w:jc w:val="left"/>
              <w:textAlignment w:val="center"/>
              <w:rPr>
                <w:rFonts w:ascii="宋体" w:hAnsi="宋体" w:cs="宋体"/>
                <w:kern w:val="0"/>
                <w:szCs w:val="21"/>
              </w:rPr>
            </w:pPr>
            <w:r>
              <w:rPr>
                <w:rFonts w:hint="eastAsia" w:ascii="宋体" w:hAnsi="宋体" w:cs="宋体"/>
                <w:kern w:val="0"/>
                <w:szCs w:val="21"/>
              </w:rPr>
              <w:t>14、信号输入：HDMI；</w:t>
            </w:r>
          </w:p>
          <w:p>
            <w:pPr>
              <w:widowControl/>
              <w:jc w:val="left"/>
              <w:textAlignment w:val="center"/>
              <w:rPr>
                <w:rFonts w:ascii="宋体" w:hAnsi="宋体" w:cs="宋体"/>
                <w:kern w:val="0"/>
                <w:szCs w:val="21"/>
              </w:rPr>
            </w:pPr>
            <w:r>
              <w:rPr>
                <w:rFonts w:hint="eastAsia" w:ascii="宋体" w:hAnsi="宋体" w:cs="宋体"/>
                <w:kern w:val="0"/>
                <w:szCs w:val="21"/>
              </w:rPr>
              <w:t>15、安装方式：壁挂。</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13</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可视化显示终端</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1.液晶屏显示尺寸≥86寸，屏幕采用A规屏；显示比例16:9；分辨率≥3840*2160，可视角度≥178°，屏幕显示灰度分辨率等级达到256级以上灰阶。</w:t>
            </w:r>
          </w:p>
          <w:p>
            <w:pPr>
              <w:widowControl/>
              <w:jc w:val="left"/>
              <w:textAlignment w:val="center"/>
              <w:rPr>
                <w:rFonts w:ascii="宋体" w:hAnsi="宋体" w:cs="宋体"/>
                <w:kern w:val="0"/>
                <w:szCs w:val="21"/>
              </w:rPr>
            </w:pPr>
            <w:r>
              <w:rPr>
                <w:rFonts w:ascii="宋体" w:hAnsi="宋体" w:cs="宋体"/>
                <w:kern w:val="0"/>
                <w:szCs w:val="21"/>
              </w:rPr>
              <w:t>2</w:t>
            </w:r>
            <w:r>
              <w:rPr>
                <w:rFonts w:hint="eastAsia" w:ascii="宋体" w:hAnsi="宋体" w:cs="宋体"/>
                <w:kern w:val="0"/>
                <w:szCs w:val="21"/>
              </w:rPr>
              <w:t>.采用红外感应技术，在双系统下均支持不少于20点触控，触摸分辨率≥32768（W）*32768（D）；。</w:t>
            </w:r>
          </w:p>
          <w:p>
            <w:pPr>
              <w:widowControl/>
              <w:jc w:val="left"/>
              <w:textAlignment w:val="center"/>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.屏幕表面采用高品质3.2mm厚防眩光钢化玻璃，透光率≥91%，表面硬度≥8H。使得屏幕显示更加通透，画质更加清晰。</w:t>
            </w:r>
          </w:p>
          <w:p>
            <w:pPr>
              <w:widowControl/>
              <w:jc w:val="left"/>
              <w:textAlignment w:val="center"/>
              <w:rPr>
                <w:rFonts w:ascii="宋体" w:hAnsi="宋体" w:cs="宋体"/>
                <w:kern w:val="0"/>
                <w:szCs w:val="21"/>
              </w:rPr>
            </w:pPr>
            <w:r>
              <w:rPr>
                <w:rFonts w:ascii="宋体" w:hAnsi="宋体" w:cs="宋体"/>
                <w:kern w:val="0"/>
                <w:szCs w:val="21"/>
              </w:rPr>
              <w:t>4</w:t>
            </w:r>
            <w:r>
              <w:rPr>
                <w:rFonts w:hint="eastAsia" w:ascii="宋体" w:hAnsi="宋体" w:cs="宋体"/>
                <w:kern w:val="0"/>
                <w:szCs w:val="21"/>
              </w:rPr>
              <w:t>.产品前面板独立物理按钮可实现开机、关机功能。</w:t>
            </w:r>
          </w:p>
          <w:p>
            <w:pPr>
              <w:widowControl/>
              <w:jc w:val="left"/>
              <w:textAlignment w:val="center"/>
              <w:rPr>
                <w:rFonts w:ascii="宋体" w:hAnsi="宋体" w:cs="宋体"/>
                <w:kern w:val="0"/>
                <w:szCs w:val="21"/>
              </w:rPr>
            </w:pPr>
            <w:r>
              <w:rPr>
                <w:rFonts w:ascii="宋体" w:hAnsi="宋体" w:cs="宋体"/>
                <w:kern w:val="0"/>
                <w:szCs w:val="21"/>
              </w:rPr>
              <w:t>5</w:t>
            </w:r>
            <w:r>
              <w:rPr>
                <w:rFonts w:hint="eastAsia" w:ascii="宋体" w:hAnsi="宋体" w:cs="宋体"/>
                <w:kern w:val="0"/>
                <w:szCs w:val="21"/>
              </w:rPr>
              <w:t>.设备前置面板需具有以下无转接接口： Type-C、2*USB Type-A。侧置需具有以下无转接接口：HDMI IN、HDMI OUT、MIC IN、MIC OUT、RJ45、控制串口、USB Type-A。</w:t>
            </w:r>
          </w:p>
          <w:p>
            <w:pPr>
              <w:widowControl/>
              <w:jc w:val="left"/>
              <w:textAlignment w:val="center"/>
              <w:rPr>
                <w:rFonts w:ascii="宋体" w:hAnsi="宋体" w:cs="宋体"/>
                <w:kern w:val="0"/>
                <w:szCs w:val="21"/>
              </w:rPr>
            </w:pPr>
            <w:r>
              <w:rPr>
                <w:rFonts w:ascii="宋体" w:hAnsi="宋体" w:cs="宋体"/>
                <w:kern w:val="0"/>
                <w:szCs w:val="21"/>
              </w:rPr>
              <w:t>6</w:t>
            </w:r>
            <w:r>
              <w:rPr>
                <w:rFonts w:hint="eastAsia" w:ascii="宋体" w:hAnsi="宋体" w:cs="宋体"/>
                <w:kern w:val="0"/>
                <w:szCs w:val="21"/>
              </w:rPr>
              <w:t>.内置摄像机，视频像素≥800万，支持4K30fps拍摄，无需对焦可始终保持画面拍摄清晰。</w:t>
            </w:r>
          </w:p>
          <w:p>
            <w:pPr>
              <w:widowControl/>
              <w:jc w:val="left"/>
              <w:textAlignment w:val="center"/>
              <w:rPr>
                <w:rFonts w:ascii="宋体" w:hAnsi="宋体" w:cs="宋体"/>
                <w:kern w:val="0"/>
                <w:szCs w:val="21"/>
              </w:rPr>
            </w:pPr>
            <w:r>
              <w:rPr>
                <w:rFonts w:ascii="宋体" w:hAnsi="宋体" w:cs="宋体"/>
                <w:kern w:val="0"/>
                <w:szCs w:val="21"/>
              </w:rPr>
              <w:t>7</w:t>
            </w:r>
            <w:r>
              <w:rPr>
                <w:rFonts w:hint="eastAsia" w:ascii="宋体" w:hAnsi="宋体" w:cs="宋体"/>
                <w:kern w:val="0"/>
                <w:szCs w:val="21"/>
              </w:rPr>
              <w:t>.采用多声道组合音响，提供多个喇叭单元，喇叭模组总功率不低于30W。</w:t>
            </w:r>
          </w:p>
          <w:p>
            <w:pPr>
              <w:widowControl/>
              <w:jc w:val="left"/>
              <w:textAlignment w:val="center"/>
              <w:rPr>
                <w:rFonts w:ascii="宋体" w:hAnsi="宋体" w:cs="宋体"/>
                <w:kern w:val="0"/>
                <w:szCs w:val="21"/>
              </w:rPr>
            </w:pPr>
            <w:r>
              <w:rPr>
                <w:rFonts w:ascii="宋体" w:hAnsi="宋体" w:cs="宋体"/>
                <w:kern w:val="0"/>
                <w:szCs w:val="21"/>
              </w:rPr>
              <w:t>8</w:t>
            </w:r>
            <w:r>
              <w:rPr>
                <w:rFonts w:hint="eastAsia" w:ascii="宋体" w:hAnsi="宋体" w:cs="宋体"/>
                <w:kern w:val="0"/>
                <w:szCs w:val="21"/>
              </w:rPr>
              <w:t>.内置≥6个非独立外扩展的麦克风，拾音距离大于1</w:t>
            </w:r>
            <w:r>
              <w:rPr>
                <w:rFonts w:ascii="宋体" w:hAnsi="宋体" w:cs="宋体"/>
                <w:kern w:val="0"/>
                <w:szCs w:val="21"/>
              </w:rPr>
              <w:t>0</w:t>
            </w:r>
            <w:r>
              <w:rPr>
                <w:rFonts w:hint="eastAsia" w:ascii="宋体" w:hAnsi="宋体" w:cs="宋体"/>
                <w:kern w:val="0"/>
                <w:szCs w:val="21"/>
              </w:rPr>
              <w:t>米，支持自动音源定位，前向180度拾音。</w:t>
            </w:r>
            <w:r>
              <w:rPr>
                <w:rFonts w:ascii="宋体" w:hAnsi="宋体" w:cs="宋体"/>
                <w:kern w:val="0"/>
                <w:szCs w:val="21"/>
              </w:rPr>
              <w:t xml:space="preserve"> </w:t>
            </w:r>
          </w:p>
          <w:p>
            <w:pPr>
              <w:widowControl/>
              <w:jc w:val="left"/>
              <w:textAlignment w:val="center"/>
              <w:rPr>
                <w:rFonts w:ascii="宋体" w:hAnsi="宋体" w:cs="宋体"/>
                <w:kern w:val="0"/>
                <w:szCs w:val="21"/>
              </w:rPr>
            </w:pPr>
            <w:r>
              <w:rPr>
                <w:rFonts w:ascii="宋体" w:hAnsi="宋体" w:cs="宋体"/>
                <w:kern w:val="0"/>
                <w:szCs w:val="21"/>
              </w:rPr>
              <w:t>9</w:t>
            </w:r>
            <w:r>
              <w:rPr>
                <w:rFonts w:hint="eastAsia" w:ascii="宋体" w:hAnsi="宋体" w:cs="宋体"/>
                <w:kern w:val="0"/>
                <w:szCs w:val="21"/>
              </w:rPr>
              <w:t>.内置嵌入式国产化操作系统或安卓11及以上操作系统，支持在线升级；主页面提供≥6个应用程序，并可以根据教学需求随意替换。</w:t>
            </w:r>
          </w:p>
          <w:p>
            <w:pPr>
              <w:widowControl/>
              <w:jc w:val="left"/>
              <w:textAlignment w:val="center"/>
              <w:rPr>
                <w:rFonts w:ascii="宋体" w:hAnsi="宋体" w:cs="宋体"/>
                <w:kern w:val="0"/>
                <w:szCs w:val="21"/>
              </w:rPr>
            </w:pPr>
            <w:r>
              <w:rPr>
                <w:rFonts w:ascii="宋体" w:hAnsi="宋体" w:cs="宋体"/>
                <w:kern w:val="0"/>
                <w:szCs w:val="21"/>
              </w:rPr>
              <w:t>10</w:t>
            </w:r>
            <w:r>
              <w:rPr>
                <w:rFonts w:hint="eastAsia" w:ascii="宋体" w:hAnsi="宋体" w:cs="宋体"/>
                <w:kern w:val="0"/>
                <w:szCs w:val="21"/>
              </w:rPr>
              <w:t>.在无外接OPS电脑状态下，设备须提供包括但不限于欢迎屏、壁纸、信息窗等小工具，教师也可在班会、家长会等场景下自定义展示内容，也可使用设备自带模板。</w:t>
            </w:r>
          </w:p>
          <w:p>
            <w:pPr>
              <w:widowControl/>
              <w:jc w:val="left"/>
              <w:textAlignment w:val="center"/>
              <w:rPr>
                <w:rFonts w:ascii="宋体" w:hAnsi="宋体" w:cs="宋体"/>
                <w:kern w:val="0"/>
                <w:szCs w:val="21"/>
              </w:rPr>
            </w:pPr>
            <w:r>
              <w:rPr>
                <w:rFonts w:ascii="宋体" w:hAnsi="宋体" w:cs="宋体"/>
                <w:kern w:val="0"/>
                <w:szCs w:val="21"/>
              </w:rPr>
              <w:t>11</w:t>
            </w:r>
            <w:r>
              <w:rPr>
                <w:rFonts w:hint="eastAsia" w:ascii="宋体" w:hAnsi="宋体" w:cs="宋体"/>
                <w:kern w:val="0"/>
                <w:szCs w:val="21"/>
              </w:rPr>
              <w:t>.在无外接OPS电脑状态下，嵌入式操作系统下可实现windows系统中常用的教学应用功能，如白板书写、投屏功能、办公软件、网页浏览、图片浏览、视音频播放等。</w:t>
            </w:r>
          </w:p>
          <w:p>
            <w:pPr>
              <w:widowControl/>
              <w:jc w:val="left"/>
              <w:textAlignment w:val="center"/>
              <w:rPr>
                <w:rFonts w:ascii="宋体" w:hAnsi="宋体" w:cs="宋体"/>
                <w:kern w:val="0"/>
                <w:szCs w:val="21"/>
              </w:rPr>
            </w:pPr>
            <w:r>
              <w:rPr>
                <w:rFonts w:ascii="宋体" w:hAnsi="宋体" w:cs="宋体"/>
                <w:kern w:val="0"/>
                <w:szCs w:val="21"/>
              </w:rPr>
              <w:t>12</w:t>
            </w:r>
            <w:r>
              <w:rPr>
                <w:rFonts w:hint="eastAsia" w:ascii="宋体" w:hAnsi="宋体" w:cs="宋体"/>
                <w:kern w:val="0"/>
                <w:szCs w:val="21"/>
              </w:rPr>
              <w:t>.设备配置高性能CPU及大容量内存、外存。CPU核数≥8核，ROM≥32GB，RAM≥4GB，从而满足非OPS系统下日常教学的正常使用。（提供带CNAS标识的第三方检测报告</w:t>
            </w:r>
            <w:r>
              <w:rPr>
                <w:rFonts w:hint="eastAsia" w:ascii="宋体" w:hAnsi="宋体" w:cs="宋体"/>
                <w:kern w:val="0"/>
                <w:szCs w:val="21"/>
                <w:lang w:eastAsia="zh-CN"/>
              </w:rPr>
              <w:t>电子扫描件</w:t>
            </w:r>
            <w:r>
              <w:rPr>
                <w:rFonts w:hint="eastAsia" w:ascii="宋体" w:hAnsi="宋体" w:cs="宋体"/>
                <w:kern w:val="0"/>
                <w:szCs w:val="21"/>
              </w:rPr>
              <w:t>或原厂彩页</w:t>
            </w:r>
            <w:r>
              <w:rPr>
                <w:rFonts w:hint="eastAsia" w:ascii="宋体" w:hAnsi="宋体" w:cs="宋体"/>
                <w:kern w:val="0"/>
                <w:szCs w:val="21"/>
                <w:lang w:eastAsia="zh-CN"/>
              </w:rPr>
              <w:t>电子扫描件</w:t>
            </w:r>
            <w:r>
              <w:rPr>
                <w:rFonts w:hint="eastAsia" w:ascii="宋体" w:hAnsi="宋体" w:cs="宋体"/>
                <w:kern w:val="0"/>
                <w:szCs w:val="21"/>
              </w:rPr>
              <w:t>或官网截图）</w:t>
            </w:r>
          </w:p>
          <w:p>
            <w:pPr>
              <w:widowControl/>
              <w:jc w:val="left"/>
              <w:textAlignment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.支持手机NFC一碰投屏，通过手机背部的NFC区域直接触碰终端的NFC区域，可实现视音频投屏，投屏后支持打开勿扰模式，避免微信或其他APP弹窗消息投屏到终端上。</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14</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汇聚交换机</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1、交换容量：≥16Gbps；</w:t>
            </w:r>
          </w:p>
          <w:p>
            <w:pPr>
              <w:widowControl/>
              <w:jc w:val="left"/>
              <w:textAlignment w:val="center"/>
              <w:rPr>
                <w:rFonts w:ascii="宋体" w:hAnsi="宋体" w:cs="宋体"/>
                <w:kern w:val="0"/>
                <w:szCs w:val="21"/>
              </w:rPr>
            </w:pPr>
            <w:r>
              <w:rPr>
                <w:rFonts w:hint="eastAsia" w:ascii="宋体" w:hAnsi="宋体" w:cs="宋体"/>
                <w:kern w:val="0"/>
                <w:szCs w:val="21"/>
              </w:rPr>
              <w:t>2、包转发率：≥11.9Mpps；</w:t>
            </w:r>
          </w:p>
          <w:p>
            <w:pPr>
              <w:widowControl/>
              <w:jc w:val="left"/>
              <w:textAlignment w:val="center"/>
              <w:rPr>
                <w:rFonts w:ascii="宋体" w:hAnsi="宋体" w:cs="宋体"/>
                <w:kern w:val="0"/>
                <w:szCs w:val="21"/>
              </w:rPr>
            </w:pPr>
            <w:r>
              <w:rPr>
                <w:rFonts w:hint="eastAsia" w:ascii="宋体" w:hAnsi="宋体" w:cs="宋体"/>
                <w:kern w:val="0"/>
                <w:szCs w:val="21"/>
              </w:rPr>
              <w:t>3、下行端口：≥8个10/100</w:t>
            </w:r>
            <w:r>
              <w:rPr>
                <w:rFonts w:ascii="宋体" w:hAnsi="宋体" w:cs="宋体"/>
                <w:kern w:val="0"/>
                <w:szCs w:val="21"/>
              </w:rPr>
              <w:t xml:space="preserve">/1000M </w:t>
            </w:r>
            <w:r>
              <w:rPr>
                <w:rFonts w:hint="eastAsia" w:ascii="宋体" w:hAnsi="宋体" w:cs="宋体"/>
                <w:kern w:val="0"/>
                <w:szCs w:val="21"/>
              </w:rPr>
              <w:t>Base-T以太网端口；</w:t>
            </w:r>
          </w:p>
          <w:p>
            <w:pPr>
              <w:widowControl/>
              <w:jc w:val="left"/>
              <w:textAlignment w:val="center"/>
              <w:rPr>
                <w:rFonts w:ascii="宋体" w:hAnsi="宋体" w:cs="宋体"/>
                <w:kern w:val="0"/>
                <w:szCs w:val="21"/>
              </w:rPr>
            </w:pPr>
            <w:r>
              <w:rPr>
                <w:rFonts w:hint="eastAsia" w:ascii="宋体" w:hAnsi="宋体" w:cs="宋体"/>
                <w:kern w:val="0"/>
                <w:szCs w:val="21"/>
              </w:rPr>
              <w:t>4、MAC地址表：≥4K MAC；</w:t>
            </w:r>
          </w:p>
          <w:p>
            <w:pPr>
              <w:widowControl/>
              <w:jc w:val="left"/>
              <w:textAlignment w:val="center"/>
              <w:rPr>
                <w:rFonts w:ascii="宋体" w:hAnsi="宋体" w:cs="宋体"/>
                <w:kern w:val="0"/>
                <w:szCs w:val="21"/>
              </w:rPr>
            </w:pPr>
            <w:r>
              <w:rPr>
                <w:rFonts w:hint="eastAsia" w:ascii="宋体" w:hAnsi="宋体" w:cs="宋体"/>
                <w:kern w:val="0"/>
                <w:szCs w:val="21"/>
              </w:rPr>
              <w:t>5、电源类型：外置电源适配器；</w:t>
            </w:r>
          </w:p>
          <w:p>
            <w:pPr>
              <w:widowControl/>
              <w:jc w:val="left"/>
              <w:textAlignment w:val="center"/>
              <w:rPr>
                <w:rFonts w:ascii="宋体" w:hAnsi="宋体" w:cs="宋体"/>
                <w:kern w:val="0"/>
                <w:szCs w:val="21"/>
              </w:rPr>
            </w:pPr>
            <w:r>
              <w:rPr>
                <w:rFonts w:hint="eastAsia" w:ascii="宋体" w:hAnsi="宋体" w:cs="宋体"/>
                <w:kern w:val="0"/>
                <w:szCs w:val="21"/>
              </w:rPr>
              <w:t>6、输入电压：100V AC-240V AC；</w:t>
            </w:r>
          </w:p>
          <w:p>
            <w:pPr>
              <w:widowControl/>
              <w:jc w:val="left"/>
              <w:textAlignment w:val="center"/>
              <w:rPr>
                <w:rFonts w:ascii="宋体" w:hAnsi="宋体" w:cs="宋体"/>
                <w:kern w:val="0"/>
                <w:szCs w:val="21"/>
              </w:rPr>
            </w:pPr>
            <w:r>
              <w:rPr>
                <w:rFonts w:hint="eastAsia" w:ascii="宋体" w:hAnsi="宋体" w:cs="宋体"/>
                <w:kern w:val="0"/>
                <w:szCs w:val="21"/>
              </w:rPr>
              <w:t>7、工作温度：0℃-40℃；</w:t>
            </w:r>
          </w:p>
          <w:p>
            <w:pPr>
              <w:widowControl/>
              <w:jc w:val="left"/>
              <w:textAlignment w:val="center"/>
              <w:rPr>
                <w:rFonts w:ascii="宋体" w:hAnsi="宋体" w:cs="宋体"/>
                <w:kern w:val="0"/>
                <w:szCs w:val="21"/>
              </w:rPr>
            </w:pPr>
            <w:r>
              <w:rPr>
                <w:rFonts w:hint="eastAsia" w:ascii="宋体" w:hAnsi="宋体" w:cs="宋体"/>
                <w:kern w:val="0"/>
                <w:szCs w:val="21"/>
              </w:rPr>
              <w:t>8、散热方式：自然散热。</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15</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接入交换机</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1、交换容量：≥1.6Gbps；</w:t>
            </w:r>
          </w:p>
          <w:p>
            <w:pPr>
              <w:widowControl/>
              <w:jc w:val="left"/>
              <w:textAlignment w:val="center"/>
              <w:rPr>
                <w:rFonts w:ascii="宋体" w:hAnsi="宋体" w:cs="宋体"/>
                <w:kern w:val="0"/>
                <w:szCs w:val="21"/>
              </w:rPr>
            </w:pPr>
            <w:r>
              <w:rPr>
                <w:rFonts w:hint="eastAsia" w:ascii="宋体" w:hAnsi="宋体" w:cs="宋体"/>
                <w:kern w:val="0"/>
                <w:szCs w:val="21"/>
              </w:rPr>
              <w:t>2、包转发率：≥1.19Mpps；</w:t>
            </w:r>
          </w:p>
          <w:p>
            <w:pPr>
              <w:widowControl/>
              <w:jc w:val="left"/>
              <w:textAlignment w:val="center"/>
              <w:rPr>
                <w:rFonts w:ascii="宋体" w:hAnsi="宋体" w:cs="宋体"/>
                <w:kern w:val="0"/>
                <w:szCs w:val="21"/>
              </w:rPr>
            </w:pPr>
            <w:r>
              <w:rPr>
                <w:rFonts w:hint="eastAsia" w:ascii="宋体" w:hAnsi="宋体" w:cs="宋体"/>
                <w:kern w:val="0"/>
                <w:szCs w:val="21"/>
              </w:rPr>
              <w:t>3、下行端口：≥8个10/100</w:t>
            </w:r>
            <w:r>
              <w:rPr>
                <w:rFonts w:ascii="宋体" w:hAnsi="宋体" w:cs="宋体"/>
                <w:kern w:val="0"/>
                <w:szCs w:val="21"/>
              </w:rPr>
              <w:t xml:space="preserve">/1000M </w:t>
            </w:r>
            <w:r>
              <w:rPr>
                <w:rFonts w:hint="eastAsia" w:ascii="宋体" w:hAnsi="宋体" w:cs="宋体"/>
                <w:kern w:val="0"/>
                <w:szCs w:val="21"/>
              </w:rPr>
              <w:t>Base-T以太网端口；</w:t>
            </w:r>
          </w:p>
          <w:p>
            <w:pPr>
              <w:widowControl/>
              <w:jc w:val="left"/>
              <w:textAlignment w:val="center"/>
              <w:rPr>
                <w:rFonts w:ascii="宋体" w:hAnsi="宋体" w:cs="宋体"/>
                <w:kern w:val="0"/>
                <w:szCs w:val="21"/>
              </w:rPr>
            </w:pPr>
            <w:r>
              <w:rPr>
                <w:rFonts w:hint="eastAsia" w:ascii="宋体" w:hAnsi="宋体" w:cs="宋体"/>
                <w:kern w:val="0"/>
                <w:szCs w:val="21"/>
              </w:rPr>
              <w:t>4、MAC地址表：≥2K MAC；</w:t>
            </w:r>
          </w:p>
          <w:p>
            <w:pPr>
              <w:widowControl/>
              <w:jc w:val="left"/>
              <w:textAlignment w:val="center"/>
              <w:rPr>
                <w:rFonts w:ascii="宋体" w:hAnsi="宋体" w:cs="宋体"/>
                <w:kern w:val="0"/>
                <w:szCs w:val="21"/>
              </w:rPr>
            </w:pPr>
            <w:r>
              <w:rPr>
                <w:rFonts w:hint="eastAsia" w:ascii="宋体" w:hAnsi="宋体" w:cs="宋体"/>
                <w:kern w:val="0"/>
                <w:szCs w:val="21"/>
              </w:rPr>
              <w:t>5、电源类型：外置电源适配器；</w:t>
            </w:r>
          </w:p>
          <w:p>
            <w:pPr>
              <w:widowControl/>
              <w:jc w:val="left"/>
              <w:textAlignment w:val="center"/>
              <w:rPr>
                <w:rFonts w:ascii="宋体" w:hAnsi="宋体" w:cs="宋体"/>
                <w:kern w:val="0"/>
                <w:szCs w:val="21"/>
              </w:rPr>
            </w:pPr>
            <w:r>
              <w:rPr>
                <w:rFonts w:hint="eastAsia" w:ascii="宋体" w:hAnsi="宋体" w:cs="宋体"/>
                <w:kern w:val="0"/>
                <w:szCs w:val="21"/>
              </w:rPr>
              <w:t>6、输入电压：100V AC-240V AC；</w:t>
            </w:r>
          </w:p>
          <w:p>
            <w:pPr>
              <w:widowControl/>
              <w:jc w:val="left"/>
              <w:textAlignment w:val="center"/>
              <w:rPr>
                <w:rFonts w:ascii="宋体" w:hAnsi="宋体" w:cs="宋体"/>
                <w:kern w:val="0"/>
                <w:szCs w:val="21"/>
              </w:rPr>
            </w:pPr>
            <w:r>
              <w:rPr>
                <w:rFonts w:hint="eastAsia" w:ascii="宋体" w:hAnsi="宋体" w:cs="宋体"/>
                <w:kern w:val="0"/>
                <w:szCs w:val="21"/>
              </w:rPr>
              <w:t>7、工作温度：0℃-40℃；</w:t>
            </w:r>
          </w:p>
          <w:p>
            <w:pPr>
              <w:widowControl/>
              <w:jc w:val="left"/>
              <w:textAlignment w:val="center"/>
              <w:rPr>
                <w:rFonts w:ascii="宋体" w:hAnsi="宋体" w:cs="宋体"/>
                <w:kern w:val="0"/>
                <w:szCs w:val="21"/>
              </w:rPr>
            </w:pPr>
            <w:r>
              <w:rPr>
                <w:rFonts w:hint="eastAsia" w:ascii="宋体" w:hAnsi="宋体" w:cs="宋体"/>
                <w:kern w:val="0"/>
                <w:szCs w:val="21"/>
              </w:rPr>
              <w:t>8、散热方式：自然散热。</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24</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16</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不锈钢电控护栏门</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1、门禁闸机侧旁护栏门；</w:t>
            </w:r>
          </w:p>
          <w:p>
            <w:pPr>
              <w:widowControl/>
              <w:jc w:val="left"/>
              <w:textAlignment w:val="center"/>
              <w:rPr>
                <w:rFonts w:ascii="宋体" w:hAnsi="宋体" w:cs="宋体"/>
                <w:kern w:val="0"/>
                <w:szCs w:val="21"/>
              </w:rPr>
            </w:pPr>
            <w:r>
              <w:rPr>
                <w:rFonts w:hint="eastAsia" w:ascii="宋体" w:hAnsi="宋体" w:cs="宋体"/>
                <w:kern w:val="0"/>
                <w:szCs w:val="21"/>
              </w:rPr>
              <w:t>2、采用国产优质SUS304不锈钢材质；</w:t>
            </w:r>
          </w:p>
          <w:p>
            <w:pPr>
              <w:widowControl/>
              <w:jc w:val="left"/>
              <w:textAlignment w:val="center"/>
              <w:rPr>
                <w:rFonts w:ascii="宋体" w:hAnsi="宋体" w:cs="宋体"/>
                <w:kern w:val="0"/>
                <w:szCs w:val="21"/>
              </w:rPr>
            </w:pPr>
            <w:r>
              <w:rPr>
                <w:rFonts w:hint="eastAsia" w:ascii="宋体" w:hAnsi="宋体" w:cs="宋体"/>
                <w:kern w:val="0"/>
                <w:szCs w:val="21"/>
              </w:rPr>
              <w:t>3、配套磁力锁、开门按钮等部件；</w:t>
            </w:r>
          </w:p>
          <w:p>
            <w:pPr>
              <w:widowControl/>
              <w:jc w:val="left"/>
              <w:textAlignment w:val="center"/>
              <w:rPr>
                <w:rFonts w:ascii="宋体" w:hAnsi="宋体" w:cs="宋体"/>
                <w:kern w:val="0"/>
                <w:szCs w:val="21"/>
              </w:rPr>
            </w:pPr>
            <w:r>
              <w:rPr>
                <w:rFonts w:hint="eastAsia" w:ascii="宋体" w:hAnsi="宋体" w:cs="宋体"/>
                <w:kern w:val="0"/>
                <w:szCs w:val="21"/>
              </w:rPr>
              <w:t>4、尺寸根据现场情况定制。</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r>
              <w:rPr>
                <w:rFonts w:ascii="宋体" w:hAnsi="宋体" w:cs="宋体"/>
                <w:kern w:val="0"/>
                <w:szCs w:val="21"/>
              </w:rPr>
              <w:t>7</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系统安装与对接</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1、提供本系统的安装调试与数据对接等服务；</w:t>
            </w:r>
          </w:p>
          <w:p>
            <w:pPr>
              <w:widowControl/>
              <w:jc w:val="left"/>
              <w:textAlignment w:val="center"/>
              <w:rPr>
                <w:rFonts w:ascii="宋体" w:hAnsi="宋体" w:cs="宋体"/>
                <w:kern w:val="0"/>
                <w:szCs w:val="21"/>
              </w:rPr>
            </w:pPr>
            <w:r>
              <w:rPr>
                <w:rFonts w:hint="eastAsia" w:ascii="宋体" w:hAnsi="宋体" w:cs="宋体"/>
                <w:kern w:val="0"/>
                <w:szCs w:val="21"/>
              </w:rPr>
              <w:t>2、平台系统需提供标准API接口，后期可与校内其他应用系统实现数据共享、业务信息交互等；</w:t>
            </w:r>
          </w:p>
          <w:p>
            <w:pPr>
              <w:widowControl/>
              <w:jc w:val="left"/>
              <w:textAlignment w:val="center"/>
              <w:rPr>
                <w:rFonts w:ascii="宋体" w:hAnsi="宋体" w:cs="宋体"/>
                <w:kern w:val="0"/>
                <w:szCs w:val="21"/>
              </w:rPr>
            </w:pPr>
            <w:r>
              <w:rPr>
                <w:rFonts w:hint="eastAsia" w:ascii="宋体" w:hAnsi="宋体" w:cs="宋体"/>
                <w:kern w:val="0"/>
                <w:szCs w:val="21"/>
              </w:rPr>
              <w:t>3、平台系统可对接校内现有人员信息数据库，获取并同步人员信息数据；</w:t>
            </w:r>
          </w:p>
          <w:p>
            <w:pPr>
              <w:widowControl/>
              <w:jc w:val="left"/>
              <w:textAlignment w:val="center"/>
              <w:rPr>
                <w:rFonts w:ascii="宋体" w:hAnsi="宋体" w:cs="宋体"/>
                <w:kern w:val="0"/>
                <w:szCs w:val="21"/>
              </w:rPr>
            </w:pPr>
            <w:r>
              <w:rPr>
                <w:rFonts w:hint="eastAsia" w:ascii="宋体" w:hAnsi="宋体" w:cs="宋体"/>
                <w:kern w:val="0"/>
                <w:szCs w:val="21"/>
              </w:rPr>
              <w:t>4、平台系统需开发数据推送服务，可向校内其他业务应用系统推送业务数据；</w:t>
            </w:r>
          </w:p>
          <w:p>
            <w:pPr>
              <w:widowControl/>
              <w:jc w:val="left"/>
              <w:textAlignment w:val="center"/>
              <w:rPr>
                <w:rFonts w:ascii="宋体" w:hAnsi="宋体" w:cs="宋体"/>
                <w:kern w:val="0"/>
                <w:szCs w:val="21"/>
              </w:rPr>
            </w:pPr>
            <w:r>
              <w:rPr>
                <w:rFonts w:hint="eastAsia" w:ascii="宋体" w:hAnsi="宋体" w:cs="宋体"/>
                <w:kern w:val="0"/>
                <w:szCs w:val="21"/>
              </w:rPr>
              <w:t>5、平台系统可对接学校微信公众服务号，实现日常的数据推送服务；</w:t>
            </w:r>
          </w:p>
          <w:p>
            <w:pPr>
              <w:widowControl/>
              <w:jc w:val="left"/>
              <w:textAlignment w:val="center"/>
              <w:rPr>
                <w:rFonts w:ascii="宋体" w:hAnsi="宋体" w:cs="宋体"/>
                <w:kern w:val="0"/>
                <w:szCs w:val="21"/>
              </w:rPr>
            </w:pPr>
            <w:r>
              <w:rPr>
                <w:rFonts w:hint="eastAsia" w:ascii="宋体" w:hAnsi="宋体" w:cs="宋体"/>
                <w:kern w:val="0"/>
                <w:szCs w:val="21"/>
              </w:rPr>
              <w:t>6、平台系统需开放数据对接字典，提供相应的对接说明；</w:t>
            </w:r>
          </w:p>
          <w:p>
            <w:pPr>
              <w:widowControl/>
              <w:jc w:val="left"/>
              <w:textAlignment w:val="center"/>
              <w:rPr>
                <w:rFonts w:ascii="宋体" w:hAnsi="宋体" w:cs="宋体"/>
                <w:kern w:val="0"/>
                <w:szCs w:val="21"/>
              </w:rPr>
            </w:pPr>
            <w:r>
              <w:rPr>
                <w:rFonts w:hint="eastAsia" w:ascii="宋体" w:hAnsi="宋体" w:cs="宋体"/>
                <w:kern w:val="0"/>
                <w:szCs w:val="21"/>
              </w:rPr>
              <w:t>7、校园人脸特征库平台需预留多方扩展接口，后期可接入其他场景业务应用系统，共享人员信息与人脸数据库信息，如迎新系统、消费系统、宿管系统、会议系统、图书馆系统、课堂系统、安防监控系统等。</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套</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ascii="宋体" w:hAnsi="宋体" w:cs="宋体"/>
                <w:kern w:val="0"/>
                <w:szCs w:val="21"/>
              </w:rPr>
              <w:t>18</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等保测评</w:t>
            </w:r>
          </w:p>
        </w:tc>
        <w:tc>
          <w:tcPr>
            <w:tcW w:w="5752" w:type="dxa"/>
            <w:tcBorders>
              <w:top w:val="single" w:color="000000" w:sz="4" w:space="0"/>
              <w:left w:val="single" w:color="000000" w:sz="4" w:space="0"/>
              <w:bottom w:val="single" w:color="000000" w:sz="4" w:space="0"/>
              <w:right w:val="single" w:color="000000" w:sz="4" w:space="0"/>
            </w:tcBorders>
          </w:tcPr>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智慧宿舍管理系统等保测评</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次</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液晶</w:t>
            </w:r>
          </w:p>
          <w:p>
            <w:pPr>
              <w:widowControl/>
              <w:jc w:val="left"/>
              <w:textAlignment w:val="center"/>
              <w:rPr>
                <w:rFonts w:ascii="宋体" w:hAnsi="宋体" w:cs="宋体"/>
                <w:kern w:val="0"/>
                <w:szCs w:val="21"/>
              </w:rPr>
            </w:pPr>
            <w:r>
              <w:rPr>
                <w:rFonts w:hint="eastAsia" w:ascii="宋体" w:hAnsi="宋体" w:cs="宋体"/>
                <w:kern w:val="0"/>
                <w:szCs w:val="21"/>
              </w:rPr>
              <w:t>显示器</w:t>
            </w:r>
          </w:p>
        </w:tc>
        <w:tc>
          <w:tcPr>
            <w:tcW w:w="5752"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kern w:val="0"/>
                <w:szCs w:val="21"/>
              </w:rPr>
            </w:pPr>
            <w:r>
              <w:rPr>
                <w:rFonts w:hint="eastAsia" w:ascii="宋体" w:hAnsi="宋体" w:cs="宋体"/>
                <w:kern w:val="0"/>
                <w:szCs w:val="21"/>
              </w:rPr>
              <w:t>1、不低于21.5寸</w:t>
            </w:r>
          </w:p>
          <w:p>
            <w:pPr>
              <w:widowControl/>
              <w:jc w:val="left"/>
              <w:textAlignment w:val="center"/>
              <w:rPr>
                <w:rFonts w:ascii="宋体" w:hAnsi="宋体" w:cs="宋体"/>
                <w:kern w:val="0"/>
                <w:szCs w:val="21"/>
              </w:rPr>
            </w:pPr>
            <w:r>
              <w:rPr>
                <w:rFonts w:hint="eastAsia" w:ascii="宋体" w:hAnsi="宋体" w:cs="宋体"/>
                <w:kern w:val="0"/>
                <w:szCs w:val="21"/>
              </w:rPr>
              <w:t>2、VGA接口不少于1个，HDMI接口不少于1个</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11</w:t>
            </w:r>
            <w:r>
              <w:rPr>
                <w:rFonts w:ascii="宋体" w:hAnsi="宋体" w:cs="华文仿宋"/>
                <w:kern w:val="0"/>
                <w:szCs w:val="21"/>
              </w:rPr>
              <w:t>7</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ascii="宋体" w:hAnsi="宋体" w:cs="宋体"/>
                <w:kern w:val="0"/>
                <w:szCs w:val="21"/>
              </w:rPr>
              <w:t>20</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鼠标键盘</w:t>
            </w:r>
          </w:p>
        </w:tc>
        <w:tc>
          <w:tcPr>
            <w:tcW w:w="5752"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kern w:val="0"/>
                <w:szCs w:val="21"/>
              </w:rPr>
            </w:pPr>
            <w:r>
              <w:rPr>
                <w:rFonts w:hint="eastAsia" w:ascii="宋体" w:hAnsi="宋体" w:cs="宋体"/>
                <w:kern w:val="0"/>
                <w:szCs w:val="21"/>
              </w:rPr>
              <w:t>USB接口</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套</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w:t>
            </w:r>
            <w:r>
              <w:rPr>
                <w:rFonts w:ascii="宋体" w:hAnsi="宋体" w:cs="华文仿宋"/>
                <w:kern w:val="0"/>
                <w:szCs w:val="21"/>
              </w:rPr>
              <w:t>17</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支架</w:t>
            </w:r>
          </w:p>
        </w:tc>
        <w:tc>
          <w:tcPr>
            <w:tcW w:w="5752"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kern w:val="0"/>
                <w:szCs w:val="21"/>
              </w:rPr>
            </w:pPr>
            <w:r>
              <w:rPr>
                <w:rFonts w:hint="eastAsia" w:ascii="宋体" w:hAnsi="宋体" w:cs="宋体"/>
                <w:kern w:val="0"/>
                <w:szCs w:val="21"/>
              </w:rPr>
              <w:t>与现场讲台、液晶显示器配套</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w:t>
            </w:r>
            <w:r>
              <w:rPr>
                <w:rFonts w:ascii="宋体" w:hAnsi="宋体" w:cs="华文仿宋"/>
                <w:kern w:val="0"/>
                <w:szCs w:val="21"/>
              </w:rPr>
              <w:t>17</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2</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HDMI线</w:t>
            </w:r>
          </w:p>
        </w:tc>
        <w:tc>
          <w:tcPr>
            <w:tcW w:w="57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 xml:space="preserve"> 2.0版（长度根据现场定制）</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根</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w:t>
            </w:r>
            <w:r>
              <w:rPr>
                <w:rFonts w:ascii="宋体" w:hAnsi="宋体" w:cs="华文仿宋"/>
                <w:kern w:val="0"/>
                <w:szCs w:val="21"/>
              </w:rPr>
              <w:t>17</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云广播系统服务器</w:t>
            </w:r>
          </w:p>
        </w:tc>
        <w:tc>
          <w:tcPr>
            <w:tcW w:w="5752"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kern w:val="0"/>
                <w:szCs w:val="21"/>
              </w:rPr>
            </w:pPr>
            <w:r>
              <w:rPr>
                <w:rFonts w:hint="eastAsia" w:ascii="宋体" w:hAnsi="宋体" w:cs="宋体"/>
                <w:kern w:val="0"/>
                <w:szCs w:val="21"/>
              </w:rPr>
              <w:t>1.云平台广播系统中央服务器，提供核心应用程序后台服务；</w:t>
            </w:r>
          </w:p>
          <w:p>
            <w:pPr>
              <w:widowControl/>
              <w:jc w:val="left"/>
              <w:textAlignment w:val="center"/>
              <w:rPr>
                <w:rFonts w:ascii="宋体" w:hAnsi="宋体" w:cs="宋体"/>
                <w:kern w:val="0"/>
                <w:szCs w:val="21"/>
              </w:rPr>
            </w:pPr>
            <w:r>
              <w:rPr>
                <w:rFonts w:hint="eastAsia" w:ascii="宋体" w:hAnsi="宋体" w:cs="宋体"/>
                <w:kern w:val="0"/>
                <w:szCs w:val="21"/>
              </w:rPr>
              <w:t>2.采用不小于15英寸LED液晶显示屏设计，具有简单易用的触摸屏操控，内置抽拉式键盘，操作方便；</w:t>
            </w:r>
          </w:p>
          <w:p>
            <w:pPr>
              <w:widowControl/>
              <w:jc w:val="left"/>
              <w:textAlignment w:val="center"/>
              <w:rPr>
                <w:rFonts w:ascii="宋体" w:hAnsi="宋体" w:cs="宋体"/>
                <w:kern w:val="0"/>
                <w:szCs w:val="21"/>
              </w:rPr>
            </w:pPr>
            <w:r>
              <w:rPr>
                <w:rFonts w:hint="eastAsia" w:ascii="宋体" w:hAnsi="宋体" w:cs="宋体"/>
                <w:kern w:val="0"/>
                <w:szCs w:val="21"/>
              </w:rPr>
              <w:t>3.支持≥4路声卡，具有DVI高清数字接口和HDMI高清输出接口；</w:t>
            </w:r>
          </w:p>
          <w:p>
            <w:pPr>
              <w:widowControl/>
              <w:jc w:val="left"/>
              <w:textAlignment w:val="center"/>
              <w:rPr>
                <w:rFonts w:ascii="宋体" w:hAnsi="宋体" w:cs="宋体"/>
                <w:kern w:val="0"/>
                <w:szCs w:val="21"/>
              </w:rPr>
            </w:pPr>
            <w:r>
              <w:rPr>
                <w:rFonts w:hint="eastAsia" w:ascii="宋体" w:hAnsi="宋体" w:cs="宋体"/>
                <w:kern w:val="0"/>
                <w:szCs w:val="21"/>
              </w:rPr>
              <w:t>4.内置EZ系统调整模式,可对控制主机内嵌核心部件进行温度检测；</w:t>
            </w:r>
          </w:p>
          <w:p>
            <w:pPr>
              <w:widowControl/>
              <w:jc w:val="left"/>
              <w:textAlignment w:val="center"/>
              <w:rPr>
                <w:rFonts w:ascii="宋体" w:hAnsi="宋体" w:cs="宋体"/>
                <w:kern w:val="0"/>
                <w:szCs w:val="21"/>
              </w:rPr>
            </w:pPr>
            <w:r>
              <w:rPr>
                <w:rFonts w:hint="eastAsia" w:ascii="宋体" w:hAnsi="宋体" w:cs="宋体"/>
                <w:kern w:val="0"/>
                <w:szCs w:val="21"/>
              </w:rPr>
              <w:t>5.具有ESD静电防护功能，采用主动式保护电路设计配置，可以强化主板每个接口的静电防护能力，并延长组件的使用寿命；（提供第三方权威检测机构出具的具有CMA或CNAS认证标识的检验报告</w:t>
            </w:r>
            <w:r>
              <w:rPr>
                <w:rFonts w:hint="eastAsia" w:ascii="宋体" w:hAnsi="宋体" w:cs="宋体"/>
                <w:kern w:val="0"/>
                <w:szCs w:val="21"/>
                <w:lang w:eastAsia="zh-CN"/>
              </w:rPr>
              <w:t>电子扫描件</w:t>
            </w:r>
            <w:r>
              <w:rPr>
                <w:rFonts w:hint="eastAsia" w:ascii="宋体" w:hAnsi="宋体" w:cs="宋体"/>
                <w:kern w:val="0"/>
                <w:szCs w:val="21"/>
              </w:rPr>
              <w:t>）</w:t>
            </w:r>
          </w:p>
          <w:p>
            <w:pPr>
              <w:widowControl/>
              <w:jc w:val="left"/>
              <w:textAlignment w:val="center"/>
              <w:rPr>
                <w:rFonts w:ascii="宋体" w:hAnsi="宋体" w:cs="宋体"/>
                <w:kern w:val="0"/>
                <w:szCs w:val="21"/>
              </w:rPr>
            </w:pPr>
            <w:r>
              <w:rPr>
                <w:rFonts w:hint="eastAsia" w:ascii="宋体" w:hAnsi="宋体" w:cs="宋体"/>
                <w:kern w:val="0"/>
                <w:szCs w:val="21"/>
              </w:rPr>
              <w:t>6.采用内存优化设计，可以提升内存稳定性与兼容性，降低内存延迟，提升内存超频幅度；</w:t>
            </w:r>
          </w:p>
          <w:p>
            <w:pPr>
              <w:widowControl/>
              <w:jc w:val="left"/>
              <w:textAlignment w:val="center"/>
              <w:rPr>
                <w:rFonts w:ascii="宋体" w:hAnsi="宋体" w:cs="宋体"/>
                <w:kern w:val="0"/>
                <w:szCs w:val="21"/>
              </w:rPr>
            </w:pPr>
            <w:r>
              <w:rPr>
                <w:rFonts w:hint="eastAsia" w:ascii="宋体" w:hAnsi="宋体" w:cs="宋体"/>
                <w:kern w:val="0"/>
                <w:szCs w:val="21"/>
              </w:rPr>
              <w:t>7.内置电源监视模块，可对服务器内核心输出电源的电压情况进行监视；（提供具有CMA或CNAS认证标识的检验报告</w:t>
            </w:r>
            <w:r>
              <w:rPr>
                <w:rFonts w:hint="eastAsia" w:ascii="宋体" w:hAnsi="宋体" w:cs="宋体"/>
                <w:kern w:val="0"/>
                <w:szCs w:val="21"/>
                <w:lang w:eastAsia="zh-CN"/>
              </w:rPr>
              <w:t>电子扫描件</w:t>
            </w:r>
            <w:r>
              <w:rPr>
                <w:rFonts w:hint="eastAsia" w:ascii="宋体" w:hAnsi="宋体" w:cs="宋体"/>
                <w:kern w:val="0"/>
                <w:szCs w:val="21"/>
              </w:rPr>
              <w:t>）</w:t>
            </w:r>
          </w:p>
          <w:p>
            <w:pPr>
              <w:widowControl/>
              <w:jc w:val="left"/>
              <w:textAlignment w:val="center"/>
              <w:rPr>
                <w:rFonts w:ascii="宋体" w:hAnsi="宋体" w:cs="宋体"/>
                <w:kern w:val="0"/>
                <w:szCs w:val="21"/>
              </w:rPr>
            </w:pPr>
            <w:r>
              <w:rPr>
                <w:rFonts w:hint="eastAsia" w:ascii="宋体" w:hAnsi="宋体" w:cs="宋体"/>
                <w:kern w:val="0"/>
                <w:szCs w:val="21"/>
              </w:rPr>
              <w:t>8.采用工业级专用主板设计，自带开关机设置功能，可以用于定时驱动开机运行，实现无人值守；</w:t>
            </w:r>
          </w:p>
          <w:p>
            <w:pPr>
              <w:widowControl/>
              <w:jc w:val="left"/>
              <w:textAlignment w:val="center"/>
              <w:rPr>
                <w:rFonts w:ascii="宋体" w:hAnsi="宋体" w:cs="宋体"/>
                <w:kern w:val="0"/>
                <w:szCs w:val="21"/>
              </w:rPr>
            </w:pPr>
            <w:r>
              <w:rPr>
                <w:rFonts w:hint="eastAsia" w:ascii="宋体" w:hAnsi="宋体" w:cs="宋体"/>
                <w:kern w:val="0"/>
                <w:szCs w:val="21"/>
              </w:rPr>
              <w:t>9.支持多种APM电源管理模式，支持多种模式唤醒：如铃声唤醒.远程网络唤醒.预约RTC唤醒等模式，实现多种使用环境下不同的操作；（提供具有CMA或CNAS认证标识的检验报告</w:t>
            </w:r>
            <w:r>
              <w:rPr>
                <w:rFonts w:hint="eastAsia" w:ascii="宋体" w:hAnsi="宋体" w:cs="宋体"/>
                <w:kern w:val="0"/>
                <w:szCs w:val="21"/>
                <w:lang w:eastAsia="zh-CN"/>
              </w:rPr>
              <w:t>电子扫描件</w:t>
            </w:r>
            <w:r>
              <w:rPr>
                <w:rFonts w:hint="eastAsia" w:ascii="宋体" w:hAnsi="宋体" w:cs="宋体"/>
                <w:kern w:val="0"/>
                <w:szCs w:val="21"/>
              </w:rPr>
              <w:t>）</w:t>
            </w:r>
          </w:p>
          <w:p>
            <w:pPr>
              <w:widowControl/>
              <w:jc w:val="left"/>
              <w:textAlignment w:val="center"/>
              <w:rPr>
                <w:rFonts w:ascii="宋体" w:hAnsi="宋体" w:cs="宋体"/>
                <w:kern w:val="0"/>
                <w:szCs w:val="21"/>
              </w:rPr>
            </w:pPr>
            <w:r>
              <w:rPr>
                <w:rFonts w:hint="eastAsia" w:ascii="宋体" w:hAnsi="宋体" w:cs="宋体"/>
                <w:kern w:val="0"/>
                <w:szCs w:val="21"/>
              </w:rPr>
              <w:t>10.采用英特尔六核i5-10400F高速处理器，内置≥120G SSD固态硬盘，内置≥8G内存，可扩展64G内存；</w:t>
            </w:r>
          </w:p>
          <w:p>
            <w:pPr>
              <w:widowControl/>
              <w:jc w:val="left"/>
              <w:textAlignment w:val="center"/>
              <w:rPr>
                <w:rFonts w:ascii="宋体" w:hAnsi="宋体" w:cs="宋体"/>
                <w:kern w:val="0"/>
                <w:szCs w:val="21"/>
              </w:rPr>
            </w:pPr>
            <w:r>
              <w:rPr>
                <w:rFonts w:hint="eastAsia" w:ascii="宋体" w:hAnsi="宋体" w:cs="宋体"/>
                <w:kern w:val="0"/>
                <w:szCs w:val="21"/>
              </w:rPr>
              <w:t>11.内置大于等于7.1声道高品质，具有高保真的线路音频，可以实现高品质的音频传输；</w:t>
            </w:r>
          </w:p>
          <w:p>
            <w:pPr>
              <w:widowControl/>
              <w:jc w:val="left"/>
              <w:textAlignment w:val="center"/>
              <w:rPr>
                <w:rFonts w:ascii="宋体" w:hAnsi="宋体" w:cs="宋体"/>
                <w:kern w:val="0"/>
                <w:szCs w:val="21"/>
              </w:rPr>
            </w:pPr>
            <w:r>
              <w:rPr>
                <w:rFonts w:hint="eastAsia" w:ascii="宋体" w:hAnsi="宋体" w:cs="宋体"/>
                <w:kern w:val="0"/>
                <w:szCs w:val="21"/>
              </w:rPr>
              <w:t>12.具有不少于1路RJ45网络接口、1路PS/2接口、1路RS232通信串口、2路DVI视频接口、1路HDMI视频接口、1路VGA视频接口、8路USB 2.0/3.0接口和3路3.5mm/RCA音频接口。</w:t>
            </w:r>
          </w:p>
        </w:tc>
        <w:tc>
          <w:tcPr>
            <w:tcW w:w="682"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1</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24</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云广播系统服务软件</w:t>
            </w:r>
          </w:p>
        </w:tc>
        <w:tc>
          <w:tcPr>
            <w:tcW w:w="5752" w:type="dxa"/>
            <w:tcBorders>
              <w:top w:val="single" w:color="000000" w:sz="4" w:space="0"/>
              <w:left w:val="single" w:color="000000" w:sz="4" w:space="0"/>
              <w:bottom w:val="single" w:color="000000" w:sz="4" w:space="0"/>
              <w:right w:val="single" w:color="000000" w:sz="4" w:space="0"/>
            </w:tcBorders>
          </w:tcPr>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1可通过扇形图进行直观显示离线设备数、在线设备数、设备总数的占比；</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2.设备信息界面可以看到全部的设备信息，可对通过网络状态（所有、在线、离线）、设备类型（IP网络音箱、IP网络音柱、IP话筒、IP壁挂式终端、IP音频采集器、IP报警器、IP可视化主机、IP可视化话筒、IP网络功放）、设备名称、设备ID进行搜索；</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3.实时播放界面可以看到全部的实时任务，可根据音源类型进行搜索，支持任务的播放暂停、查看任务详情以及对实时任务的编辑以及删除；</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4.支持对实时任务进行播放控制和查看，可调节0-100级音量大小、上一首、下一首及点击音频可进行歌曲切换，播放或停止任务；（提供第具有CMA或CNAS认证标识的软件测试报告</w:t>
            </w:r>
            <w:r>
              <w:rPr>
                <w:rFonts w:hint="eastAsia" w:ascii="宋体" w:hAnsi="宋体" w:cs="宋体"/>
                <w:spacing w:val="0"/>
                <w:kern w:val="0"/>
                <w:szCs w:val="21"/>
                <w:lang w:eastAsia="zh-CN"/>
              </w:rPr>
              <w:t>电子扫描件</w:t>
            </w:r>
            <w:r>
              <w:rPr>
                <w:rFonts w:hint="eastAsia" w:ascii="宋体" w:hAnsi="宋体" w:cs="宋体"/>
                <w:spacing w:val="0"/>
                <w:kern w:val="0"/>
                <w:szCs w:val="21"/>
              </w:rPr>
              <w:t>）</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5.可以以建立任务的形式对指定的终端按特定的时间进行音频、文本、采集的播放。定时任务界面可查看定时方案以及所有定时任务，另外还有对定时任务进行添加、试听、停止、编辑、删除等操作；</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6.话筒配置支持一键报警操作，通过配置话筒报警任务，可对任务进行添加、编辑和删除，任务音量、播放模式、音源类型和音频文件可自由选择；（提供具有CMA或CNAS认证标识的软件测试报告</w:t>
            </w:r>
            <w:r>
              <w:rPr>
                <w:rFonts w:hint="eastAsia" w:ascii="宋体" w:hAnsi="宋体" w:cs="宋体"/>
                <w:spacing w:val="0"/>
                <w:kern w:val="0"/>
                <w:szCs w:val="21"/>
                <w:lang w:eastAsia="zh-CN"/>
              </w:rPr>
              <w:t>电子扫描件</w:t>
            </w:r>
            <w:r>
              <w:rPr>
                <w:rFonts w:hint="eastAsia" w:ascii="宋体" w:hAnsi="宋体" w:cs="宋体"/>
                <w:spacing w:val="0"/>
                <w:kern w:val="0"/>
                <w:szCs w:val="21"/>
              </w:rPr>
              <w:t>）</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7.采集配置界面可以显示全部采集器信息，包括设备ID、设备IP、设备端口以及网络状态等信息，</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8.报警任务支持添加、编辑、删除、播放、停止等操作，任务名称、任务音量、播放模式、音源类型和音频文件可自由选择；</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9.报警触发任务，可根据需求给0-32端口单个设置端口触发任务，同时支持自由配置触发继电器1-8个和设置报警触发后的延迟时间；</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10.支持音源优先级设置，可对紧急求助、报警呼叫、监听、对讲、寻呼、文字广播、定时任务、终端点播、实时采播、实时文件播放、定时采播、定时打铃等优先级进行自由排序并进行保存；（提供具有CMA或CNAS认证标识的软件测试报告</w:t>
            </w:r>
            <w:r>
              <w:rPr>
                <w:rFonts w:hint="eastAsia" w:ascii="宋体" w:hAnsi="宋体" w:cs="宋体"/>
                <w:spacing w:val="0"/>
                <w:kern w:val="0"/>
                <w:szCs w:val="21"/>
                <w:lang w:eastAsia="zh-CN"/>
              </w:rPr>
              <w:t>电子扫描件</w:t>
            </w:r>
            <w:r>
              <w:rPr>
                <w:rFonts w:hint="eastAsia" w:ascii="宋体" w:hAnsi="宋体" w:cs="宋体"/>
                <w:spacing w:val="0"/>
                <w:kern w:val="0"/>
                <w:szCs w:val="21"/>
              </w:rPr>
              <w:t>和的软件著作权登记证书</w:t>
            </w:r>
            <w:r>
              <w:rPr>
                <w:rFonts w:hint="eastAsia" w:ascii="宋体" w:hAnsi="宋体" w:cs="宋体"/>
                <w:spacing w:val="0"/>
                <w:kern w:val="0"/>
                <w:szCs w:val="21"/>
                <w:lang w:eastAsia="zh-CN"/>
              </w:rPr>
              <w:t>电子扫描件</w:t>
            </w:r>
            <w:r>
              <w:rPr>
                <w:rFonts w:hint="eastAsia" w:ascii="宋体" w:hAnsi="宋体" w:cs="宋体"/>
                <w:spacing w:val="0"/>
                <w:kern w:val="0"/>
                <w:szCs w:val="21"/>
              </w:rPr>
              <w:t>）</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11.支持角色管理，可以给用户集中分配权限使用，一个用户可具有多个角色，一个角色可分配给多个用户，可通过新增、编辑、删除角色，对角色进行更多操作、为用户分配角色等</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12.具有操作日志管理功能，记录用户进行操作的记录，可以选择新增、修改、删除、授权、导出、导入、强退、生成代码、清空数据、设备上线、设备离线、报警信息、话筒寻呼等操作类型进行日志的搜索，可进行多选；</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13.具有登录日志管理功能，记录用户登录的记录，可根据登录地址、登录名称、登录状态、登录时间等信息进行日志的搜索，也可进行删除、清空、解锁、导出等操作。（提供具有CMA或CNAS认证标识的软件测试报告</w:t>
            </w:r>
            <w:r>
              <w:rPr>
                <w:rFonts w:hint="eastAsia" w:ascii="宋体" w:hAnsi="宋体" w:cs="宋体"/>
                <w:spacing w:val="0"/>
                <w:kern w:val="0"/>
                <w:szCs w:val="21"/>
                <w:lang w:eastAsia="zh-CN"/>
              </w:rPr>
              <w:t>电子扫描件</w:t>
            </w:r>
            <w:r>
              <w:rPr>
                <w:rFonts w:hint="eastAsia" w:ascii="宋体" w:hAnsi="宋体" w:cs="宋体"/>
                <w:spacing w:val="0"/>
                <w:kern w:val="0"/>
                <w:szCs w:val="21"/>
              </w:rPr>
              <w:t>）</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套</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1</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25</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云广播寻呼话筒</w:t>
            </w:r>
          </w:p>
        </w:tc>
        <w:tc>
          <w:tcPr>
            <w:tcW w:w="5752" w:type="dxa"/>
            <w:tcBorders>
              <w:top w:val="single" w:color="000000" w:sz="4" w:space="0"/>
              <w:left w:val="single" w:color="000000" w:sz="4" w:space="0"/>
              <w:bottom w:val="single" w:color="000000" w:sz="4" w:space="0"/>
              <w:right w:val="single" w:color="000000" w:sz="4" w:space="0"/>
            </w:tcBorders>
          </w:tcPr>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1.釆用≥7英寸电容触屏显示屏设计，支持通过触屏对U盘/SD卡内文件进行本地播放和实现本地扩声，并发送到指定终端播放；</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2.配置页面可显示当前设备的配置信息，支持修改设备IP地址、子网掩码、默认网关、服务器地址、服务器端口和WEB端口等信息；</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3.具有不同的亮度级调节和一键全区报警按钮，点击时可以触发平台预设好的全区报警任务，可再次点击报警按钮关闭报警任务，也可通过触屏关闭；</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 xml:space="preserve"> 4.采用支持IEEE802.3at标准的POE供电；（提供具有CMA或CNAS认证标识的检验报告</w:t>
            </w:r>
            <w:r>
              <w:rPr>
                <w:rFonts w:hint="eastAsia" w:ascii="宋体" w:hAnsi="宋体" w:cs="宋体"/>
                <w:spacing w:val="0"/>
                <w:kern w:val="0"/>
                <w:szCs w:val="21"/>
                <w:lang w:eastAsia="zh-CN"/>
              </w:rPr>
              <w:t>电子扫描件</w:t>
            </w:r>
            <w:r>
              <w:rPr>
                <w:rFonts w:hint="eastAsia" w:ascii="宋体" w:hAnsi="宋体" w:cs="宋体"/>
                <w:spacing w:val="0"/>
                <w:kern w:val="0"/>
                <w:szCs w:val="21"/>
              </w:rPr>
              <w:t>）</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5.具有≥</w:t>
            </w:r>
            <w:r>
              <w:rPr>
                <w:rFonts w:ascii="宋体" w:hAnsi="宋体" w:cs="宋体"/>
                <w:spacing w:val="0"/>
                <w:kern w:val="0"/>
                <w:szCs w:val="21"/>
              </w:rPr>
              <w:t>3</w:t>
            </w:r>
            <w:r>
              <w:rPr>
                <w:rFonts w:hint="eastAsia" w:ascii="宋体" w:hAnsi="宋体" w:cs="宋体"/>
                <w:spacing w:val="0"/>
                <w:kern w:val="0"/>
                <w:szCs w:val="21"/>
              </w:rPr>
              <w:t>0个自定义触摸按键，支持一键呼叫广播功能，一键寻呼静音，可以直接操作呼叫任意终端；</w:t>
            </w:r>
            <w:r>
              <w:rPr>
                <w:rFonts w:ascii="宋体" w:hAnsi="宋体" w:cs="宋体"/>
                <w:spacing w:val="0"/>
                <w:kern w:val="0"/>
                <w:szCs w:val="21"/>
              </w:rPr>
              <w:t xml:space="preserve"> </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6.≥1路网络硬件音频解码，支持TCP/IP、UDP、IGMP（组播）协议， 可网络化传输16位立体声CD音质的音频信号；</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7.配置≥3W监听喇叭，具有任务监听功能，可实现任意监听其他终端的实时任务；</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 xml:space="preserve">8.支持双路混音/多路混音功能，配置高灵敏度长咪杆，具有灯环指示；                                                                                                                                               </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9.报警音频/短路音频输入时，具有不少于两路短路输出可以用于触发预置语音提示和控制门禁联动输入短路信号；</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 xml:space="preserve">10.支持≥1路标准3.5mm音频输入接口，用于接收外部音频输入，支持≥1路标准3.5mm音频输出接口，用于将终端的音频输送给外部播出设备；       </w:t>
            </w:r>
          </w:p>
          <w:p>
            <w:pPr>
              <w:pStyle w:val="2"/>
              <w:widowControl/>
              <w:ind w:left="0" w:leftChars="0" w:firstLine="0" w:firstLineChars="0"/>
              <w:jc w:val="left"/>
              <w:textAlignment w:val="center"/>
              <w:rPr>
                <w:rFonts w:ascii="宋体" w:hAnsi="宋体" w:cs="宋体"/>
                <w:spacing w:val="0"/>
                <w:kern w:val="0"/>
                <w:szCs w:val="21"/>
              </w:rPr>
            </w:pPr>
            <w:r>
              <w:rPr>
                <w:rFonts w:hint="eastAsia" w:ascii="宋体" w:hAnsi="宋体" w:cs="宋体"/>
                <w:spacing w:val="0"/>
                <w:kern w:val="0"/>
                <w:szCs w:val="21"/>
              </w:rPr>
              <w:t>11.支持DHCP,兼容路由器、交换机、网桥网关、2G、3G、4G、组播、单播等任意网络结构。</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ascii="宋体" w:hAnsi="宋体" w:cs="华文仿宋"/>
                <w:kern w:val="0"/>
                <w:szCs w:val="21"/>
              </w:rPr>
              <w:t>2</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26</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云广播彩屏点播式网络功放</w:t>
            </w:r>
          </w:p>
        </w:tc>
        <w:tc>
          <w:tcPr>
            <w:tcW w:w="5752" w:type="dxa"/>
            <w:tcBorders>
              <w:top w:val="single" w:color="000000" w:sz="4" w:space="0"/>
              <w:left w:val="single" w:color="000000" w:sz="4" w:space="0"/>
              <w:bottom w:val="single" w:color="000000" w:sz="4" w:space="0"/>
              <w:right w:val="single" w:color="000000" w:sz="4" w:space="0"/>
            </w:tcBorders>
          </w:tcPr>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1.配置≥4.3英寸全彩色显示屏，具有不少于四个物理按键，支持上下翻页、确认和返回等功能，配合屏幕操作使用；</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2.支持网络音频流的同步接收和解码，具有单向接收及主控单向呼叫功能，采用程序固化设计，不易丢失及受病毒干扰；</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3.支持TCP/IP高品质的数字音频传输，可以本地解码CD级音质和播放高音质发烧级别的音频文件；</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4.采用静态IP地址设计，当网络发生改变时地址不会丢失，可以保障工作稳定运行；</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5.集成IP网络广播解码板和大功率模拟功率放大器，≥</w:t>
            </w:r>
            <w:r>
              <w:rPr>
                <w:rFonts w:ascii="宋体" w:hAnsi="宋体" w:cs="宋体"/>
                <w:spacing w:val="0"/>
                <w:kern w:val="0"/>
                <w:szCs w:val="21"/>
              </w:rPr>
              <w:t>260</w:t>
            </w:r>
            <w:r>
              <w:rPr>
                <w:rFonts w:hint="eastAsia" w:ascii="宋体" w:hAnsi="宋体" w:cs="宋体"/>
                <w:spacing w:val="0"/>
                <w:kern w:val="0"/>
                <w:szCs w:val="21"/>
              </w:rPr>
              <w:t>W的输出功率，支持直接接入定压喇叭；</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6.具有高低音调节功能和多个等级优先灵敏度调节功能，可以自由选择信号优先输入；</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7.支持本地话筒和线路输入的音量调节，当无网络信号时，本地话筒可选择手动或自动的方式对本机进行寻呼；</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8.支持文字广播，可直接将文字转换为音频文件，并通过平台实现对终端的播放。</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hint="eastAsia" w:ascii="宋体" w:hAnsi="宋体" w:cs="华文仿宋"/>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kern w:val="0"/>
                <w:szCs w:val="21"/>
              </w:rPr>
            </w:pPr>
            <w:r>
              <w:rPr>
                <w:rFonts w:ascii="宋体" w:hAnsi="宋体" w:cs="华文仿宋"/>
                <w:kern w:val="0"/>
                <w:szCs w:val="21"/>
              </w:rPr>
              <w:t>7</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27</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云广播彩屏点播式网络功放</w:t>
            </w:r>
          </w:p>
        </w:tc>
        <w:tc>
          <w:tcPr>
            <w:tcW w:w="5752" w:type="dxa"/>
            <w:tcBorders>
              <w:top w:val="single" w:color="000000" w:sz="4" w:space="0"/>
              <w:left w:val="single" w:color="000000" w:sz="4" w:space="0"/>
              <w:bottom w:val="single" w:color="000000" w:sz="4" w:space="0"/>
              <w:right w:val="single" w:color="000000" w:sz="4" w:space="0"/>
            </w:tcBorders>
          </w:tcPr>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1.配置≥4.3英寸全彩色显示屏，具有不少于四个物理按键，支持上下翻页、确认和返回等功能，配合屏幕操作使用；</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2.支持网络音频流的同步接收和解码，具有单向接收及主控单向呼叫功能，采用程序固化设计，不易丢失及受病毒干扰；</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3.支持TCP/IP高品质的数字音频传输，可以本地解码CD级音质和播放高音质发烧级别的音频文件；</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4.采用静态IP地址设计，当网络发生改变时地址不会丢失，可以保障工作稳定运行；</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5.集成IP网络广播解码板和大功率模拟功率放大器，≥</w:t>
            </w:r>
            <w:r>
              <w:rPr>
                <w:rFonts w:ascii="宋体" w:hAnsi="宋体" w:cs="宋体"/>
                <w:spacing w:val="0"/>
                <w:kern w:val="0"/>
                <w:szCs w:val="21"/>
              </w:rPr>
              <w:t>130</w:t>
            </w:r>
            <w:r>
              <w:rPr>
                <w:rFonts w:hint="eastAsia" w:ascii="宋体" w:hAnsi="宋体" w:cs="宋体"/>
                <w:spacing w:val="0"/>
                <w:kern w:val="0"/>
                <w:szCs w:val="21"/>
              </w:rPr>
              <w:t>W的输出功率，支持直接接入定压喇叭；</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6.具有高低音调节功能和多个等级优先灵敏度调节功能，可以自由选择信号优先输入；</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7.支持本地话筒和线路输入的音量调节，当无网络信号时，本地话筒可选择手动或自动的方式对本机进行寻呼；</w:t>
            </w:r>
          </w:p>
          <w:p>
            <w:pPr>
              <w:pStyle w:val="2"/>
              <w:ind w:left="0" w:leftChars="0" w:firstLine="0" w:firstLineChars="0"/>
              <w:jc w:val="left"/>
              <w:rPr>
                <w:rFonts w:ascii="宋体" w:hAnsi="宋体" w:cs="宋体"/>
                <w:spacing w:val="0"/>
                <w:kern w:val="0"/>
                <w:szCs w:val="21"/>
              </w:rPr>
            </w:pPr>
            <w:r>
              <w:rPr>
                <w:rFonts w:hint="eastAsia" w:ascii="宋体" w:hAnsi="宋体" w:cs="宋体"/>
                <w:spacing w:val="0"/>
                <w:kern w:val="0"/>
                <w:szCs w:val="21"/>
              </w:rPr>
              <w:t>8.支持文字广播，可直接将文字转换为音频文件，并通过平台实现对终端的播放。</w:t>
            </w:r>
          </w:p>
        </w:tc>
        <w:tc>
          <w:tcPr>
            <w:tcW w:w="682"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ascii="宋体" w:hAnsi="宋体" w:cs="华文仿宋"/>
                <w:kern w:val="0"/>
                <w:szCs w:val="21"/>
              </w:rPr>
              <w:t>24</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28</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华文仿宋"/>
                <w:spacing w:val="-4"/>
                <w:kern w:val="0"/>
                <w:szCs w:val="21"/>
              </w:rPr>
            </w:pPr>
            <w:r>
              <w:rPr>
                <w:rFonts w:hint="eastAsia" w:ascii="宋体" w:hAnsi="宋体" w:cs="华文仿宋"/>
                <w:spacing w:val="-4"/>
                <w:kern w:val="0"/>
                <w:szCs w:val="21"/>
              </w:rPr>
              <w:t>壁挂音箱</w:t>
            </w:r>
          </w:p>
        </w:tc>
        <w:tc>
          <w:tcPr>
            <w:tcW w:w="5752" w:type="dxa"/>
            <w:tcBorders>
              <w:top w:val="single" w:color="000000" w:sz="4" w:space="0"/>
              <w:left w:val="single" w:color="000000" w:sz="4" w:space="0"/>
              <w:bottom w:val="single" w:color="000000" w:sz="4" w:space="0"/>
              <w:right w:val="single" w:color="000000" w:sz="4" w:space="0"/>
            </w:tcBorders>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1.单元≥6.5"全频×1+2"高音×1；</w:t>
            </w:r>
          </w:p>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2.额定功率≥15W；</w:t>
            </w:r>
          </w:p>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3.灵敏度≥94dB；</w:t>
            </w:r>
          </w:p>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4.最大声压级≥107dB；</w:t>
            </w:r>
          </w:p>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5.输入电压:70V/100V；</w:t>
            </w:r>
          </w:p>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6.频率响应:308Hz-20KHz。</w:t>
            </w:r>
          </w:p>
        </w:tc>
        <w:tc>
          <w:tcPr>
            <w:tcW w:w="6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ascii="宋体" w:hAnsi="宋体" w:cs="华文仿宋"/>
                <w:spacing w:val="-4"/>
                <w:kern w:val="0"/>
                <w:szCs w:val="21"/>
              </w:rPr>
              <w:t>200</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29</w:t>
            </w:r>
          </w:p>
        </w:tc>
        <w:tc>
          <w:tcPr>
            <w:tcW w:w="1267"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交换机</w:t>
            </w:r>
          </w:p>
        </w:tc>
        <w:tc>
          <w:tcPr>
            <w:tcW w:w="5752"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24口10/100/1000Mbps</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华文仿宋"/>
                <w:spacing w:val="-4"/>
                <w:kern w:val="0"/>
                <w:szCs w:val="21"/>
              </w:rPr>
            </w:pPr>
            <w:r>
              <w:rPr>
                <w:rFonts w:hint="eastAsia" w:ascii="宋体" w:hAnsi="宋体" w:cs="华文仿宋"/>
                <w:spacing w:val="-4"/>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7</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30</w:t>
            </w:r>
          </w:p>
        </w:tc>
        <w:tc>
          <w:tcPr>
            <w:tcW w:w="1267"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壁挂机柜</w:t>
            </w:r>
          </w:p>
        </w:tc>
        <w:tc>
          <w:tcPr>
            <w:tcW w:w="5752"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壁挂网络机柜</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华文仿宋"/>
                <w:spacing w:val="-4"/>
                <w:kern w:val="0"/>
                <w:szCs w:val="21"/>
              </w:rPr>
            </w:pPr>
            <w:r>
              <w:rPr>
                <w:rFonts w:hint="eastAsia" w:ascii="宋体" w:hAnsi="宋体" w:cs="华文仿宋"/>
                <w:spacing w:val="-4"/>
                <w:kern w:val="0"/>
                <w:szCs w:val="21"/>
              </w:rPr>
              <w:t>台</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7</w:t>
            </w:r>
          </w:p>
        </w:tc>
      </w:tr>
      <w:tr>
        <w:tblPrEx>
          <w:tblCellMar>
            <w:top w:w="0" w:type="dxa"/>
            <w:left w:w="108" w:type="dxa"/>
            <w:bottom w:w="0" w:type="dxa"/>
            <w:right w:w="108" w:type="dxa"/>
          </w:tblCellMar>
        </w:tblPrEx>
        <w:trPr>
          <w:trHeight w:val="402"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31</w:t>
            </w:r>
          </w:p>
        </w:tc>
        <w:tc>
          <w:tcPr>
            <w:tcW w:w="1267"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安装调试费、其它辅材</w:t>
            </w:r>
          </w:p>
        </w:tc>
        <w:tc>
          <w:tcPr>
            <w:tcW w:w="575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1、线槽及辅材,电线、网线、高清视频线、国标2.5平方电线；六类非屏蔽网、HDM线、六类网络水晶头、光纤配件</w:t>
            </w:r>
            <w:r>
              <w:rPr>
                <w:rFonts w:ascii="宋体" w:hAnsi="宋体" w:cs="华文仿宋"/>
                <w:spacing w:val="-4"/>
                <w:kern w:val="0"/>
                <w:szCs w:val="21"/>
              </w:rPr>
              <w:t>等</w:t>
            </w:r>
            <w:r>
              <w:rPr>
                <w:rFonts w:hint="eastAsia" w:ascii="宋体" w:hAnsi="宋体" w:cs="华文仿宋"/>
                <w:spacing w:val="-4"/>
                <w:kern w:val="0"/>
                <w:szCs w:val="21"/>
              </w:rPr>
              <w:t>；</w:t>
            </w:r>
          </w:p>
          <w:p>
            <w:pPr>
              <w:pStyle w:val="2"/>
              <w:ind w:left="0" w:leftChars="0" w:firstLine="0" w:firstLineChars="0"/>
              <w:jc w:val="left"/>
              <w:rPr>
                <w:rFonts w:ascii="宋体" w:hAnsi="宋体" w:cs="华文仿宋"/>
                <w:kern w:val="0"/>
                <w:szCs w:val="21"/>
              </w:rPr>
            </w:pPr>
            <w:r>
              <w:rPr>
                <w:rFonts w:hint="eastAsia" w:ascii="宋体" w:hAnsi="宋体" w:cs="华文仿宋"/>
                <w:kern w:val="0"/>
                <w:szCs w:val="21"/>
              </w:rPr>
              <w:t>2、安装、调试、施工等</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华文仿宋"/>
                <w:spacing w:val="-4"/>
                <w:kern w:val="0"/>
                <w:szCs w:val="21"/>
              </w:rPr>
            </w:pPr>
            <w:r>
              <w:rPr>
                <w:rFonts w:hint="eastAsia" w:ascii="宋体" w:hAnsi="宋体" w:cs="华文仿宋"/>
                <w:spacing w:val="-4"/>
                <w:kern w:val="0"/>
                <w:szCs w:val="21"/>
              </w:rPr>
              <w:t xml:space="preserve"> 项</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华文仿宋"/>
                <w:spacing w:val="-4"/>
                <w:kern w:val="0"/>
                <w:szCs w:val="21"/>
              </w:rPr>
            </w:pPr>
            <w:r>
              <w:rPr>
                <w:rFonts w:hint="eastAsia" w:ascii="宋体" w:hAnsi="宋体" w:cs="华文仿宋"/>
                <w:spacing w:val="-4"/>
                <w:kern w:val="0"/>
                <w:szCs w:val="21"/>
              </w:rPr>
              <w:t>1</w:t>
            </w:r>
          </w:p>
        </w:tc>
      </w:tr>
    </w:tbl>
    <w:p>
      <w:pPr>
        <w:spacing w:line="360" w:lineRule="auto"/>
        <w:ind w:firstLine="562" w:firstLineChars="200"/>
        <w:jc w:val="left"/>
        <w:rPr>
          <w:rFonts w:ascii="仿宋_GB2312" w:hAnsi="仿宋_GB2312" w:eastAsia="仿宋_GB2312" w:cs="仿宋_GB2312"/>
          <w:b/>
          <w:sz w:val="28"/>
          <w:szCs w:val="28"/>
        </w:rPr>
      </w:pPr>
    </w:p>
    <w:p>
      <w:pPr>
        <w:spacing w:line="360" w:lineRule="auto"/>
        <w:rPr>
          <w:rFonts w:ascii="仿宋_GB2312" w:hAnsi="仿宋_GB2312" w:eastAsia="仿宋_GB2312" w:cs="仿宋_GB2312"/>
          <w:b/>
          <w:sz w:val="28"/>
          <w:szCs w:val="28"/>
        </w:rPr>
      </w:pP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二、项目商务要求</w:t>
      </w:r>
    </w:p>
    <w:p>
      <w:pPr>
        <w:tabs>
          <w:tab w:val="left" w:pos="6120"/>
        </w:tabs>
        <w:snapToGrid w:val="0"/>
        <w:spacing w:line="360" w:lineRule="auto"/>
        <w:ind w:firstLine="560" w:firstLineChars="2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1、报价产品必须是原厂、全新、正品，应符合中华人民共和国国家质量及国家安全环保标准</w:t>
      </w:r>
      <w:r>
        <w:rPr>
          <w:rFonts w:hint="eastAsia" w:ascii="仿宋_GB2312" w:hAnsi="仿宋_GB2312" w:eastAsia="仿宋_GB2312" w:cs="仿宋_GB2312"/>
          <w:b/>
          <w:bCs/>
          <w:color w:val="000000"/>
          <w:sz w:val="28"/>
          <w:szCs w:val="28"/>
        </w:rPr>
        <w:t>。</w:t>
      </w:r>
    </w:p>
    <w:p>
      <w:pPr>
        <w:pStyle w:val="14"/>
        <w:numPr>
          <w:ilvl w:val="0"/>
          <w:numId w:val="0"/>
        </w:numPr>
        <w:tabs>
          <w:tab w:val="left" w:pos="567"/>
          <w:tab w:val="clear" w:pos="307"/>
        </w:tabs>
        <w:ind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2、质量要求：合格及以上标准，达到采购人要求（详见招标文件）</w:t>
      </w:r>
    </w:p>
    <w:p>
      <w:pPr>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3、本项目预算：105万元，</w:t>
      </w:r>
      <w:r>
        <w:rPr>
          <w:rFonts w:hint="eastAsia" w:ascii="仿宋_GB2312" w:hAnsi="仿宋_GB2312" w:eastAsia="仿宋_GB2312" w:cs="仿宋_GB2312"/>
          <w:sz w:val="28"/>
          <w:szCs w:val="28"/>
        </w:rPr>
        <w:t>供应商须在预算控制范围内提供最优产品及服务</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报价均以人民币报价，为最终交货安装价，含设备、运输、安装、检测、验收、保险、税金等全部费用。采购人不再支付报价以外的任何费用。</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b/>
          <w:bCs/>
          <w:sz w:val="28"/>
          <w:szCs w:val="28"/>
        </w:rPr>
        <w:t>按照《政府采购促进中小企业发展管理办法》（财库〔2020〕46号）、《财政部、司法部关于政府采购支持监狱企业发展有关问题的通知》、《关于促进残疾人就业政府采购政策的通知》要求，本项目对小（微）型企业、监狱企业、残疾人福利性单位的报价给予</w:t>
      </w:r>
      <w:r>
        <w:rPr>
          <w:rFonts w:hint="eastAsia" w:ascii="仿宋_GB2312" w:hAnsi="仿宋_GB2312" w:eastAsia="仿宋_GB2312" w:cs="仿宋_GB2312"/>
          <w:b/>
          <w:bCs/>
          <w:sz w:val="28"/>
          <w:szCs w:val="28"/>
          <w:u w:val="single"/>
        </w:rPr>
        <w:t>20</w:t>
      </w:r>
      <w:r>
        <w:rPr>
          <w:rFonts w:hint="eastAsia" w:ascii="仿宋_GB2312" w:hAnsi="仿宋_GB2312" w:eastAsia="仿宋_GB2312" w:cs="仿宋_GB2312"/>
          <w:b/>
          <w:bCs/>
          <w:sz w:val="28"/>
          <w:szCs w:val="28"/>
        </w:rPr>
        <w:t>%的扣除，用扣除后的价格参与评审；成交价和签订合同价仍以供应商原报价为准。</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本项目采购标的对应的中小企业划分标准所属行业为：</w:t>
      </w:r>
      <w:r>
        <w:rPr>
          <w:rFonts w:hint="eastAsia" w:ascii="仿宋_GB2312" w:hAnsi="仿宋_GB2312" w:eastAsia="仿宋_GB2312" w:cs="仿宋_GB2312"/>
          <w:b/>
          <w:sz w:val="28"/>
          <w:szCs w:val="28"/>
        </w:rPr>
        <w:t>软件和信息技术服务业；</w:t>
      </w:r>
      <w:r>
        <w:rPr>
          <w:rFonts w:hint="eastAsia" w:ascii="仿宋_GB2312" w:hAnsi="仿宋_GB2312" w:eastAsia="仿宋_GB2312" w:cs="仿宋_GB2312"/>
          <w:b/>
          <w:bCs/>
          <w:sz w:val="28"/>
          <w:szCs w:val="28"/>
        </w:rPr>
        <w:t>供应商如是中小企业的，应对照《中小企业划分标准》，在响应文件中提交企业（单位）类型声明函（格式见第五部分），并对其真实性负责，一旦成交，《企业（单位）类型声明函》将随成交结果公开。</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5、供应商应注明报价产品生产商、品牌、产地和交货时间。</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6、供应商应提交报价产品的技术偏差说明。</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color w:val="000000"/>
          <w:sz w:val="28"/>
          <w:szCs w:val="28"/>
        </w:rPr>
        <w:t>供应商应提交采购内容及要求中的产品功能证明文件。</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8、供应商应在响应文件中提交以下资料：</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（1）要求提供的相关证明、证书等（加盖公章）；</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（2）营业执照副本原件扫描件（加盖公章）；</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eastAsia="仿宋_GB2312"/>
          <w:color w:val="000000"/>
          <w:sz w:val="28"/>
          <w:szCs w:val="28"/>
        </w:rPr>
        <w:t>供应商近半年内任意三个月依法缴纳税收和社保资金的证明（原件扫描件）；</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eastAsia="仿宋_GB2312"/>
          <w:color w:val="000000"/>
          <w:sz w:val="28"/>
          <w:szCs w:val="28"/>
        </w:rPr>
        <w:t>供应商上一年度财务审计报告或财务报表原件扫描件；</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color w:val="000000"/>
          <w:sz w:val="28"/>
          <w:szCs w:val="28"/>
        </w:rPr>
        <w:t>供应商应提交近三年内</w:t>
      </w:r>
      <w:r>
        <w:rPr>
          <w:rFonts w:hint="eastAsia" w:ascii="仿宋_GB2312" w:hAnsi="仿宋_GB2312" w:eastAsia="仿宋_GB2312" w:cs="仿宋_GB2312"/>
          <w:sz w:val="28"/>
          <w:szCs w:val="28"/>
        </w:rPr>
        <w:t>在经营活动中没有重大违法记录的书面声明</w:t>
      </w:r>
      <w:r>
        <w:rPr>
          <w:rFonts w:hint="eastAsia" w:ascii="仿宋_GB2312" w:eastAsia="仿宋_GB2312"/>
          <w:color w:val="000000"/>
          <w:sz w:val="28"/>
          <w:szCs w:val="28"/>
        </w:rPr>
        <w:t>和供应商诚信承诺书</w:t>
      </w:r>
      <w:r>
        <w:rPr>
          <w:rFonts w:hint="eastAsia" w:ascii="仿宋_GB2312" w:hAnsi="仿宋_GB2312" w:eastAsia="仿宋_GB2312" w:cs="仿宋_GB2312"/>
          <w:sz w:val="28"/>
          <w:szCs w:val="28"/>
        </w:rPr>
        <w:t>（加盖单位公章）</w:t>
      </w:r>
      <w:r>
        <w:rPr>
          <w:rFonts w:hint="eastAsia" w:ascii="仿宋_GB2312" w:eastAsia="仿宋_GB2312"/>
          <w:color w:val="000000"/>
          <w:sz w:val="28"/>
          <w:szCs w:val="28"/>
        </w:rPr>
        <w:t>；</w:t>
      </w:r>
    </w:p>
    <w:p>
      <w:pPr>
        <w:autoSpaceDE w:val="0"/>
        <w:autoSpaceDN w:val="0"/>
        <w:adjustRightIn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（6）供应商在“信用中国”网站（www.creditchina.gov.cn ）、中国政府采购网（www.ccgp.gov.cn ）的查询结果截图加盖公章。</w:t>
      </w:r>
    </w:p>
    <w:p>
      <w:pPr>
        <w:autoSpaceDE w:val="0"/>
        <w:autoSpaceDN w:val="0"/>
        <w:adjustRightInd w:val="0"/>
        <w:spacing w:line="360" w:lineRule="auto"/>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sz w:val="28"/>
          <w:szCs w:val="28"/>
        </w:rPr>
        <w:t>按照南阳市财政局《关于在政府采购活动中试行供应商资格信用承诺制的通知》宛财购〔2021〕12号的要求，供应商在制作、递交响应文件时，按照规定提供“南阳市政府采购供应商信用承诺函”（详见附件）的，无需再提交上述第2-6项证明材料”。供应商在成交后，应将上述由信用承诺书替代的证明材料提交政府采购中心，证明材料将随公告一并公示。</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9、合同的签订：成交供应商收到市政府采购中心签发的《成交通知书》后，及时与采购人签订供货合同。成交供应商不允许分包、转包，必须具备独立完成本项目的能力。</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10、供货时间:合同签订后20日内供货安装完毕。</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11、交货地点: 南阳市北京大道南端南阳技师学院南校区。 </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12、安装调试及验收方式：成交供应商送货上门进行免费安装调试，由采购人负责组织检查验收，验收合格后，出具验收报告，该验收报告为支付货款的重要依据。</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13、付款方式：成交人供货安装调试完成，验收合格后5个工作日支付合同金额的100%。</w:t>
      </w:r>
    </w:p>
    <w:p>
      <w:pPr>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14、售后服务及其他要求</w:t>
      </w:r>
    </w:p>
    <w:p>
      <w:pPr>
        <w:pStyle w:val="14"/>
        <w:numPr>
          <w:ilvl w:val="0"/>
          <w:numId w:val="0"/>
        </w:numPr>
        <w:spacing w:line="360" w:lineRule="auto"/>
        <w:ind w:firstLine="560" w:firstLineChars="200"/>
        <w:jc w:val="left"/>
        <w:rPr>
          <w:rFonts w:ascii="仿宋_GB2312" w:hAnsi="仿宋_GB2312" w:eastAsia="仿宋_GB2312" w:cs="仿宋_GB2312"/>
          <w:color w:val="000000"/>
          <w:sz w:val="28"/>
          <w:szCs w:val="28"/>
          <w:lang w:eastAsia="zh-CN" w:bidi="ar-SA"/>
        </w:rPr>
      </w:pPr>
      <w:r>
        <w:rPr>
          <w:rFonts w:hint="eastAsia" w:ascii="仿宋_GB2312" w:hAnsi="仿宋_GB2312" w:eastAsia="仿宋_GB2312" w:cs="仿宋_GB2312"/>
          <w:color w:val="000000"/>
          <w:sz w:val="28"/>
          <w:szCs w:val="28"/>
          <w:lang w:eastAsia="zh-CN" w:bidi="ar-SA"/>
        </w:rPr>
        <w:t>（1）设备须提供最低3年免费质保，自项目最终验收合格之日起开始计算免费质保期。服务期间，提供7*24小时服务响应热线电话，提供4小时故障响应，24小时解决故障服务；针对特殊故障在24小时内解决不了的，提供备用设备。</w:t>
      </w:r>
    </w:p>
    <w:p>
      <w:pPr>
        <w:pStyle w:val="14"/>
        <w:numPr>
          <w:ilvl w:val="0"/>
          <w:numId w:val="0"/>
        </w:numPr>
        <w:spacing w:line="360" w:lineRule="auto"/>
        <w:ind w:firstLine="560" w:firstLineChars="200"/>
        <w:jc w:val="left"/>
        <w:rPr>
          <w:rFonts w:ascii="仿宋_GB2312" w:hAnsi="仿宋_GB2312" w:eastAsia="仿宋_GB2312" w:cs="仿宋_GB2312"/>
          <w:color w:val="000000"/>
          <w:sz w:val="28"/>
          <w:szCs w:val="28"/>
          <w:lang w:eastAsia="zh-CN" w:bidi="ar-SA"/>
        </w:rPr>
      </w:pPr>
      <w:r>
        <w:rPr>
          <w:rFonts w:hint="eastAsia" w:ascii="仿宋_GB2312" w:hAnsi="仿宋_GB2312" w:eastAsia="仿宋_GB2312" w:cs="仿宋_GB2312"/>
          <w:color w:val="000000"/>
          <w:sz w:val="28"/>
          <w:szCs w:val="28"/>
          <w:lang w:eastAsia="zh-CN" w:bidi="ar-SA"/>
        </w:rPr>
        <w:t>（2）在使用过程中（含质保期外），如政府机关、第三方测评机构发现有系统漏洞，应无条件修补。</w:t>
      </w:r>
    </w:p>
    <w:p>
      <w:pPr>
        <w:pStyle w:val="14"/>
        <w:numPr>
          <w:ilvl w:val="0"/>
          <w:numId w:val="0"/>
        </w:numPr>
        <w:spacing w:line="360" w:lineRule="auto"/>
        <w:ind w:firstLine="560" w:firstLineChars="200"/>
        <w:jc w:val="left"/>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（3）系统完成后，在验收前应通过信息系统等保测评。</w:t>
      </w:r>
      <w:r>
        <w:rPr>
          <w:rFonts w:ascii="仿宋_GB2312" w:hAnsi="仿宋_GB2312" w:eastAsia="仿宋_GB2312" w:cs="仿宋_GB2312"/>
          <w:color w:val="000000"/>
          <w:sz w:val="28"/>
          <w:szCs w:val="28"/>
          <w:lang w:eastAsia="zh-CN"/>
        </w:rPr>
        <w:t xml:space="preserve"> </w:t>
      </w:r>
    </w:p>
    <w:p>
      <w:pPr>
        <w:pageBreakBefore/>
        <w:tabs>
          <w:tab w:val="left" w:pos="6120"/>
        </w:tabs>
        <w:spacing w:line="360" w:lineRule="auto"/>
        <w:jc w:val="center"/>
        <w:rPr>
          <w:rFonts w:ascii="宋体" w:hAnsi="宋体" w:cs="宋体"/>
          <w:b/>
          <w:bCs/>
          <w:color w:val="000000"/>
          <w:spacing w:val="4"/>
          <w:sz w:val="36"/>
          <w:szCs w:val="36"/>
        </w:rPr>
      </w:pPr>
      <w:r>
        <w:rPr>
          <w:rFonts w:hint="eastAsia" w:ascii="宋体" w:hAnsi="宋体" w:cs="宋体"/>
          <w:b/>
          <w:bCs/>
          <w:color w:val="000000"/>
          <w:spacing w:val="4"/>
          <w:sz w:val="36"/>
          <w:szCs w:val="36"/>
        </w:rPr>
        <w:t>第三部分 谈判须知</w:t>
      </w:r>
    </w:p>
    <w:p>
      <w:pPr>
        <w:spacing w:line="360" w:lineRule="auto"/>
        <w:ind w:firstLine="562" w:firstLineChars="200"/>
        <w:jc w:val="center"/>
        <w:rPr>
          <w:rFonts w:ascii="仿宋_GB2312" w:hAnsi="仿宋_GB2312" w:eastAsia="仿宋_GB2312" w:cs="仿宋_GB2312"/>
          <w:b/>
          <w:color w:val="000000"/>
          <w:sz w:val="28"/>
          <w:szCs w:val="28"/>
        </w:rPr>
      </w:pPr>
    </w:p>
    <w:p>
      <w:pPr>
        <w:spacing w:line="360" w:lineRule="auto"/>
        <w:ind w:firstLine="562" w:firstLineChars="200"/>
        <w:jc w:val="center"/>
        <w:rPr>
          <w:rFonts w:ascii="仿宋_GB2312" w:hAnsi="仿宋_GB2312" w:eastAsia="仿宋_GB2312" w:cs="仿宋_GB2312"/>
          <w:b/>
          <w:sz w:val="28"/>
          <w:szCs w:val="28"/>
        </w:rPr>
      </w:pPr>
      <w:r>
        <w:rPr>
          <w:rFonts w:hint="eastAsia" w:ascii="仿宋_GB2312" w:hAnsi="仿宋_GB2312" w:eastAsia="仿宋_GB2312" w:cs="仿宋_GB2312"/>
          <w:b/>
          <w:color w:val="000000"/>
          <w:sz w:val="28"/>
          <w:szCs w:val="28"/>
        </w:rPr>
        <w:t xml:space="preserve">A   </w:t>
      </w:r>
      <w:r>
        <w:rPr>
          <w:rFonts w:hint="eastAsia" w:ascii="仿宋_GB2312" w:hAnsi="仿宋_GB2312" w:eastAsia="仿宋_GB2312" w:cs="仿宋_GB2312"/>
          <w:b/>
          <w:sz w:val="28"/>
          <w:szCs w:val="28"/>
        </w:rPr>
        <w:t xml:space="preserve">  竞争性谈判文件</w:t>
      </w:r>
    </w:p>
    <w:p>
      <w:pPr>
        <w:pStyle w:val="6"/>
      </w:pP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sz w:val="28"/>
          <w:szCs w:val="28"/>
        </w:rPr>
        <w:t>竞争性谈判文件是采购人和政府采购中心用以阐明采购的货物、服务的内容与要求，与评审、谈判、确定成交供应商相关的程序和办法以及响应文件格式的文件。</w:t>
      </w:r>
    </w:p>
    <w:p>
      <w:pPr>
        <w:spacing w:line="360" w:lineRule="auto"/>
        <w:ind w:firstLine="567"/>
        <w:rPr>
          <w:rFonts w:ascii="仿宋_GB2312" w:hAnsi="仿宋_GB2312" w:eastAsia="仿宋_GB2312" w:cs="仿宋_GB2312"/>
          <w:b/>
          <w:sz w:val="28"/>
          <w:szCs w:val="28"/>
        </w:rPr>
      </w:pPr>
      <w:r>
        <w:rPr>
          <w:rFonts w:hint="eastAsia" w:ascii="仿宋_GB2312" w:hAnsi="仿宋_GB2312" w:eastAsia="仿宋_GB2312" w:cs="仿宋_GB2312"/>
          <w:b/>
          <w:sz w:val="28"/>
          <w:szCs w:val="28"/>
        </w:rPr>
        <w:t>二、竞争性谈判文件由下述部分组成：</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第一部分：竞争性谈判公告</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第二部分：项目内容及要求</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第三部分：谈判须知</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第四部分：合同草案</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第五部分：附件——响应文件格式</w:t>
      </w:r>
    </w:p>
    <w:p>
      <w:pPr>
        <w:spacing w:line="360" w:lineRule="auto"/>
        <w:ind w:firstLine="567"/>
        <w:rPr>
          <w:rFonts w:ascii="仿宋_GB2312" w:hAnsi="仿宋_GB2312" w:eastAsia="仿宋_GB2312" w:cs="仿宋_GB2312"/>
          <w:b/>
          <w:sz w:val="28"/>
          <w:szCs w:val="28"/>
        </w:rPr>
      </w:pPr>
      <w:r>
        <w:rPr>
          <w:rFonts w:hint="eastAsia" w:ascii="仿宋_GB2312" w:hAnsi="仿宋_GB2312" w:eastAsia="仿宋_GB2312" w:cs="仿宋_GB2312"/>
          <w:b/>
          <w:sz w:val="28"/>
          <w:szCs w:val="28"/>
        </w:rPr>
        <w:t>三、竞争性谈判文件的澄清和修改</w:t>
      </w:r>
    </w:p>
    <w:p>
      <w:pPr>
        <w:spacing w:line="360" w:lineRule="auto"/>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1、政府采购中心可用澄清和修改的方式修正竞争性谈判文件，澄清和修改的内容以公告的形式告知所有竞争性谈判文件收受人，该澄清和修改的内容将成为竞争性谈判文件的组成部分，并替代所修正的部分。</w:t>
      </w:r>
    </w:p>
    <w:p>
      <w:pPr>
        <w:spacing w:line="360" w:lineRule="auto"/>
        <w:ind w:firstLine="628"/>
        <w:rPr>
          <w:rFonts w:ascii="仿宋_GB2312" w:hAnsi="仿宋_GB2312" w:eastAsia="仿宋_GB2312" w:cs="仿宋_GB2312"/>
          <w:sz w:val="28"/>
          <w:szCs w:val="28"/>
        </w:rPr>
      </w:pPr>
      <w:r>
        <w:rPr>
          <w:rFonts w:hint="eastAsia" w:ascii="仿宋_GB2312" w:hAnsi="仿宋_GB2312" w:eastAsia="仿宋_GB2312" w:cs="仿宋_GB2312"/>
          <w:sz w:val="28"/>
          <w:szCs w:val="28"/>
        </w:rPr>
        <w:t>2、政府采购中心可以酌情延长投标截止时间，并将此变更通知所有竞争性谈判文件收受人。</w:t>
      </w:r>
    </w:p>
    <w:p>
      <w:pPr>
        <w:spacing w:line="360" w:lineRule="auto"/>
        <w:ind w:firstLine="628"/>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3、政府采购项目实行网上受理，开标前所有信息保密。因此，市政府采购中心发布的一切公告信息（包括采购公告、变更公告、澄清公告等）均在“河南省政府采购网”、“南阳市公共资源交易中心网”等媒体发布，请潜在投标供应商随时查询有关公告信息。若因潜在投标供应商没有及时查看到公告信息而造成的投标失误，责任自负。</w:t>
      </w:r>
    </w:p>
    <w:p>
      <w:pPr>
        <w:spacing w:line="360" w:lineRule="auto"/>
        <w:ind w:firstLine="567"/>
        <w:jc w:val="center"/>
        <w:rPr>
          <w:rFonts w:ascii="仿宋_GB2312" w:hAnsi="仿宋_GB2312" w:eastAsia="仿宋_GB2312" w:cs="仿宋_GB2312"/>
          <w:b/>
          <w:sz w:val="28"/>
          <w:szCs w:val="28"/>
        </w:rPr>
      </w:pPr>
    </w:p>
    <w:p>
      <w:pPr>
        <w:pStyle w:val="6"/>
      </w:pPr>
    </w:p>
    <w:p>
      <w:pPr>
        <w:spacing w:line="360" w:lineRule="auto"/>
        <w:ind w:firstLine="56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B  响应文件</w:t>
      </w:r>
    </w:p>
    <w:p>
      <w:pPr>
        <w:spacing w:line="360" w:lineRule="auto"/>
        <w:ind w:firstLine="567"/>
        <w:rPr>
          <w:rFonts w:ascii="仿宋_GB2312" w:hAnsi="仿宋_GB2312" w:eastAsia="仿宋_GB2312" w:cs="仿宋_GB2312"/>
          <w:sz w:val="28"/>
          <w:szCs w:val="28"/>
        </w:rPr>
      </w:pP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sz w:val="28"/>
          <w:szCs w:val="28"/>
        </w:rPr>
        <w:t>供应商应认真仔细阅读谈判文件的所有内容，按谈判文件的要求编制响应文件，并保证所提供的所有资料的真实性、准确性，使其响应文件对谈判文件做出实质性响应。</w:t>
      </w:r>
    </w:p>
    <w:p>
      <w:pPr>
        <w:spacing w:line="360" w:lineRule="auto"/>
        <w:ind w:firstLine="567"/>
        <w:rPr>
          <w:rFonts w:ascii="仿宋_GB2312" w:hAnsi="仿宋_GB2312" w:eastAsia="仿宋_GB2312" w:cs="仿宋_GB2312"/>
          <w:b/>
          <w:sz w:val="28"/>
          <w:szCs w:val="28"/>
        </w:rPr>
      </w:pPr>
      <w:r>
        <w:rPr>
          <w:rFonts w:hint="eastAsia" w:ascii="仿宋_GB2312" w:hAnsi="仿宋_GB2312" w:eastAsia="仿宋_GB2312" w:cs="仿宋_GB2312"/>
          <w:b/>
          <w:sz w:val="28"/>
          <w:szCs w:val="28"/>
        </w:rPr>
        <w:t>二、响应文件的组成</w:t>
      </w:r>
    </w:p>
    <w:p>
      <w:pPr>
        <w:spacing w:line="360" w:lineRule="auto"/>
        <w:ind w:firstLine="576"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1、响应函（格式见附件）；</w:t>
      </w:r>
    </w:p>
    <w:p>
      <w:pPr>
        <w:spacing w:line="360" w:lineRule="auto"/>
        <w:ind w:firstLine="576"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2、</w:t>
      </w:r>
      <w:r>
        <w:rPr>
          <w:rFonts w:hint="eastAsia" w:ascii="仿宋_GB2312" w:hAnsi="仿宋" w:eastAsia="仿宋_GB2312" w:cs="仿宋"/>
          <w:bCs/>
          <w:spacing w:val="4"/>
          <w:sz w:val="28"/>
          <w:szCs w:val="28"/>
        </w:rPr>
        <w:t>法定代表人或负责人授权委托书(格式见附件)；</w:t>
      </w:r>
    </w:p>
    <w:p>
      <w:pPr>
        <w:spacing w:line="360" w:lineRule="auto"/>
        <w:ind w:firstLine="576"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3、</w:t>
      </w:r>
      <w:r>
        <w:rPr>
          <w:rFonts w:hint="eastAsia" w:ascii="仿宋_GB2312" w:hAnsi="仿宋" w:eastAsia="仿宋_GB2312" w:cs="仿宋"/>
          <w:spacing w:val="4"/>
          <w:sz w:val="28"/>
          <w:szCs w:val="28"/>
        </w:rPr>
        <w:t>报价一览表（格式见附件）；</w:t>
      </w:r>
    </w:p>
    <w:p>
      <w:pPr>
        <w:spacing w:line="360" w:lineRule="auto"/>
        <w:ind w:firstLine="576"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4、供应商</w:t>
      </w:r>
      <w:r>
        <w:rPr>
          <w:rFonts w:hint="eastAsia" w:ascii="仿宋_GB2312" w:hAnsi="仿宋" w:eastAsia="仿宋_GB2312" w:cs="仿宋"/>
          <w:spacing w:val="4"/>
          <w:sz w:val="28"/>
          <w:szCs w:val="28"/>
        </w:rPr>
        <w:t>营业执照副本、</w:t>
      </w:r>
      <w:r>
        <w:rPr>
          <w:rFonts w:hint="eastAsia" w:ascii="仿宋_GB2312" w:eastAsia="仿宋_GB2312"/>
          <w:color w:val="000000"/>
          <w:sz w:val="28"/>
          <w:szCs w:val="28"/>
        </w:rPr>
        <w:t>近半年内任意三个月依法缴纳税收和社保资金的证明</w:t>
      </w:r>
      <w:r>
        <w:rPr>
          <w:rFonts w:hint="eastAsia" w:ascii="仿宋_GB2312" w:hAnsi="仿宋" w:eastAsia="仿宋_GB2312" w:cs="仿宋"/>
          <w:spacing w:val="4"/>
          <w:sz w:val="28"/>
          <w:szCs w:val="28"/>
        </w:rPr>
        <w:t>、近三年内在经营活动中没有重大违法记录的声明</w:t>
      </w:r>
      <w:r>
        <w:rPr>
          <w:rFonts w:hint="eastAsia" w:ascii="仿宋_GB2312" w:eastAsia="仿宋_GB2312"/>
          <w:color w:val="000000"/>
          <w:sz w:val="28"/>
          <w:szCs w:val="28"/>
        </w:rPr>
        <w:t>和供应商诚信承诺书</w:t>
      </w:r>
      <w:r>
        <w:rPr>
          <w:rFonts w:hint="eastAsia" w:ascii="仿宋_GB2312" w:hAnsi="仿宋" w:eastAsia="仿宋_GB2312" w:cs="仿宋"/>
          <w:spacing w:val="4"/>
          <w:sz w:val="28"/>
          <w:szCs w:val="28"/>
        </w:rPr>
        <w:t>等；</w:t>
      </w:r>
    </w:p>
    <w:p>
      <w:pPr>
        <w:spacing w:line="360" w:lineRule="auto"/>
        <w:ind w:firstLine="576" w:firstLineChars="200"/>
        <w:jc w:val="left"/>
        <w:rPr>
          <w:rFonts w:ascii="仿宋_GB2312" w:eastAsia="仿宋_GB2312"/>
          <w:color w:val="000000"/>
          <w:sz w:val="28"/>
          <w:szCs w:val="28"/>
        </w:rPr>
      </w:pPr>
      <w:r>
        <w:rPr>
          <w:rFonts w:hint="eastAsia" w:ascii="仿宋_GB2312" w:hAnsi="仿宋_GB2312" w:eastAsia="仿宋_GB2312" w:cs="仿宋_GB2312"/>
          <w:color w:val="000000"/>
          <w:spacing w:val="4"/>
          <w:sz w:val="28"/>
          <w:szCs w:val="28"/>
        </w:rPr>
        <w:t>5、</w:t>
      </w:r>
      <w:r>
        <w:rPr>
          <w:rFonts w:hint="eastAsia" w:ascii="仿宋_GB2312" w:eastAsia="仿宋_GB2312"/>
          <w:color w:val="000000"/>
          <w:sz w:val="28"/>
          <w:szCs w:val="28"/>
        </w:rPr>
        <w:t>供应商上一年度财务审计报告或财务报表原件扫描件和信用记录查询结果网页截图；</w:t>
      </w:r>
    </w:p>
    <w:p>
      <w:pPr>
        <w:spacing w:line="360" w:lineRule="auto"/>
        <w:ind w:firstLine="560" w:firstLineChars="200"/>
        <w:rPr>
          <w:rFonts w:ascii="仿宋_GB2312" w:eastAsia="仿宋_GB2312"/>
          <w:color w:val="000000"/>
          <w:sz w:val="28"/>
          <w:szCs w:val="28"/>
        </w:rPr>
      </w:pPr>
      <w:r>
        <w:rPr>
          <w:rFonts w:hint="eastAsia" w:ascii="仿宋_GB2312" w:hAnsi="仿宋_GB2312" w:eastAsia="仿宋_GB2312" w:cs="仿宋_GB2312"/>
          <w:sz w:val="28"/>
          <w:szCs w:val="28"/>
        </w:rPr>
        <w:t>6、</w:t>
      </w:r>
      <w:r>
        <w:rPr>
          <w:rFonts w:hint="eastAsia" w:ascii="仿宋_GB2312" w:eastAsia="仿宋_GB2312"/>
          <w:color w:val="000000"/>
          <w:sz w:val="28"/>
          <w:szCs w:val="28"/>
        </w:rPr>
        <w:t>分项报价一览表、技术偏差表、商务偏差表、售后服务计划等</w:t>
      </w:r>
    </w:p>
    <w:p>
      <w:pPr>
        <w:spacing w:line="360" w:lineRule="auto"/>
        <w:ind w:firstLine="576"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7、供应商认为与本项目有关的其他资料。</w:t>
      </w:r>
    </w:p>
    <w:p>
      <w:pPr>
        <w:spacing w:line="360" w:lineRule="auto"/>
        <w:ind w:firstLine="567"/>
        <w:rPr>
          <w:rFonts w:ascii="仿宋_GB2312" w:hAnsi="仿宋_GB2312" w:eastAsia="仿宋_GB2312" w:cs="仿宋_GB2312"/>
          <w:b/>
          <w:sz w:val="28"/>
          <w:szCs w:val="28"/>
        </w:rPr>
      </w:pPr>
      <w:r>
        <w:rPr>
          <w:rFonts w:hint="eastAsia" w:ascii="仿宋_GB2312" w:hAnsi="仿宋_GB2312" w:eastAsia="仿宋_GB2312" w:cs="仿宋_GB2312"/>
          <w:b/>
          <w:sz w:val="28"/>
          <w:szCs w:val="28"/>
        </w:rPr>
        <w:t>三、响应文件的制作</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1、供应商应按竞争性谈判文件中提供的格式制作响应文件（格式见本文件第四部分）。</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2、响应文件的制作和提交的有关资料应为中文版本，保证清晰可辨。</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3、电子响应文件一份。</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4、电子响应文件应使用企业电子营业执照生成并在截止时间前上传其加密版本，具体详见《电子营业执照应用平台系统操作手册-投标单位》。否则，被视为无效响应文件，将被电子营业执照应用平台系统拒绝。</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5、电子响应文件需使用“电子营业执照应用平台投标文件制作工具（南阳版）”生成。电子响应文件中的图片应清晰可辩，否则所导致的一切后果由供应商自行承担。</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6、电子响应文件正文要编写目录、页码，条理清晰。由于电子响应文件编制问题所导致的一切后果由供应商自行承担。</w:t>
      </w:r>
    </w:p>
    <w:p>
      <w:pPr>
        <w:spacing w:line="360" w:lineRule="auto"/>
        <w:ind w:firstLine="56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7、供应商编制响应文件时，涉及资格证明文件的，可按照规定提供“南阳市政府采购供应商信用承诺函”（详见响应文件格式）替代。供应商在成交后，应将上述由信用承诺书替代的证明材料提交政府采购中心，证明材料将随公告一并公示。</w:t>
      </w:r>
    </w:p>
    <w:p>
      <w:pPr>
        <w:spacing w:line="360" w:lineRule="auto"/>
        <w:ind w:firstLine="56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涉及营业执照、资质、业绩、人员、财务、社保、纳税、各类证书等内容，必须是原件的扫描件。未提供原件扫描件，不作为评审依据。</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8、未按上述要求制作响应文件和报价的供应商，造成的后果由其自行承担。</w:t>
      </w:r>
    </w:p>
    <w:p>
      <w:pPr>
        <w:spacing w:line="360" w:lineRule="auto"/>
        <w:ind w:firstLine="567"/>
        <w:rPr>
          <w:rFonts w:ascii="仿宋_GB2312" w:hAnsi="仿宋_GB2312" w:eastAsia="仿宋_GB2312" w:cs="仿宋_GB2312"/>
          <w:color w:val="000000"/>
          <w:spacing w:val="4"/>
          <w:sz w:val="28"/>
          <w:szCs w:val="28"/>
        </w:rPr>
      </w:pPr>
      <w:r>
        <w:rPr>
          <w:rFonts w:hint="eastAsia" w:ascii="仿宋_GB2312" w:hAnsi="仿宋_GB2312" w:eastAsia="仿宋_GB2312" w:cs="仿宋_GB2312"/>
          <w:b/>
          <w:sz w:val="28"/>
          <w:szCs w:val="28"/>
        </w:rPr>
        <w:t>四、报价</w:t>
      </w:r>
    </w:p>
    <w:p>
      <w:pPr>
        <w:spacing w:line="360" w:lineRule="auto"/>
        <w:ind w:firstLine="523" w:firstLineChars="18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1、报价均以人民币报价，为最终交货价，</w:t>
      </w:r>
      <w:r>
        <w:rPr>
          <w:rFonts w:hint="eastAsia" w:ascii="仿宋_GB2312" w:hAnsi="宋体" w:eastAsia="仿宋_GB2312"/>
          <w:sz w:val="28"/>
          <w:szCs w:val="28"/>
        </w:rPr>
        <w:t>本项目交货安装地点在</w:t>
      </w:r>
      <w:r>
        <w:rPr>
          <w:rFonts w:hint="eastAsia" w:ascii="仿宋_GB2312" w:hAnsi="仿宋_GB2312" w:eastAsia="仿宋_GB2312" w:cs="仿宋_GB2312"/>
          <w:color w:val="000000"/>
          <w:sz w:val="28"/>
          <w:szCs w:val="28"/>
        </w:rPr>
        <w:t>南阳市北京大道南端南阳技师学院南校区</w:t>
      </w:r>
      <w:r>
        <w:rPr>
          <w:rFonts w:hint="eastAsia" w:ascii="仿宋_GB2312" w:hAnsi="宋体" w:eastAsia="仿宋_GB2312"/>
          <w:sz w:val="28"/>
          <w:szCs w:val="28"/>
        </w:rPr>
        <w:t>，报价中含税费、设备运输、安装、服务、调试、检测、验收、售后服务等全部费用。</w:t>
      </w:r>
    </w:p>
    <w:p>
      <w:pPr>
        <w:widowControl/>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2、报价时应详细列出所投产品的生产厂商、品牌、型号、单价、数量、总价等。</w:t>
      </w:r>
    </w:p>
    <w:p>
      <w:pPr>
        <w:spacing w:line="360" w:lineRule="auto"/>
        <w:ind w:firstLine="576" w:firstLineChars="200"/>
        <w:jc w:val="lef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3、本项目将按供应商所提交的单价和总价来支付本项目所需的费用。对供应商没有填写单价和总价的内容,将被认为这些项目费用已包括在报价中。</w:t>
      </w:r>
    </w:p>
    <w:p>
      <w:pPr>
        <w:spacing w:line="360" w:lineRule="auto"/>
        <w:ind w:firstLine="576"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pacing w:val="4"/>
          <w:sz w:val="28"/>
          <w:szCs w:val="28"/>
        </w:rPr>
        <w:t>4、</w:t>
      </w:r>
      <w:r>
        <w:rPr>
          <w:rFonts w:hint="eastAsia" w:ascii="仿宋_GB2312" w:hAnsi="仿宋_GB2312" w:eastAsia="仿宋_GB2312" w:cs="仿宋_GB2312"/>
          <w:sz w:val="28"/>
          <w:szCs w:val="28"/>
        </w:rPr>
        <w:t>谈判结束，供应商进行最后报价。</w:t>
      </w:r>
      <w:r>
        <w:rPr>
          <w:rFonts w:hint="eastAsia" w:ascii="仿宋_GB2312" w:hAnsi="仿宋_GB2312" w:eastAsia="仿宋_GB2312" w:cs="仿宋_GB2312"/>
          <w:b/>
          <w:bCs/>
          <w:sz w:val="28"/>
          <w:szCs w:val="28"/>
        </w:rPr>
        <w:t>根据《南阳市政府采购信用评价实施办法》，供应商登录“南阳市政府采购信用管理系统”打印并提交《南阳市政府采购供应商信用记录表》（扫描件），诚信评价为三星级的给予报价1%的价格扣除，诚信评价为四星级的给予报价2%的价格扣除。评审以扣除后的价格为依据，成交价以供应商原报价为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5、供应商的所有报价不得低于成本恶意竞争。</w:t>
      </w:r>
    </w:p>
    <w:p>
      <w:pPr>
        <w:spacing w:line="360" w:lineRule="auto"/>
        <w:ind w:firstLine="567"/>
        <w:rPr>
          <w:rFonts w:ascii="仿宋_GB2312" w:hAnsi="仿宋_GB2312" w:eastAsia="仿宋_GB2312" w:cs="仿宋_GB2312"/>
          <w:b/>
          <w:sz w:val="28"/>
          <w:szCs w:val="28"/>
        </w:rPr>
      </w:pPr>
      <w:r>
        <w:rPr>
          <w:rFonts w:hint="eastAsia" w:ascii="仿宋_GB2312" w:hAnsi="仿宋_GB2312" w:eastAsia="仿宋_GB2312" w:cs="仿宋_GB2312"/>
          <w:b/>
          <w:sz w:val="28"/>
          <w:szCs w:val="28"/>
        </w:rPr>
        <w:t>五、响应文件的签署及修改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1、电子响应文件必须在规定签章处进行签字、盖章或电子签章。</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采购文件规定的电子响应文件上传截止时间前，供应商可以修改或撤回已上传的电子响应文件，最终电子响应文件以上传截止时间前完成上传至南阳市公共资源交易电子营业执照应用平台系统最后一份加密电子响应文件为准。</w:t>
      </w:r>
    </w:p>
    <w:p>
      <w:pPr>
        <w:pStyle w:val="3"/>
        <w:spacing w:line="360" w:lineRule="auto"/>
        <w:ind w:firstLine="1120" w:firstLineChars="400"/>
        <w:jc w:val="left"/>
        <w:rPr>
          <w:rFonts w:ascii="仿宋_GB2312" w:hAnsi="仿宋_GB2312" w:eastAsia="仿宋_GB2312" w:cs="仿宋_GB2312"/>
          <w:color w:val="000000"/>
          <w:szCs w:val="28"/>
        </w:rPr>
      </w:pPr>
    </w:p>
    <w:p>
      <w:pPr>
        <w:spacing w:line="360" w:lineRule="auto"/>
        <w:ind w:firstLine="567"/>
        <w:jc w:val="center"/>
        <w:rPr>
          <w:rFonts w:ascii="仿宋_GB2312" w:hAnsi="仿宋_GB2312" w:eastAsia="仿宋_GB2312" w:cs="仿宋_GB2312"/>
          <w:b/>
          <w:sz w:val="28"/>
          <w:szCs w:val="28"/>
        </w:rPr>
      </w:pPr>
    </w:p>
    <w:p>
      <w:pPr>
        <w:spacing w:line="360" w:lineRule="auto"/>
        <w:ind w:firstLine="56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C    响应文件的递交</w:t>
      </w:r>
    </w:p>
    <w:p>
      <w:pPr>
        <w:spacing w:line="360" w:lineRule="auto"/>
        <w:ind w:firstLine="567"/>
        <w:rPr>
          <w:rFonts w:ascii="仿宋_GB2312" w:hAnsi="仿宋_GB2312" w:eastAsia="仿宋_GB2312" w:cs="仿宋_GB2312"/>
          <w:sz w:val="28"/>
          <w:szCs w:val="28"/>
        </w:rPr>
      </w:pP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一、电子响应文件的递交</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电子响应文件的递交是指使用南阳市公共资源电子营业执照应用平台系统在上传截止时间前完成响应文件制作软件生成的加密电子响应文件（格式后缀为:.file）的上传。</w:t>
      </w:r>
    </w:p>
    <w:p>
      <w:pPr>
        <w:spacing w:line="360" w:lineRule="auto"/>
        <w:ind w:firstLine="56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二、电子响应文件的数量、上传时间、加密情况不符合要求的，政府采购中心将拒绝接收。</w:t>
      </w:r>
    </w:p>
    <w:p>
      <w:pPr>
        <w:spacing w:line="360" w:lineRule="auto"/>
        <w:jc w:val="center"/>
        <w:rPr>
          <w:rFonts w:ascii="仿宋_GB2312" w:hAnsi="仿宋_GB2312" w:eastAsia="仿宋_GB2312" w:cs="仿宋_GB2312"/>
          <w:b/>
          <w:sz w:val="28"/>
          <w:szCs w:val="28"/>
        </w:rPr>
      </w:pPr>
      <w:bookmarkStart w:id="4" w:name="_Hlt92081722"/>
      <w:bookmarkEnd w:id="4"/>
      <w:bookmarkStart w:id="5" w:name="_Hlt92680735"/>
      <w:bookmarkEnd w:id="5"/>
      <w:bookmarkStart w:id="6" w:name="_Hlt92680746"/>
      <w:bookmarkEnd w:id="6"/>
    </w:p>
    <w:p>
      <w:pPr>
        <w:pStyle w:val="6"/>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D   竞争性谈判采购程序</w:t>
      </w:r>
    </w:p>
    <w:p>
      <w:pPr>
        <w:spacing w:line="360" w:lineRule="auto"/>
        <w:jc w:val="center"/>
        <w:rPr>
          <w:rFonts w:ascii="仿宋_GB2312" w:hAnsi="仿宋_GB2312" w:eastAsia="仿宋_GB2312" w:cs="仿宋_GB2312"/>
          <w:sz w:val="28"/>
          <w:szCs w:val="28"/>
        </w:rPr>
      </w:pPr>
    </w:p>
    <w:p>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一、发布竞争性谈判公告，邀请供应商参加谈判</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谈判文件经采购人书面确认后，将在指定媒体和南阳市公共资源交易中心网发布竞争性谈判公告。供应商按照公告和谈判文件要求制作并递交响应文件。</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二、组建谈判小组，确认谈判文件</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南阳市政府采购中心根据采购项目特点和采购实际需求编制竞争性谈判文件。采购人通过随机方式抽取专家，组成谈判小组，对谈判文件进行审核并确认。</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谈判小组负责对响应文件进行评审、质疑、评估、比较、评分，组织谈判和最后报价。</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评审专家应当严格遵守评审工作纪律，按照客观、公正、审慎的原则，根据采购文件规定的评审程序、评审方法和评审标准进行独立评审。</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评审专家未完成评审工作擅自离开评审现场，或者在评审活动中有违法违规行为的，不得获取劳务报酬和报销异地评审差旅费。评审专家以外的其他人员不得获取评审劳务报酬。</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三、解密电子响应文件</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解密：供应商制作电子响应文件时，必须使用本单位的企业电子营业执照进行加密，供应商在解密前须自行检查电子营业执照的有效性。解密时未在规定时间30分钟内进行解密成功的视为撤销其响应文件（因电子开标系统原因除外）。</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四、评审</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谈判小组对供应商提交的响应文件进行评审。主要对响应文件的有效性、完整性和响应程度进行审查，具体包括：</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1、资格性审查。谈判小组依据法律法规和谈判文件的规定，对响应文件中的营业执照、资格证明等等进行审查，以确定供应商是否具备资格。</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2、符合性审查。谈判小组依据谈判文件的规定检查供应商响应文件的制作内容是否符合谈判文件的各项要求。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只有通过前两项审查的供应商的响应文件，方可进入商务和技术评估，综合比较与评价。</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3、综合比较与评价。对各供应商所投产品的技术、质量、供货时间、售后服务、报价进行综合评比。</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响应文件无效的情形：</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1.在资格性和符合性审查时，如发现下列情形之一的，响应文件将被视为无效：</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（1）资格证明文件不全的，或者不符合竞争性谈判文件标明的资格要求的；</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（2）响应文件无法定代表人或负责人签字,或未提供法定代表人或负责人授权委托书或者填写项目不齐全的；</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（3）授权代表人未能出具身份证明或与法定代表人或负责人授权委托人身份不符的；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sz w:val="28"/>
          <w:szCs w:val="28"/>
        </w:rPr>
        <w:t>电子响应文件未使用电子营业执照认证并加密的；</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（5）符合性审查和技术审查不符合谈判文件要求的。</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2.在报价评审时，如发现下列情形之一的，响应文件将被视为无效：</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（1）未采用人民币报价的；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（2）报价具有选择性；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（3）未进行最后报价或最后报价高于采购人预算的。</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五、谈判</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谈判小组所有成员集中与通过审查的每一供应商分别进行谈判，并给予所有参加谈判的供应商平等的谈判机会。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谈判过程中，谈判小组可以根据谈判文件和谈判情况实质性变动采购需求中的技术、服务要求以及合同草案条款，对谈判文件作出的实质性变动是谈判文件的有效组成部分，谈判小组应当及时通过评标系统通知所有参加谈判的供应商。具体谈判内容由谈判小组根据谈判实际情况确定。  　　　</w:t>
      </w:r>
    </w:p>
    <w:p>
      <w:pPr>
        <w:pStyle w:val="6"/>
        <w:spacing w:line="360" w:lineRule="auto"/>
        <w:ind w:firstLine="560" w:firstLineChars="200"/>
        <w:jc w:val="left"/>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供应商应当按照竞争性谈判文件的变动情况和谈判小组的要求，通过电子营业执照应用平台系统谈判大厅以在线形式提交承诺，并用电子营业执照签章。</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谈判小组根据评审与谈判情况，评判供应商是否实质性响应谈判文件，未实质性响应谈判文件的响应文件按无效处理，谈判小组应当告知有关供应商。</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六、最后报价</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谈判结束后，谈判小组通过评标系统向所有实质性响应的供应商发出要求最后报价要求，各供应商在谈判大厅中收到有关信息后，必须在规定时间内给出答复，并在签章后提交。提交最后报价的供应商不少于三家。最后报价是响应文件的有效组成部分。</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七、确定成交供应商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谈判小组应当从质量和服务均能满足采购文件实质性响应要求的供应商中，按照报价由低到高的顺序提出3名以上成交候选人，并编写评审报告。</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采购人书面授权谈判小组直接确定成交供应商。</w:t>
      </w:r>
    </w:p>
    <w:p>
      <w:pPr>
        <w:spacing w:line="360" w:lineRule="auto"/>
        <w:ind w:firstLine="567"/>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八、</w:t>
      </w:r>
      <w:r>
        <w:rPr>
          <w:rFonts w:hint="eastAsia" w:ascii="仿宋_GB2312" w:hAnsi="仿宋_GB2312" w:eastAsia="仿宋_GB2312" w:cs="仿宋_GB2312"/>
          <w:b/>
          <w:sz w:val="28"/>
          <w:szCs w:val="28"/>
        </w:rPr>
        <w:t>有下列情况之一的，政府采购中心将中止项目：</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（一）因情况变化，不再符合规定的竞争性谈判采购方式适用情形的；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（二）出现影响采购公正的违法、违规行为的；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（三）在采购过程中符合竞争要求的供应商或者最后报价未超过采购预算的供应商不足3家的。</w:t>
      </w:r>
    </w:p>
    <w:p>
      <w:pPr>
        <w:spacing w:line="360" w:lineRule="auto"/>
        <w:ind w:firstLine="560" w:firstLineChars="200"/>
        <w:rPr>
          <w:rFonts w:ascii="仿宋_GB2312" w:hAnsi="仿宋_GB2312" w:eastAsia="仿宋_GB2312" w:cs="仿宋_GB2312"/>
          <w:sz w:val="28"/>
          <w:szCs w:val="28"/>
        </w:rPr>
      </w:pPr>
    </w:p>
    <w:p>
      <w:pPr>
        <w:pStyle w:val="6"/>
      </w:pPr>
    </w:p>
    <w:p>
      <w:pPr>
        <w:spacing w:line="360" w:lineRule="auto"/>
        <w:ind w:firstLine="567"/>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E  公告成交结果 签订合同</w:t>
      </w:r>
    </w:p>
    <w:p>
      <w:pPr>
        <w:spacing w:line="360" w:lineRule="auto"/>
        <w:ind w:firstLine="567"/>
        <w:rPr>
          <w:rFonts w:ascii="仿宋_GB2312" w:hAnsi="仿宋_GB2312" w:eastAsia="仿宋_GB2312" w:cs="仿宋_GB2312"/>
          <w:sz w:val="28"/>
          <w:szCs w:val="28"/>
        </w:rPr>
      </w:pPr>
    </w:p>
    <w:p>
      <w:pPr>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一、成交结果公布</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成交供应商确定后，政府采购中心将在“河南省政府采购网”和“南阳市公共资源交易中心网”上发布成交公告。</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如项目终止，结果公告以“河南省政府采购网”发布的为准。</w:t>
      </w:r>
    </w:p>
    <w:p>
      <w:pPr>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二、发出成交通知书</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1、政府采购中心根据成交结果，通过“</w:t>
      </w:r>
      <w:r>
        <w:fldChar w:fldCharType="begin"/>
      </w:r>
      <w:r>
        <w:instrText xml:space="preserve"> HYPERLINK "http://111.6.77.187:8081/ggzy/authentication/base/agent/iframe/bridge/eyJ0MDIiOiIxIiwiY2RtYyI6IumhueebruWQkeWvvCIsImNkZHoiOiJlcHMvcHVibGljL3htL3htZ256eS9YbWduVHJlZS5odG1sP3htaWQ9MmI3YTkzNmJjYTM1NDk4NzlmNzkzN2YwYTZmMjk0ZDImZnVybD1odHRwOi8vMTExLjYuNzcuMTg3OjgwODEveG0veG0veG1sYi9menIiLCJ6eHRpZCI6Inl3cHQtb2xkIn0?serializeQuery=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" \l "###" </w:instrText>
      </w:r>
      <w:r>
        <w:fldChar w:fldCharType="separate"/>
      </w:r>
      <w:r>
        <w:rPr>
          <w:rFonts w:hint="eastAsia" w:ascii="仿宋_GB2312" w:hAnsi="仿宋_GB2312" w:eastAsia="仿宋_GB2312" w:cs="仿宋_GB2312"/>
          <w:sz w:val="28"/>
          <w:szCs w:val="28"/>
        </w:rPr>
        <w:t>电子营业执照应用平台</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”向成交供应商发出电子成交通知书，成交供应商可登录</w:t>
      </w:r>
      <w:r>
        <w:fldChar w:fldCharType="begin"/>
      </w:r>
      <w:r>
        <w:instrText xml:space="preserve"> HYPERLINK "http://111.6.77.187:8081/ggzy/authentication/base/agent/iframe/bridge/eyJ0MDIiOiIxIiwiY2RtYyI6IumhueebruWQkeWvvCIsImNkZHoiOiJlcHMvcHVibGljL3htL3htZ256eS9YbWduVHJlZS5odG1sP3htaWQ9MmI3YTkzNmJjYTM1NDk4NzlmNzkzN2YwYTZmMjk0ZDImZnVybD1odHRwOi8vMTExLjYuNzcuMTg3OjgwODEveG0veG0veG1sYi9menIiLCJ6eHRpZCI6Inl3cHQtb2xkIn0?serializeQuery=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" \l "###" </w:instrText>
      </w:r>
      <w:r>
        <w:fldChar w:fldCharType="separate"/>
      </w:r>
      <w:r>
        <w:rPr>
          <w:rFonts w:hint="eastAsia" w:ascii="仿宋_GB2312" w:hAnsi="仿宋_GB2312" w:eastAsia="仿宋_GB2312" w:cs="仿宋_GB2312"/>
          <w:sz w:val="28"/>
          <w:szCs w:val="28"/>
        </w:rPr>
        <w:t>电子营业执照应用平台</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”，自行打印加盖南阳市政府采购中心签章的成交通知书。</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2、《成交通知书》是签订政府采购合同的重要依据，对采购人与成交供应商具有法律效力。</w:t>
      </w:r>
    </w:p>
    <w:p>
      <w:pPr>
        <w:spacing w:line="360" w:lineRule="auto"/>
        <w:ind w:firstLine="567"/>
        <w:rPr>
          <w:rFonts w:ascii="仿宋_GB2312" w:hAnsi="仿宋_GB2312" w:eastAsia="仿宋_GB2312" w:cs="仿宋_GB2312"/>
          <w:b/>
          <w:i/>
          <w:sz w:val="28"/>
          <w:szCs w:val="28"/>
        </w:rPr>
      </w:pPr>
      <w:r>
        <w:rPr>
          <w:rFonts w:hint="eastAsia" w:ascii="仿宋_GB2312" w:hAnsi="仿宋_GB2312" w:eastAsia="仿宋_GB2312" w:cs="仿宋_GB2312"/>
          <w:b/>
          <w:sz w:val="28"/>
          <w:szCs w:val="28"/>
        </w:rPr>
        <w:t>三、签订政府采购合同</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1、成交供应商和采购人应在《成交通知书》发出后及时签订政府采购合同，逾期无故不签订的，按《政府采购非招标采购方式管理办法》及有关规定处理。</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2、谈判文件、响应文件、供应商在谈判过程中的承诺以及确认材料，均为合同的有效组成部分。</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3、如果成交供应商不按其响应文件承诺和竞争性谈判文件要求签订政府采购合同，招标人将取消其成交资格。</w:t>
      </w:r>
    </w:p>
    <w:p>
      <w:pPr>
        <w:spacing w:line="360" w:lineRule="auto"/>
        <w:jc w:val="center"/>
        <w:rPr>
          <w:rFonts w:ascii="仿宋_GB2312" w:hAnsi="仿宋_GB2312" w:eastAsia="仿宋_GB2312" w:cs="仿宋_GB2312"/>
          <w:b/>
          <w:sz w:val="28"/>
          <w:szCs w:val="28"/>
        </w:rPr>
      </w:pPr>
    </w:p>
    <w:p>
      <w:pPr>
        <w:pStyle w:val="6"/>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F  </w:t>
      </w:r>
      <w:r>
        <w:rPr>
          <w:rFonts w:hint="eastAsia" w:ascii="仿宋_GB2312" w:hAnsi="仿宋_GB2312" w:eastAsia="仿宋_GB2312" w:cs="仿宋_GB2312"/>
          <w:b/>
          <w:bCs/>
          <w:sz w:val="28"/>
          <w:szCs w:val="28"/>
        </w:rPr>
        <w:t>质疑与答复</w:t>
      </w:r>
    </w:p>
    <w:p>
      <w:pPr>
        <w:spacing w:line="360" w:lineRule="auto"/>
        <w:jc w:val="center"/>
        <w:rPr>
          <w:rFonts w:ascii="仿宋_GB2312" w:hAnsi="仿宋_GB2312" w:eastAsia="仿宋_GB2312" w:cs="仿宋_GB2312"/>
          <w:b/>
          <w:sz w:val="28"/>
          <w:szCs w:val="28"/>
        </w:rPr>
      </w:pP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一）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不符合格式要求的将被拒绝接收。</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（二）质疑函须按照财政部发布的质疑函范本格式编制，质疑事项应具体、明确，并有必要的事实依据和法律依据。</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（三）接收质疑的方式：</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1、在线接收，请质疑人上传质疑函原件扫描件到南阳市公共资源交易电子营业执照系统并电话通知到项目负责人。</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2、书面提交，请质疑人将质疑函原件送达或邮寄至采购单位联系人和采购中心项目负责人，联系方式及地址详见采购公告。</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（四）超出法定质疑期的、重复提出的、分次提出的或内容、形式不符合《政府采购质疑和投诉办法》的，采购人和采购代理机构可以拒收，质疑供应商将依法承担不利后果。</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（五）采购人和政府采购中心在收到质疑函后7个工作日内作出答复，并以书面形式通知质疑供应商和其他有关供应商。</w:t>
      </w:r>
    </w:p>
    <w:p>
      <w:pPr>
        <w:spacing w:line="360" w:lineRule="auto"/>
        <w:rPr>
          <w:rFonts w:ascii="仿宋_GB2312" w:hAnsi="仿宋_GB2312" w:eastAsia="仿宋_GB2312" w:cs="仿宋_GB2312"/>
          <w:sz w:val="28"/>
          <w:szCs w:val="28"/>
        </w:rPr>
      </w:pPr>
    </w:p>
    <w:p>
      <w:pPr>
        <w:pStyle w:val="6"/>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G  注意事项</w:t>
      </w:r>
    </w:p>
    <w:p>
      <w:pPr>
        <w:spacing w:line="360" w:lineRule="auto"/>
        <w:jc w:val="center"/>
        <w:rPr>
          <w:rFonts w:ascii="仿宋_GB2312" w:hAnsi="仿宋_GB2312" w:eastAsia="仿宋_GB2312" w:cs="仿宋_GB2312"/>
          <w:b/>
          <w:sz w:val="28"/>
          <w:szCs w:val="28"/>
        </w:rPr>
      </w:pP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一、如对竞争性谈判文件有疑问，应于响应文件递交截止时间前1工作日向南阳市政府采购中心提出。</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二、供应商必须由法定代表人或授权代表参加参加谈判，随时接受谈判小组的询问、质疑，并按照谈判小组的要求书面答复。</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三、谈判小组成员及有关的工作人员不向未成交方解释原因，不退还响应文件。</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四、供应商自行承担参加竞争性谈判的全部费用。</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五、本竞争性谈判文件最终解释权归南阳市政府采购中心。</w:t>
      </w:r>
    </w:p>
    <w:p>
      <w:pPr>
        <w:pStyle w:val="2"/>
        <w:ind w:firstLine="544"/>
        <w:rPr>
          <w:rFonts w:ascii="仿宋_GB2312" w:hAnsi="仿宋_GB2312" w:eastAsia="仿宋_GB2312" w:cs="仿宋_GB2312"/>
          <w:sz w:val="28"/>
          <w:szCs w:val="28"/>
        </w:rPr>
      </w:pPr>
    </w:p>
    <w:p>
      <w:pPr>
        <w:jc w:val="cente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河南省政府采购合同融资政策告知函</w:t>
      </w:r>
    </w:p>
    <w:p>
      <w:pPr>
        <w:rPr>
          <w:rFonts w:ascii="仿宋_GB2312" w:hAnsi="仿宋_GB2312" w:eastAsia="仿宋_GB2312" w:cs="仿宋_GB2312"/>
          <w:sz w:val="28"/>
          <w:szCs w:val="28"/>
        </w:rPr>
      </w:pPr>
    </w:p>
    <w:p>
      <w:pPr>
        <w:spacing w:line="360" w:lineRule="auto"/>
        <w:jc w:val="left"/>
        <w:rPr>
          <w:rFonts w:ascii="仿宋_GB2312" w:hAnsi="仿宋_GB2312" w:eastAsia="仿宋_GB2312" w:cs="仿宋_GB2312"/>
          <w:sz w:val="28"/>
          <w:szCs w:val="28"/>
        </w:rPr>
      </w:pP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各供应商：</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欢迎贵公司参与河南省政府采购活动!</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pPr>
        <w:pStyle w:val="5"/>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5"/>
        <w:jc w:val="both"/>
        <w:rPr>
          <w:rFonts w:ascii="仿宋_GB2312" w:hAnsi="仿宋_GB2312" w:eastAsia="仿宋_GB2312" w:cs="仿宋_GB2312"/>
          <w:sz w:val="28"/>
          <w:szCs w:val="28"/>
        </w:rPr>
      </w:pPr>
    </w:p>
    <w:p>
      <w:pPr>
        <w:autoSpaceDE w:val="0"/>
        <w:autoSpaceDN w:val="0"/>
        <w:adjustRightInd w:val="0"/>
        <w:spacing w:line="360" w:lineRule="auto"/>
        <w:rPr>
          <w:rFonts w:ascii="仿宋_GB2312" w:hAnsi="仿宋_GB2312" w:eastAsia="仿宋_GB2312" w:cs="仿宋_GB2312"/>
          <w:b/>
          <w:bCs/>
          <w:sz w:val="28"/>
          <w:szCs w:val="28"/>
        </w:rPr>
      </w:pPr>
    </w:p>
    <w:p>
      <w:pPr>
        <w:pageBreakBefore/>
        <w:spacing w:line="480" w:lineRule="auto"/>
        <w:jc w:val="center"/>
        <w:rPr>
          <w:rFonts w:ascii="楷体" w:hAnsi="楷体" w:eastAsia="楷体"/>
          <w:b/>
        </w:rPr>
      </w:pPr>
      <w:r>
        <w:rPr>
          <w:rFonts w:hint="eastAsia" w:ascii="宋体" w:hAnsi="宋体" w:cs="宋体"/>
          <w:b/>
          <w:bCs/>
          <w:sz w:val="36"/>
          <w:szCs w:val="36"/>
        </w:rPr>
        <w:t>第四部分 政府采购合同（货物类模板）</w:t>
      </w:r>
    </w:p>
    <w:p>
      <w:pPr>
        <w:autoSpaceDE w:val="0"/>
        <w:autoSpaceDN w:val="0"/>
        <w:adjustRightInd w:val="0"/>
        <w:rPr>
          <w:rFonts w:ascii="楷体" w:hAnsi="楷体" w:eastAsia="楷体"/>
        </w:rPr>
      </w:pPr>
    </w:p>
    <w:p>
      <w:pPr>
        <w:autoSpaceDE w:val="0"/>
        <w:autoSpaceDN w:val="0"/>
        <w:adjustRightIn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第一部分 合同书</w:t>
      </w:r>
    </w:p>
    <w:p>
      <w:pPr>
        <w:autoSpaceDE w:val="0"/>
        <w:autoSpaceDN w:val="0"/>
        <w:adjustRightInd w:val="0"/>
        <w:rPr>
          <w:rFonts w:ascii="仿宋_GB2312" w:hAnsi="仿宋_GB2312" w:eastAsia="仿宋_GB2312" w:cs="仿宋_GB2312"/>
          <w:sz w:val="28"/>
          <w:szCs w:val="28"/>
        </w:rPr>
      </w:pPr>
    </w:p>
    <w:p>
      <w:pPr>
        <w:autoSpaceDE w:val="0"/>
        <w:autoSpaceDN w:val="0"/>
        <w:adjustRightInd w:val="0"/>
        <w:rPr>
          <w:rFonts w:ascii="仿宋_GB2312" w:hAnsi="仿宋_GB2312" w:eastAsia="仿宋_GB2312" w:cs="仿宋_GB2312"/>
          <w:sz w:val="28"/>
          <w:szCs w:val="28"/>
        </w:rPr>
      </w:pPr>
    </w:p>
    <w:p>
      <w:pPr>
        <w:spacing w:before="120" w:line="22" w:lineRule="atLeast"/>
        <w:rPr>
          <w:rFonts w:ascii="仿宋_GB2312" w:hAnsi="仿宋_GB2312" w:eastAsia="仿宋_GB2312" w:cs="仿宋_GB2312"/>
          <w:sz w:val="28"/>
          <w:szCs w:val="28"/>
        </w:rPr>
      </w:pPr>
    </w:p>
    <w:p>
      <w:pPr>
        <w:spacing w:before="120" w:line="22" w:lineRule="atLeast"/>
        <w:ind w:left="960"/>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spacing w:before="120" w:line="22" w:lineRule="atLeast"/>
        <w:rPr>
          <w:rFonts w:ascii="仿宋_GB2312" w:hAnsi="仿宋_GB2312" w:eastAsia="仿宋_GB2312" w:cs="仿宋_GB2312"/>
          <w:sz w:val="28"/>
          <w:szCs w:val="28"/>
        </w:rPr>
      </w:pPr>
    </w:p>
    <w:p>
      <w:pPr>
        <w:spacing w:before="120" w:line="22" w:lineRule="atLeast"/>
        <w:ind w:firstLine="980" w:firstLineChars="350"/>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spacing w:before="120" w:line="22" w:lineRule="atLeast"/>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before="120" w:line="22" w:lineRule="atLeast"/>
        <w:ind w:left="9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w:t>
      </w:r>
    </w:p>
    <w:p>
      <w:pPr>
        <w:spacing w:before="120" w:line="22" w:lineRule="atLeast"/>
        <w:rPr>
          <w:rFonts w:ascii="仿宋_GB2312" w:hAnsi="仿宋_GB2312" w:eastAsia="仿宋_GB2312" w:cs="仿宋_GB2312"/>
          <w:sz w:val="28"/>
          <w:szCs w:val="28"/>
        </w:rPr>
      </w:pPr>
    </w:p>
    <w:p>
      <w:pPr>
        <w:spacing w:before="120" w:line="22" w:lineRule="atLeast"/>
        <w:ind w:left="9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乙方：</w:t>
      </w:r>
    </w:p>
    <w:p>
      <w:pPr>
        <w:spacing w:before="120" w:line="22" w:lineRule="atLeast"/>
        <w:rPr>
          <w:rFonts w:ascii="仿宋_GB2312" w:hAnsi="仿宋_GB2312" w:eastAsia="仿宋_GB2312" w:cs="仿宋_GB2312"/>
          <w:sz w:val="28"/>
          <w:szCs w:val="28"/>
        </w:rPr>
      </w:pPr>
    </w:p>
    <w:p>
      <w:pPr>
        <w:spacing w:before="120" w:line="22" w:lineRule="atLeast"/>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签订地：</w:t>
      </w:r>
    </w:p>
    <w:p>
      <w:pPr>
        <w:spacing w:before="120" w:line="22" w:lineRule="atLeast"/>
        <w:rPr>
          <w:rFonts w:ascii="仿宋_GB2312" w:hAnsi="仿宋_GB2312" w:eastAsia="仿宋_GB2312" w:cs="仿宋_GB2312"/>
          <w:sz w:val="28"/>
          <w:szCs w:val="28"/>
        </w:rPr>
      </w:pPr>
    </w:p>
    <w:p>
      <w:pPr>
        <w:spacing w:before="120" w:line="22" w:lineRule="atLeast"/>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签订日期：年月日</w:t>
      </w:r>
    </w:p>
    <w:p>
      <w:pPr>
        <w:rPr>
          <w:rFonts w:ascii="仿宋_GB2312" w:hAnsi="仿宋_GB2312" w:eastAsia="仿宋_GB2312" w:cs="仿宋_GB2312"/>
          <w:sz w:val="28"/>
          <w:szCs w:val="28"/>
        </w:rPr>
        <w:sectPr>
          <w:footerReference r:id="rId3" w:type="default"/>
          <w:pgSz w:w="11907" w:h="16840"/>
          <w:pgMar w:top="1474" w:right="1814" w:bottom="1474" w:left="1814" w:header="851" w:footer="851" w:gutter="0"/>
          <w:cols w:space="720" w:num="1"/>
          <w:docGrid w:linePitch="326" w:charSpace="0"/>
        </w:sect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年月日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（采购人名称）   </w:t>
      </w: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u w:val="single"/>
        </w:rPr>
        <w:t xml:space="preserve">   （政府采购方式）  </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u w:val="single"/>
        </w:rPr>
        <w:t xml:space="preserve">   （同前页项目名称）   </w:t>
      </w:r>
      <w:r>
        <w:rPr>
          <w:rFonts w:hint="eastAsia" w:ascii="仿宋_GB2312" w:hAnsi="仿宋_GB2312" w:eastAsia="仿宋_GB2312" w:cs="仿宋_GB2312"/>
          <w:sz w:val="28"/>
          <w:szCs w:val="28"/>
        </w:rPr>
        <w:t>项目进行了采购。经</w:t>
      </w:r>
      <w:r>
        <w:rPr>
          <w:rFonts w:hint="eastAsia" w:ascii="仿宋_GB2312" w:hAnsi="仿宋_GB2312" w:eastAsia="仿宋_GB2312" w:cs="仿宋_GB2312"/>
          <w:sz w:val="28"/>
          <w:szCs w:val="28"/>
          <w:u w:val="single"/>
        </w:rPr>
        <w:t xml:space="preserve">   （相关评定主体名称）   </w:t>
      </w:r>
      <w:r>
        <w:rPr>
          <w:rFonts w:hint="eastAsia" w:ascii="仿宋_GB2312" w:hAnsi="仿宋_GB2312" w:eastAsia="仿宋_GB2312" w:cs="仿宋_GB2312"/>
          <w:sz w:val="28"/>
          <w:szCs w:val="28"/>
        </w:rPr>
        <w:t>评定，</w:t>
      </w:r>
      <w:r>
        <w:rPr>
          <w:rFonts w:hint="eastAsia" w:ascii="仿宋_GB2312" w:hAnsi="仿宋_GB2312" w:eastAsia="仿宋_GB2312" w:cs="仿宋_GB2312"/>
          <w:sz w:val="28"/>
          <w:szCs w:val="28"/>
          <w:u w:val="single"/>
        </w:rPr>
        <w:t xml:space="preserve">   （成交供应商名称）</w:t>
      </w:r>
      <w:r>
        <w:rPr>
          <w:rFonts w:hint="eastAsia" w:ascii="仿宋_GB2312" w:hAnsi="仿宋_GB2312" w:eastAsia="仿宋_GB2312" w:cs="仿宋_GB2312"/>
          <w:sz w:val="28"/>
          <w:szCs w:val="28"/>
        </w:rPr>
        <w:t>为该项目成交供应商。现于成交通知书发出之日起三十日内，按照采购文件确定的事项签订本合同。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根据《中华人民共和国民法典》、《中华人民共和国政府采购法》等相关法律法规之规定，按照平等、自愿、公平和诚实信用的原则，经</w:t>
      </w:r>
      <w:r>
        <w:rPr>
          <w:rFonts w:hint="eastAsia" w:ascii="仿宋_GB2312" w:hAnsi="仿宋_GB2312" w:eastAsia="仿宋_GB2312" w:cs="仿宋_GB2312"/>
          <w:sz w:val="28"/>
          <w:szCs w:val="28"/>
          <w:u w:val="single"/>
        </w:rPr>
        <w:t xml:space="preserve">   （采购人名称）   </w:t>
      </w:r>
      <w:r>
        <w:rPr>
          <w:rFonts w:hint="eastAsia" w:ascii="仿宋_GB2312" w:hAnsi="仿宋_GB2312" w:eastAsia="仿宋_GB2312" w:cs="仿宋_GB2312"/>
          <w:sz w:val="28"/>
          <w:szCs w:val="28"/>
          <w:lang w:val="zh-CN"/>
        </w:rPr>
        <w:t>(以下简称：甲方)和</w:t>
      </w:r>
      <w:r>
        <w:rPr>
          <w:rFonts w:hint="eastAsia" w:ascii="仿宋_GB2312" w:hAnsi="仿宋_GB2312" w:eastAsia="仿宋_GB2312" w:cs="仿宋_GB2312"/>
          <w:sz w:val="28"/>
          <w:szCs w:val="28"/>
          <w:u w:val="single"/>
        </w:rPr>
        <w:t xml:space="preserve">   （成交供应商名称）   </w:t>
      </w:r>
      <w:r>
        <w:rPr>
          <w:rFonts w:hint="eastAsia" w:ascii="仿宋_GB2312" w:hAnsi="仿宋_GB2312" w:eastAsia="仿宋_GB2312" w:cs="仿宋_GB2312"/>
          <w:sz w:val="28"/>
          <w:szCs w:val="28"/>
          <w:lang w:val="zh-CN"/>
        </w:rPr>
        <w:t>(以下简称：乙方)协商一致，约定以下合同</w:t>
      </w:r>
      <w:r>
        <w:rPr>
          <w:rFonts w:hint="eastAsia" w:ascii="仿宋_GB2312" w:hAnsi="仿宋_GB2312" w:eastAsia="仿宋_GB2312" w:cs="仿宋_GB2312"/>
          <w:sz w:val="28"/>
          <w:szCs w:val="28"/>
        </w:rPr>
        <w:t>条款，以兹共同遵守、全面履行。</w:t>
      </w:r>
    </w:p>
    <w:p>
      <w:pPr>
        <w:spacing w:line="560" w:lineRule="exact"/>
        <w:ind w:firstLine="562" w:firstLineChars="200"/>
        <w:outlineLvl w:val="0"/>
        <w:rPr>
          <w:rFonts w:ascii="仿宋_GB2312" w:hAnsi="仿宋_GB2312" w:eastAsia="仿宋_GB2312" w:cs="仿宋_GB2312"/>
          <w:b/>
          <w:sz w:val="28"/>
          <w:szCs w:val="28"/>
        </w:rPr>
      </w:pPr>
      <w:bookmarkStart w:id="7" w:name="_Toc2232"/>
      <w:bookmarkStart w:id="8" w:name="_Toc3029"/>
      <w:bookmarkStart w:id="9" w:name="_Toc24059"/>
      <w:r>
        <w:rPr>
          <w:rFonts w:hint="eastAsia" w:ascii="仿宋_GB2312" w:hAnsi="仿宋_GB2312" w:eastAsia="仿宋_GB2312" w:cs="仿宋_GB2312"/>
          <w:b/>
          <w:sz w:val="28"/>
          <w:szCs w:val="28"/>
        </w:rPr>
        <w:t>1.1 合同组成部分</w:t>
      </w:r>
      <w:bookmarkEnd w:id="7"/>
      <w:bookmarkEnd w:id="8"/>
      <w:bookmarkEnd w:id="9"/>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 本合同及其补充合同、变更协议；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 成交通知书；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1.1.3 投标文件（含澄清或者说明文件）；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1.1.4 招标文件（含澄清或者修改文件）；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1.1.5 其他相关采购文件。</w:t>
      </w:r>
    </w:p>
    <w:p>
      <w:pPr>
        <w:spacing w:line="560" w:lineRule="exact"/>
        <w:ind w:firstLine="562" w:firstLineChars="200"/>
        <w:outlineLvl w:val="0"/>
        <w:rPr>
          <w:rFonts w:ascii="仿宋_GB2312" w:hAnsi="仿宋_GB2312" w:eastAsia="仿宋_GB2312" w:cs="仿宋_GB2312"/>
          <w:b/>
          <w:sz w:val="28"/>
          <w:szCs w:val="28"/>
        </w:rPr>
      </w:pPr>
      <w:bookmarkStart w:id="10" w:name="_Toc27126"/>
      <w:bookmarkStart w:id="11" w:name="_Toc21295"/>
      <w:bookmarkStart w:id="12" w:name="_Toc24300"/>
      <w:r>
        <w:rPr>
          <w:rFonts w:hint="eastAsia" w:ascii="仿宋_GB2312" w:hAnsi="仿宋_GB2312" w:eastAsia="仿宋_GB2312" w:cs="仿宋_GB2312"/>
          <w:b/>
          <w:sz w:val="28"/>
          <w:szCs w:val="28"/>
        </w:rPr>
        <w:t>1.2 货物</w:t>
      </w:r>
      <w:bookmarkEnd w:id="10"/>
      <w:bookmarkEnd w:id="11"/>
      <w:bookmarkEnd w:id="12"/>
    </w:p>
    <w:p>
      <w:pPr>
        <w:spacing w:line="360" w:lineRule="auto"/>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1.2.1 货物名称：；</w:t>
      </w:r>
    </w:p>
    <w:p>
      <w:pPr>
        <w:spacing w:line="360" w:lineRule="auto"/>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1.2.2 货物数量：；</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1.2.3 货物质量：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360" w:lineRule="auto"/>
        <w:ind w:firstLine="562" w:firstLineChars="200"/>
        <w:jc w:val="left"/>
        <w:outlineLvl w:val="0"/>
        <w:rPr>
          <w:rFonts w:ascii="仿宋_GB2312" w:hAnsi="仿宋_GB2312" w:eastAsia="仿宋_GB2312" w:cs="仿宋_GB2312"/>
          <w:b/>
          <w:sz w:val="28"/>
          <w:szCs w:val="28"/>
        </w:rPr>
      </w:pPr>
      <w:bookmarkStart w:id="13" w:name="_Toc21551"/>
      <w:bookmarkStart w:id="14" w:name="_Toc23292"/>
      <w:bookmarkStart w:id="15" w:name="_Toc21631"/>
      <w:r>
        <w:rPr>
          <w:rFonts w:hint="eastAsia" w:ascii="仿宋_GB2312" w:hAnsi="仿宋_GB2312" w:eastAsia="仿宋_GB2312" w:cs="仿宋_GB2312"/>
          <w:b/>
          <w:sz w:val="28"/>
          <w:szCs w:val="28"/>
        </w:rPr>
        <w:t>1.3 价款</w:t>
      </w:r>
      <w:bookmarkEnd w:id="13"/>
      <w:bookmarkEnd w:id="14"/>
      <w:bookmarkEnd w:id="15"/>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本合同总价为：￥元（大写：元人民币）。</w:t>
      </w:r>
    </w:p>
    <w:p>
      <w:pPr>
        <w:spacing w:line="360" w:lineRule="auto"/>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分项价格：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_GB2312" w:hAnsi="仿宋_GB2312" w:eastAsia="仿宋_GB2312" w:cs="仿宋_GB2312"/>
                <w:sz w:val="28"/>
                <w:szCs w:val="28"/>
              </w:rPr>
            </w:pPr>
          </w:p>
        </w:tc>
      </w:tr>
    </w:tbl>
    <w:p>
      <w:pPr>
        <w:spacing w:line="360" w:lineRule="auto"/>
        <w:ind w:firstLine="562" w:firstLineChars="200"/>
        <w:jc w:val="left"/>
        <w:outlineLvl w:val="0"/>
        <w:rPr>
          <w:rFonts w:ascii="仿宋_GB2312" w:hAnsi="仿宋_GB2312" w:eastAsia="仿宋_GB2312" w:cs="仿宋_GB2312"/>
          <w:b/>
          <w:sz w:val="28"/>
          <w:szCs w:val="28"/>
        </w:rPr>
      </w:pPr>
      <w:bookmarkStart w:id="16" w:name="_Toc1814"/>
      <w:bookmarkStart w:id="17" w:name="_Toc10340"/>
      <w:bookmarkStart w:id="18" w:name="_Toc22618"/>
      <w:r>
        <w:rPr>
          <w:rFonts w:hint="eastAsia" w:ascii="仿宋_GB2312" w:hAnsi="仿宋_GB2312" w:eastAsia="仿宋_GB2312" w:cs="仿宋_GB2312"/>
          <w:b/>
          <w:sz w:val="28"/>
          <w:szCs w:val="28"/>
        </w:rPr>
        <w:t>1.4 付款方式和发票开具方式</w:t>
      </w:r>
      <w:bookmarkEnd w:id="16"/>
      <w:bookmarkEnd w:id="17"/>
      <w:bookmarkEnd w:id="18"/>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1.4付款方式：；</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1.4.2 发票开具方式：。</w:t>
      </w:r>
    </w:p>
    <w:p>
      <w:pPr>
        <w:spacing w:line="360" w:lineRule="auto"/>
        <w:ind w:firstLine="562" w:firstLineChars="200"/>
        <w:jc w:val="left"/>
        <w:outlineLvl w:val="0"/>
        <w:rPr>
          <w:rFonts w:ascii="仿宋_GB2312" w:hAnsi="仿宋_GB2312" w:eastAsia="仿宋_GB2312" w:cs="仿宋_GB2312"/>
          <w:b/>
          <w:sz w:val="28"/>
          <w:szCs w:val="28"/>
        </w:rPr>
      </w:pPr>
      <w:bookmarkStart w:id="19" w:name="_Toc19304"/>
      <w:bookmarkStart w:id="20" w:name="_Toc32071"/>
      <w:bookmarkStart w:id="21" w:name="_Toc2846"/>
      <w:r>
        <w:rPr>
          <w:rFonts w:hint="eastAsia" w:ascii="仿宋_GB2312" w:hAnsi="仿宋_GB2312" w:eastAsia="仿宋_GB2312" w:cs="仿宋_GB2312"/>
          <w:b/>
          <w:sz w:val="28"/>
          <w:szCs w:val="28"/>
        </w:rPr>
        <w:t>1.5 货物交付期限、地点和方式</w:t>
      </w:r>
      <w:bookmarkEnd w:id="19"/>
      <w:bookmarkEnd w:id="20"/>
      <w:bookmarkEnd w:id="21"/>
    </w:p>
    <w:p>
      <w:pPr>
        <w:spacing w:line="360" w:lineRule="auto"/>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1.5.1 交付期限：；</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1.5.2 交付地点：；</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1.5.3 交付方式：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562" w:firstLineChars="200"/>
        <w:outlineLvl w:val="0"/>
        <w:rPr>
          <w:rFonts w:ascii="仿宋_GB2312" w:hAnsi="仿宋_GB2312" w:eastAsia="仿宋_GB2312" w:cs="仿宋_GB2312"/>
          <w:b/>
          <w:sz w:val="28"/>
          <w:szCs w:val="28"/>
        </w:rPr>
      </w:pPr>
      <w:bookmarkStart w:id="22" w:name="_Toc27250"/>
      <w:bookmarkStart w:id="23" w:name="_Toc19554"/>
      <w:bookmarkStart w:id="24" w:name="_Toc21423"/>
      <w:r>
        <w:rPr>
          <w:rFonts w:hint="eastAsia" w:ascii="仿宋_GB2312" w:hAnsi="仿宋_GB2312" w:eastAsia="仿宋_GB2312" w:cs="仿宋_GB2312"/>
          <w:b/>
          <w:sz w:val="28"/>
          <w:szCs w:val="28"/>
        </w:rPr>
        <w:t>1.6 违约责任</w:t>
      </w:r>
      <w:bookmarkEnd w:id="22"/>
      <w:bookmarkEnd w:id="23"/>
      <w:bookmarkEnd w:id="24"/>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1.6.6 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562" w:firstLineChars="200"/>
        <w:outlineLvl w:val="0"/>
        <w:rPr>
          <w:rFonts w:ascii="仿宋_GB2312" w:hAnsi="仿宋_GB2312" w:eastAsia="仿宋_GB2312" w:cs="仿宋_GB2312"/>
          <w:b/>
          <w:sz w:val="28"/>
          <w:szCs w:val="28"/>
        </w:rPr>
      </w:pPr>
      <w:bookmarkStart w:id="25" w:name="_Toc15583"/>
      <w:bookmarkStart w:id="26" w:name="_Toc16021"/>
      <w:bookmarkStart w:id="27" w:name="_Toc28375"/>
      <w:r>
        <w:rPr>
          <w:rFonts w:hint="eastAsia" w:ascii="仿宋_GB2312" w:hAnsi="仿宋_GB2312" w:eastAsia="仿宋_GB2312" w:cs="仿宋_GB2312"/>
          <w:b/>
          <w:sz w:val="28"/>
          <w:szCs w:val="28"/>
        </w:rPr>
        <w:t>1.7 合同争议的解决</w:t>
      </w:r>
      <w:bookmarkEnd w:id="25"/>
      <w:bookmarkEnd w:id="26"/>
      <w:bookmarkEnd w:id="27"/>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本合同履行过程中发生的任何争议，双方当事人均可通过和解或者调解解决；不愿和解、调解或者和解、调解不成的，可以选择下列第种方式解决：</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1.7.1 将争议提交仲裁委员会依申请仲裁时其现行有效的仲裁规则裁决；</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1.7.2 向</w:t>
      </w:r>
      <w:r>
        <w:rPr>
          <w:rFonts w:hint="eastAsia" w:ascii="仿宋_GB2312" w:hAnsi="仿宋_GB2312" w:eastAsia="仿宋_GB2312" w:cs="仿宋_GB2312"/>
          <w:sz w:val="28"/>
          <w:szCs w:val="28"/>
          <w:u w:val="single"/>
        </w:rPr>
        <w:t xml:space="preserve">   （被告住所地、合同履行地、合同签订地、原告住所地、标的物所在地等与争议有实际联系的地点中选出的人民法院名称）    </w:t>
      </w:r>
      <w:r>
        <w:rPr>
          <w:rFonts w:hint="eastAsia" w:ascii="仿宋_GB2312" w:hAnsi="仿宋_GB2312" w:eastAsia="仿宋_GB2312" w:cs="仿宋_GB2312"/>
          <w:sz w:val="28"/>
          <w:szCs w:val="28"/>
        </w:rPr>
        <w:t>人民法院起诉。</w:t>
      </w:r>
    </w:p>
    <w:p>
      <w:pPr>
        <w:spacing w:line="560" w:lineRule="exact"/>
        <w:ind w:firstLine="562" w:firstLineChars="200"/>
        <w:outlineLvl w:val="0"/>
        <w:rPr>
          <w:rFonts w:ascii="仿宋_GB2312" w:hAnsi="仿宋_GB2312" w:eastAsia="仿宋_GB2312" w:cs="仿宋_GB2312"/>
          <w:b/>
          <w:sz w:val="28"/>
          <w:szCs w:val="28"/>
        </w:rPr>
      </w:pPr>
      <w:bookmarkStart w:id="28" w:name="_Toc7245"/>
      <w:bookmarkStart w:id="29" w:name="_Toc15322"/>
      <w:bookmarkStart w:id="30" w:name="_Toc11173"/>
      <w:r>
        <w:rPr>
          <w:rFonts w:hint="eastAsia" w:ascii="仿宋_GB2312" w:hAnsi="仿宋_GB2312" w:eastAsia="仿宋_GB2312" w:cs="仿宋_GB2312"/>
          <w:b/>
          <w:sz w:val="28"/>
          <w:szCs w:val="28"/>
        </w:rPr>
        <w:t>1.8 合同生效</w:t>
      </w:r>
      <w:bookmarkEnd w:id="28"/>
      <w:bookmarkEnd w:id="29"/>
      <w:bookmarkEnd w:id="30"/>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本合同自双方当事人盖章或者签字时生效。</w:t>
      </w:r>
    </w:p>
    <w:p>
      <w:pPr>
        <w:autoSpaceDE w:val="0"/>
        <w:autoSpaceDN w:val="0"/>
        <w:adjustRightInd w:val="0"/>
        <w:spacing w:line="560" w:lineRule="exact"/>
        <w:rPr>
          <w:rFonts w:ascii="仿宋_GB2312" w:hAnsi="仿宋_GB2312" w:eastAsia="仿宋_GB2312" w:cs="仿宋_GB2312"/>
          <w:sz w:val="28"/>
          <w:szCs w:val="28"/>
          <w:lang w:val="zh-CN"/>
        </w:rPr>
      </w:pP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甲方</w:t>
      </w:r>
      <w:r>
        <w:rPr>
          <w:rFonts w:hint="eastAsia" w:ascii="仿宋_GB2312" w:hAnsi="仿宋_GB2312" w:eastAsia="仿宋_GB2312" w:cs="仿宋_GB2312"/>
          <w:sz w:val="28"/>
          <w:szCs w:val="28"/>
          <w:lang w:val="zh-CN"/>
        </w:rPr>
        <w:t xml:space="preserve">：                             </w:t>
      </w:r>
      <w:r>
        <w:rPr>
          <w:rFonts w:hint="eastAsia" w:ascii="仿宋_GB2312" w:hAnsi="仿宋_GB2312" w:eastAsia="仿宋_GB2312" w:cs="仿宋_GB2312"/>
          <w:b/>
          <w:sz w:val="28"/>
          <w:szCs w:val="28"/>
          <w:lang w:val="zh-CN"/>
        </w:rPr>
        <w:t xml:space="preserve">      乙方</w:t>
      </w:r>
      <w:r>
        <w:rPr>
          <w:rFonts w:hint="eastAsia" w:ascii="仿宋_GB2312" w:hAnsi="仿宋_GB2312" w:eastAsia="仿宋_GB2312" w:cs="仿宋_GB2312"/>
          <w:sz w:val="28"/>
          <w:szCs w:val="28"/>
          <w:lang w:val="zh-CN"/>
        </w:rPr>
        <w:t>：</w:t>
      </w: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统一社会信用代码：                        统一社会信用代码或身份证号码：</w:t>
      </w:r>
    </w:p>
    <w:p>
      <w:pPr>
        <w:autoSpaceDE w:val="0"/>
        <w:autoSpaceDN w:val="0"/>
        <w:adjustRightInd w:val="0"/>
        <w:spacing w:line="560" w:lineRule="exact"/>
        <w:rPr>
          <w:rFonts w:ascii="仿宋_GB2312" w:hAnsi="仿宋_GB2312" w:eastAsia="仿宋_GB2312" w:cs="仿宋_GB2312"/>
          <w:sz w:val="28"/>
          <w:szCs w:val="28"/>
          <w:lang w:val="zh-CN"/>
        </w:rPr>
      </w:pP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住所：                                   住所：</w:t>
      </w: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法定代表人（负责人）                             法定代表人（负责人）</w:t>
      </w: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授权代表（签字）：                        授权代表（签字）: </w:t>
      </w: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联系人：                                 联系人：</w:t>
      </w: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约定送达地址：                           约定送达地址：</w:t>
      </w: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邮政编码：                               邮政编码：</w:t>
      </w: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电话:                                    电话: </w:t>
      </w:r>
    </w:p>
    <w:p>
      <w:pPr>
        <w:autoSpaceDE w:val="0"/>
        <w:autoSpaceDN w:val="0"/>
        <w:adjustRightIn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传真:                                    传真:</w:t>
      </w:r>
    </w:p>
    <w:p>
      <w:pPr>
        <w:autoSpaceDE w:val="0"/>
        <w:autoSpaceDN w:val="0"/>
        <w:adjustRightIn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电子邮箱：                               电子邮箱：</w:t>
      </w:r>
    </w:p>
    <w:p>
      <w:pPr>
        <w:autoSpaceDE w:val="0"/>
        <w:autoSpaceDN w:val="0"/>
        <w:adjustRightIn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开户银行： </w:t>
      </w:r>
    </w:p>
    <w:p>
      <w:pPr>
        <w:autoSpaceDE w:val="0"/>
        <w:autoSpaceDN w:val="0"/>
        <w:adjustRightIn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开户名称：                               开户名称： </w:t>
      </w:r>
    </w:p>
    <w:p>
      <w:pPr>
        <w:autoSpaceDE w:val="0"/>
        <w:autoSpaceDN w:val="0"/>
        <w:adjustRightIn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开户账号：开户账号：</w:t>
      </w:r>
    </w:p>
    <w:p>
      <w:pPr>
        <w:spacing w:line="560" w:lineRule="exact"/>
        <w:rPr>
          <w:rFonts w:ascii="仿宋_GB2312" w:hAnsi="仿宋_GB2312" w:eastAsia="仿宋_GB2312" w:cs="仿宋_GB2312"/>
          <w:b/>
          <w:sz w:val="28"/>
          <w:szCs w:val="28"/>
        </w:rPr>
      </w:pPr>
      <w:bookmarkStart w:id="31" w:name="_Toc331685783"/>
    </w:p>
    <w:p>
      <w:pPr>
        <w:spacing w:line="560" w:lineRule="exact"/>
        <w:rPr>
          <w:rFonts w:ascii="仿宋_GB2312" w:hAnsi="仿宋_GB2312" w:eastAsia="仿宋_GB2312" w:cs="仿宋_GB2312"/>
          <w:b/>
          <w:sz w:val="28"/>
          <w:szCs w:val="28"/>
        </w:rPr>
      </w:pPr>
    </w:p>
    <w:p>
      <w:pPr>
        <w:spacing w:line="560" w:lineRule="exact"/>
        <w:rPr>
          <w:rFonts w:ascii="仿宋_GB2312" w:hAnsi="仿宋_GB2312" w:eastAsia="仿宋_GB2312" w:cs="仿宋_GB2312"/>
          <w:b/>
          <w:sz w:val="28"/>
          <w:szCs w:val="28"/>
        </w:rPr>
      </w:pPr>
    </w:p>
    <w:p>
      <w:pPr>
        <w:spacing w:line="560" w:lineRule="exact"/>
        <w:rPr>
          <w:rFonts w:ascii="仿宋_GB2312" w:hAnsi="仿宋_GB2312" w:eastAsia="仿宋_GB2312" w:cs="仿宋_GB2312"/>
          <w:b/>
          <w:sz w:val="28"/>
          <w:szCs w:val="28"/>
        </w:rPr>
      </w:pPr>
    </w:p>
    <w:p>
      <w:pPr>
        <w:spacing w:line="560" w:lineRule="exact"/>
        <w:rPr>
          <w:rFonts w:ascii="仿宋_GB2312" w:hAnsi="仿宋_GB2312" w:eastAsia="仿宋_GB2312" w:cs="仿宋_GB2312"/>
          <w:b/>
          <w:sz w:val="28"/>
          <w:szCs w:val="28"/>
        </w:rPr>
      </w:pPr>
    </w:p>
    <w:p>
      <w:pPr>
        <w:autoSpaceDE w:val="0"/>
        <w:autoSpaceDN w:val="0"/>
        <w:adjustRightInd w:val="0"/>
        <w:spacing w:line="560" w:lineRule="exact"/>
        <w:ind w:firstLine="2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合同一般条款</w:t>
      </w:r>
      <w:bookmarkEnd w:id="31"/>
    </w:p>
    <w:p>
      <w:pPr>
        <w:spacing w:line="560" w:lineRule="exact"/>
        <w:ind w:firstLine="562" w:firstLineChars="200"/>
        <w:outlineLvl w:val="0"/>
        <w:rPr>
          <w:rFonts w:ascii="仿宋_GB2312" w:hAnsi="仿宋_GB2312" w:eastAsia="仿宋_GB2312" w:cs="仿宋_GB2312"/>
          <w:b/>
          <w:sz w:val="28"/>
          <w:szCs w:val="28"/>
        </w:rPr>
      </w:pPr>
      <w:bookmarkStart w:id="32" w:name="_Ref467378404"/>
      <w:bookmarkStart w:id="33" w:name="_Toc487900349"/>
      <w:bookmarkStart w:id="34" w:name="_Toc259093669"/>
      <w:bookmarkStart w:id="35" w:name="_Ref467378499"/>
      <w:bookmarkStart w:id="36" w:name="_Toc279701240"/>
      <w:bookmarkStart w:id="37" w:name="_Ref467379225"/>
      <w:bookmarkStart w:id="38" w:name="_Ref467379205"/>
      <w:bookmarkStart w:id="39" w:name="_Ref467379101"/>
      <w:bookmarkStart w:id="40" w:name="_Ref467379195"/>
      <w:bookmarkStart w:id="41" w:name="_Toc28763"/>
      <w:bookmarkStart w:id="42" w:name="_Ref467379094"/>
      <w:bookmarkStart w:id="43" w:name="_Ref467379214"/>
      <w:bookmarkStart w:id="44" w:name="_Ref467378463"/>
      <w:bookmarkStart w:id="45" w:name="_Ref467379109"/>
      <w:bookmarkStart w:id="46" w:name="_Toc16917"/>
      <w:bookmarkStart w:id="47" w:name="_Toc19614"/>
      <w:r>
        <w:rPr>
          <w:rFonts w:hint="eastAsia" w:ascii="仿宋_GB2312" w:hAnsi="仿宋_GB2312" w:eastAsia="仿宋_GB2312" w:cs="仿宋_GB2312"/>
          <w:b/>
          <w:sz w:val="28"/>
          <w:szCs w:val="28"/>
        </w:rPr>
        <w:t>2.1 定义</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本合同中的下列词语应按以下内容进行解释：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2.1.1 “合同”系指采购人和成交供应商签订的载明双方当事人所达成的协议，并包括所有的附件、附录和构成合同的其他文件。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2.1.2 “合同价”系指根据合同约定，成交供应商在完全履行合同义务后，采购人应支付给成交供应商的价格。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2.1.3 “货物”系指成交供应商根据合同约定应向采购人交付的一切各种形态和种类的物品，包括原材料、燃料、设备、机械、仪表、备件、计算机软件、产品等，并包括工具、手册等其他相关资料。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560" w:firstLineChars="200"/>
        <w:rPr>
          <w:rFonts w:ascii="仿宋_GB2312" w:hAnsi="仿宋_GB2312" w:eastAsia="仿宋_GB2312" w:cs="仿宋_GB2312"/>
          <w:sz w:val="28"/>
          <w:szCs w:val="28"/>
        </w:rPr>
      </w:pPr>
      <w:bookmarkStart w:id="48" w:name="_Ref467378840"/>
      <w:r>
        <w:rPr>
          <w:rFonts w:hint="eastAsia" w:ascii="仿宋_GB2312" w:hAnsi="仿宋_GB2312" w:eastAsia="仿宋_GB2312" w:cs="仿宋_GB2312"/>
          <w:sz w:val="28"/>
          <w:szCs w:val="28"/>
        </w:rPr>
        <w:t>2.1.4 “甲方”系指与成交供应商签署合同的采购人</w:t>
      </w:r>
      <w:bookmarkEnd w:id="48"/>
      <w:r>
        <w:rPr>
          <w:rFonts w:hint="eastAsia" w:ascii="仿宋_GB2312" w:hAnsi="仿宋_GB2312" w:eastAsia="仿宋_GB2312" w:cs="仿宋_GB2312"/>
          <w:sz w:val="28"/>
          <w:szCs w:val="28"/>
        </w:rPr>
        <w:t>；采购人委托采购代理机构代表其与乙方签订合同的，采购人的授权委托书作为合同附件。</w:t>
      </w:r>
    </w:p>
    <w:p>
      <w:pPr>
        <w:spacing w:line="560" w:lineRule="exact"/>
        <w:ind w:firstLine="560" w:firstLineChars="200"/>
        <w:rPr>
          <w:rFonts w:ascii="仿宋_GB2312" w:hAnsi="仿宋_GB2312" w:eastAsia="仿宋_GB2312" w:cs="仿宋_GB2312"/>
          <w:sz w:val="28"/>
          <w:szCs w:val="28"/>
        </w:rPr>
      </w:pPr>
      <w:bookmarkStart w:id="49" w:name="_Ref467379400"/>
      <w:r>
        <w:rPr>
          <w:rFonts w:hint="eastAsia" w:ascii="仿宋_GB2312" w:hAnsi="仿宋_GB2312" w:eastAsia="仿宋_GB2312" w:cs="仿宋_GB2312"/>
          <w:sz w:val="28"/>
          <w:szCs w:val="28"/>
        </w:rPr>
        <w:t>2.1.5 “乙方”系指根据合同约定交付货物的</w:t>
      </w:r>
      <w:bookmarkEnd w:id="49"/>
      <w:r>
        <w:rPr>
          <w:rFonts w:hint="eastAsia" w:ascii="仿宋_GB2312" w:hAnsi="仿宋_GB2312" w:eastAsia="仿宋_GB2312" w:cs="仿宋_GB2312"/>
          <w:sz w:val="28"/>
          <w:szCs w:val="28"/>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560" w:firstLineChars="200"/>
        <w:rPr>
          <w:rFonts w:ascii="仿宋_GB2312" w:hAnsi="仿宋_GB2312" w:eastAsia="仿宋_GB2312" w:cs="仿宋_GB2312"/>
          <w:sz w:val="28"/>
          <w:szCs w:val="28"/>
        </w:rPr>
      </w:pPr>
      <w:bookmarkStart w:id="50" w:name="_Ref467379436"/>
      <w:r>
        <w:rPr>
          <w:rFonts w:hint="eastAsia" w:ascii="仿宋_GB2312" w:hAnsi="仿宋_GB2312" w:eastAsia="仿宋_GB2312" w:cs="仿宋_GB2312"/>
          <w:sz w:val="28"/>
          <w:szCs w:val="28"/>
        </w:rPr>
        <w:t>2.1.6 “现场”系指合同约定货物将要运至或者安装的地点。</w:t>
      </w:r>
      <w:bookmarkEnd w:id="50"/>
    </w:p>
    <w:p>
      <w:pPr>
        <w:spacing w:line="560" w:lineRule="exact"/>
        <w:ind w:firstLine="562" w:firstLineChars="200"/>
        <w:outlineLvl w:val="0"/>
        <w:rPr>
          <w:rFonts w:ascii="仿宋_GB2312" w:hAnsi="仿宋_GB2312" w:eastAsia="仿宋_GB2312" w:cs="仿宋_GB2312"/>
          <w:b/>
          <w:sz w:val="28"/>
          <w:szCs w:val="28"/>
        </w:rPr>
      </w:pPr>
      <w:bookmarkStart w:id="51" w:name="_Toc487900350"/>
      <w:bookmarkStart w:id="52" w:name="_Toc259093670"/>
      <w:bookmarkStart w:id="53" w:name="_Toc27635"/>
      <w:bookmarkStart w:id="54" w:name="_Toc13336"/>
      <w:bookmarkStart w:id="55" w:name="_Toc279701241"/>
      <w:bookmarkStart w:id="56" w:name="_Toc32504"/>
      <w:r>
        <w:rPr>
          <w:rFonts w:hint="eastAsia" w:ascii="仿宋_GB2312" w:hAnsi="仿宋_GB2312" w:eastAsia="仿宋_GB2312" w:cs="仿宋_GB2312"/>
          <w:b/>
          <w:sz w:val="28"/>
          <w:szCs w:val="28"/>
        </w:rPr>
        <w:t>2.2 技术规范</w:t>
      </w:r>
      <w:bookmarkEnd w:id="51"/>
      <w:bookmarkEnd w:id="52"/>
      <w:bookmarkEnd w:id="53"/>
      <w:bookmarkEnd w:id="54"/>
      <w:bookmarkEnd w:id="55"/>
      <w:bookmarkEnd w:id="56"/>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562" w:firstLineChars="200"/>
        <w:outlineLvl w:val="0"/>
        <w:rPr>
          <w:rFonts w:ascii="仿宋_GB2312" w:hAnsi="仿宋_GB2312" w:eastAsia="仿宋_GB2312" w:cs="仿宋_GB2312"/>
          <w:b/>
          <w:sz w:val="28"/>
          <w:szCs w:val="28"/>
        </w:rPr>
      </w:pPr>
      <w:bookmarkStart w:id="57" w:name="_Toc27853"/>
      <w:bookmarkStart w:id="58" w:name="_Toc9829"/>
      <w:bookmarkStart w:id="59" w:name="_Toc279701242"/>
      <w:bookmarkStart w:id="60" w:name="_Toc487900351"/>
      <w:bookmarkStart w:id="61" w:name="_Toc259093671"/>
      <w:bookmarkStart w:id="62" w:name="_Toc31634"/>
      <w:r>
        <w:rPr>
          <w:rFonts w:hint="eastAsia" w:ascii="仿宋_GB2312" w:hAnsi="仿宋_GB2312" w:eastAsia="仿宋_GB2312" w:cs="仿宋_GB2312"/>
          <w:b/>
          <w:sz w:val="28"/>
          <w:szCs w:val="28"/>
        </w:rPr>
        <w:t>2.3 知识产权</w:t>
      </w:r>
      <w:bookmarkEnd w:id="57"/>
      <w:bookmarkEnd w:id="58"/>
      <w:bookmarkEnd w:id="59"/>
      <w:bookmarkEnd w:id="60"/>
      <w:bookmarkEnd w:id="61"/>
      <w:bookmarkEnd w:id="62"/>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2.3.2具有知识产权的计算机软件等货物的知识产权归属，详见</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w:t>
      </w:r>
    </w:p>
    <w:p>
      <w:pPr>
        <w:spacing w:line="560" w:lineRule="exact"/>
        <w:ind w:firstLine="562" w:firstLineChars="200"/>
        <w:outlineLvl w:val="0"/>
        <w:rPr>
          <w:rFonts w:ascii="仿宋_GB2312" w:hAnsi="仿宋_GB2312" w:eastAsia="仿宋_GB2312" w:cs="仿宋_GB2312"/>
          <w:b/>
          <w:sz w:val="28"/>
          <w:szCs w:val="28"/>
        </w:rPr>
      </w:pPr>
      <w:bookmarkStart w:id="63" w:name="_Toc29149"/>
      <w:bookmarkStart w:id="64" w:name="_Toc11932"/>
      <w:bookmarkStart w:id="65" w:name="_Toc4194"/>
      <w:r>
        <w:rPr>
          <w:rFonts w:hint="eastAsia" w:ascii="仿宋_GB2312" w:hAnsi="仿宋_GB2312" w:eastAsia="仿宋_GB2312" w:cs="仿宋_GB2312"/>
          <w:b/>
          <w:sz w:val="28"/>
          <w:szCs w:val="28"/>
        </w:rPr>
        <w:t>2.4 包装和装运</w:t>
      </w:r>
      <w:bookmarkEnd w:id="63"/>
      <w:bookmarkEnd w:id="64"/>
      <w:bookmarkEnd w:id="65"/>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2.4.1除</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2.4.2 装运货物的要求和通知，详见</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w:t>
      </w:r>
    </w:p>
    <w:p>
      <w:pPr>
        <w:spacing w:line="560" w:lineRule="exact"/>
        <w:ind w:firstLine="562" w:firstLineChars="200"/>
        <w:outlineLvl w:val="0"/>
        <w:rPr>
          <w:rFonts w:ascii="仿宋_GB2312" w:hAnsi="仿宋_GB2312" w:eastAsia="仿宋_GB2312" w:cs="仿宋_GB2312"/>
          <w:b/>
          <w:sz w:val="28"/>
          <w:szCs w:val="28"/>
        </w:rPr>
      </w:pPr>
      <w:bookmarkStart w:id="66" w:name="_Ref467378541"/>
      <w:bookmarkStart w:id="67" w:name="_Toc279701245"/>
      <w:bookmarkStart w:id="68" w:name="_Ref467379527"/>
      <w:bookmarkStart w:id="69" w:name="_Ref467379536"/>
      <w:bookmarkStart w:id="70" w:name="_Ref467379542"/>
      <w:bookmarkStart w:id="71" w:name="_Toc259093674"/>
      <w:bookmarkStart w:id="72" w:name="_Ref467378591"/>
      <w:bookmarkStart w:id="73" w:name="_Toc487900354"/>
      <w:bookmarkStart w:id="74" w:name="_Toc19074"/>
      <w:bookmarkStart w:id="75" w:name="_Toc26182"/>
      <w:bookmarkStart w:id="76" w:name="_Toc30272"/>
      <w:r>
        <w:rPr>
          <w:rFonts w:hint="eastAsia" w:ascii="仿宋_GB2312" w:hAnsi="仿宋_GB2312" w:eastAsia="仿宋_GB2312" w:cs="仿宋_GB2312"/>
          <w:b/>
          <w:sz w:val="28"/>
          <w:szCs w:val="28"/>
        </w:rPr>
        <w:t>2.</w:t>
      </w:r>
      <w:bookmarkEnd w:id="66"/>
      <w:bookmarkEnd w:id="67"/>
      <w:bookmarkEnd w:id="68"/>
      <w:bookmarkEnd w:id="69"/>
      <w:bookmarkEnd w:id="70"/>
      <w:bookmarkEnd w:id="71"/>
      <w:bookmarkEnd w:id="72"/>
      <w:bookmarkEnd w:id="73"/>
      <w:r>
        <w:rPr>
          <w:rFonts w:hint="eastAsia" w:ascii="仿宋_GB2312" w:hAnsi="仿宋_GB2312" w:eastAsia="仿宋_GB2312" w:cs="仿宋_GB2312"/>
          <w:b/>
          <w:sz w:val="28"/>
          <w:szCs w:val="28"/>
        </w:rPr>
        <w:t>5 履约检查和问题反馈</w:t>
      </w:r>
      <w:bookmarkEnd w:id="74"/>
      <w:bookmarkEnd w:id="75"/>
      <w:bookmarkEnd w:id="76"/>
    </w:p>
    <w:p>
      <w:pPr>
        <w:spacing w:line="560" w:lineRule="exact"/>
        <w:ind w:firstLine="560" w:firstLineChars="200"/>
        <w:rPr>
          <w:rFonts w:ascii="仿宋_GB2312" w:hAnsi="仿宋_GB2312" w:eastAsia="仿宋_GB2312" w:cs="仿宋_GB2312"/>
          <w:sz w:val="28"/>
          <w:szCs w:val="28"/>
        </w:rPr>
      </w:pPr>
      <w:bookmarkStart w:id="77" w:name="_Ref467379657"/>
      <w:r>
        <w:rPr>
          <w:rFonts w:hint="eastAsia" w:ascii="仿宋_GB2312" w:hAnsi="仿宋_GB2312" w:eastAsia="仿宋_GB2312" w:cs="仿宋_GB2312"/>
          <w:sz w:val="28"/>
          <w:szCs w:val="28"/>
        </w:rPr>
        <w:t>2.5.1</w:t>
      </w:r>
      <w:bookmarkEnd w:id="77"/>
      <w:bookmarkStart w:id="78" w:name="_Toc186431854"/>
      <w:bookmarkStart w:id="79" w:name="_Toc487900357"/>
      <w:bookmarkStart w:id="80" w:name="_Ref467379807"/>
      <w:bookmarkStart w:id="81" w:name="_Ref467379793"/>
      <w:bookmarkStart w:id="82" w:name="_Toc279701247"/>
      <w:bookmarkStart w:id="83" w:name="_Toc259093676"/>
      <w:r>
        <w:rPr>
          <w:rFonts w:hint="eastAsia" w:ascii="仿宋_GB2312" w:hAnsi="仿宋_GB2312" w:eastAsia="仿宋_GB2312" w:cs="仿宋_GB2312"/>
          <w:sz w:val="28"/>
          <w:szCs w:val="28"/>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2.5.2 合同履行期间，甲方有权将履行过程中出现的问题反馈给乙方，双方当事人应以书面形式约定需要完善和改进的内容</w:t>
      </w:r>
      <w:bookmarkEnd w:id="78"/>
      <w:bookmarkStart w:id="84" w:name="_Toc186431855"/>
      <w:r>
        <w:rPr>
          <w:rFonts w:hint="eastAsia" w:ascii="仿宋_GB2312" w:hAnsi="仿宋_GB2312" w:eastAsia="仿宋_GB2312" w:cs="仿宋_GB2312"/>
          <w:sz w:val="28"/>
          <w:szCs w:val="28"/>
        </w:rPr>
        <w:t>。</w:t>
      </w:r>
    </w:p>
    <w:bookmarkEnd w:id="84"/>
    <w:p>
      <w:pPr>
        <w:spacing w:line="560" w:lineRule="exact"/>
        <w:ind w:firstLine="562" w:firstLineChars="200"/>
        <w:outlineLvl w:val="0"/>
        <w:rPr>
          <w:rFonts w:ascii="仿宋_GB2312" w:hAnsi="仿宋_GB2312" w:eastAsia="仿宋_GB2312" w:cs="仿宋_GB2312"/>
          <w:b/>
          <w:sz w:val="28"/>
          <w:szCs w:val="28"/>
        </w:rPr>
      </w:pPr>
      <w:bookmarkStart w:id="85" w:name="_Toc28451"/>
      <w:bookmarkStart w:id="86" w:name="_Toc7836"/>
      <w:bookmarkStart w:id="87" w:name="_Toc19219"/>
      <w:r>
        <w:rPr>
          <w:rFonts w:hint="eastAsia" w:ascii="仿宋_GB2312" w:hAnsi="仿宋_GB2312" w:eastAsia="仿宋_GB2312" w:cs="仿宋_GB2312"/>
          <w:b/>
          <w:sz w:val="28"/>
          <w:szCs w:val="28"/>
        </w:rPr>
        <w:t>2.6 结算方式和付款条件</w:t>
      </w:r>
      <w:bookmarkEnd w:id="79"/>
      <w:bookmarkEnd w:id="80"/>
      <w:bookmarkEnd w:id="81"/>
      <w:bookmarkEnd w:id="82"/>
      <w:bookmarkEnd w:id="83"/>
      <w:bookmarkEnd w:id="85"/>
      <w:bookmarkEnd w:id="86"/>
      <w:bookmarkEnd w:id="87"/>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详见</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w:t>
      </w:r>
    </w:p>
    <w:p>
      <w:pPr>
        <w:spacing w:line="560" w:lineRule="exact"/>
        <w:ind w:firstLine="562" w:firstLineChars="200"/>
        <w:outlineLvl w:val="0"/>
        <w:rPr>
          <w:rFonts w:ascii="仿宋_GB2312" w:hAnsi="仿宋_GB2312" w:eastAsia="仿宋_GB2312" w:cs="仿宋_GB2312"/>
          <w:b/>
          <w:sz w:val="28"/>
          <w:szCs w:val="28"/>
        </w:rPr>
      </w:pPr>
      <w:bookmarkStart w:id="88" w:name="_Ref467379852"/>
      <w:bookmarkStart w:id="89" w:name="_Ref467379923"/>
      <w:bookmarkStart w:id="90" w:name="_Toc279701248"/>
      <w:bookmarkStart w:id="91" w:name="_Toc259093677"/>
      <w:bookmarkStart w:id="92" w:name="_Toc487900358"/>
      <w:bookmarkStart w:id="93" w:name="_Ref467379863"/>
      <w:bookmarkStart w:id="94" w:name="_Toc16110"/>
      <w:bookmarkStart w:id="95" w:name="_Toc3225"/>
      <w:bookmarkStart w:id="96" w:name="_Toc774"/>
      <w:r>
        <w:rPr>
          <w:rFonts w:hint="eastAsia" w:ascii="仿宋_GB2312" w:hAnsi="仿宋_GB2312" w:eastAsia="仿宋_GB2312" w:cs="仿宋_GB2312"/>
          <w:b/>
          <w:sz w:val="28"/>
          <w:szCs w:val="28"/>
        </w:rPr>
        <w:t>2.7 技术资料</w:t>
      </w:r>
      <w:bookmarkEnd w:id="88"/>
      <w:bookmarkEnd w:id="89"/>
      <w:bookmarkEnd w:id="90"/>
      <w:bookmarkEnd w:id="91"/>
      <w:bookmarkEnd w:id="92"/>
      <w:bookmarkEnd w:id="93"/>
      <w:r>
        <w:rPr>
          <w:rFonts w:hint="eastAsia" w:ascii="仿宋_GB2312" w:hAnsi="仿宋_GB2312" w:eastAsia="仿宋_GB2312" w:cs="仿宋_GB2312"/>
          <w:b/>
          <w:sz w:val="28"/>
          <w:szCs w:val="28"/>
        </w:rPr>
        <w:t>和保密义务</w:t>
      </w:r>
      <w:bookmarkEnd w:id="94"/>
      <w:bookmarkEnd w:id="95"/>
      <w:bookmarkEnd w:id="96"/>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 乙方有权依据合同约定和项目需要，向甲方了解有关情况，调阅有关资料等，甲方应予积极配合；</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 乙方有义务妥善保管和保护由甲方提供的前款信息和资料等；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562" w:firstLineChars="200"/>
        <w:outlineLvl w:val="0"/>
        <w:rPr>
          <w:rFonts w:ascii="仿宋_GB2312" w:hAnsi="仿宋_GB2312" w:eastAsia="仿宋_GB2312" w:cs="仿宋_GB2312"/>
          <w:b/>
          <w:sz w:val="28"/>
          <w:szCs w:val="28"/>
        </w:rPr>
      </w:pPr>
      <w:bookmarkStart w:id="97" w:name="_Toc7860"/>
      <w:r>
        <w:rPr>
          <w:rFonts w:hint="eastAsia" w:ascii="仿宋_GB2312" w:hAnsi="仿宋_GB2312" w:eastAsia="仿宋_GB2312" w:cs="仿宋_GB2312"/>
          <w:b/>
          <w:sz w:val="28"/>
          <w:szCs w:val="28"/>
        </w:rPr>
        <w:t>2.8 质量保证</w:t>
      </w:r>
      <w:bookmarkEnd w:id="97"/>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2.8.1 乙方应建立和完善履行合同的内部质量保证体系，并提供相关内部规章制度给甲方，以便甲方进行监督检查；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2.8.2 乙方应保证履行合同的人员数量和素质、软件和硬件设备的配置、场地、环境和设施等满足全面履行合同的要求，并应接受甲方的监督检查。</w:t>
      </w:r>
    </w:p>
    <w:p>
      <w:pPr>
        <w:spacing w:line="560" w:lineRule="exact"/>
        <w:ind w:firstLine="562" w:firstLineChars="200"/>
        <w:outlineLvl w:val="0"/>
        <w:rPr>
          <w:rFonts w:ascii="仿宋_GB2312" w:hAnsi="仿宋_GB2312" w:eastAsia="仿宋_GB2312" w:cs="仿宋_GB2312"/>
          <w:b/>
          <w:sz w:val="28"/>
          <w:szCs w:val="28"/>
        </w:rPr>
      </w:pPr>
      <w:bookmarkStart w:id="98" w:name="_Toc17244"/>
      <w:bookmarkStart w:id="99" w:name="_Toc259093681"/>
      <w:bookmarkStart w:id="100" w:name="_Toc487900362"/>
      <w:bookmarkStart w:id="101" w:name="_Toc279701252"/>
      <w:r>
        <w:rPr>
          <w:rFonts w:hint="eastAsia" w:ascii="仿宋_GB2312" w:hAnsi="仿宋_GB2312" w:eastAsia="仿宋_GB2312" w:cs="仿宋_GB2312"/>
          <w:b/>
          <w:sz w:val="28"/>
          <w:szCs w:val="28"/>
        </w:rPr>
        <w:t>2.9 货物的风险负担</w:t>
      </w:r>
      <w:bookmarkEnd w:id="98"/>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货物或者在途货物或者交付给第一承运人后的货物毁损、灭失的风险负担详见</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w:t>
      </w:r>
    </w:p>
    <w:p>
      <w:pPr>
        <w:spacing w:line="560" w:lineRule="exact"/>
        <w:ind w:firstLine="562" w:firstLineChars="200"/>
        <w:outlineLvl w:val="0"/>
        <w:rPr>
          <w:rFonts w:ascii="仿宋_GB2312" w:hAnsi="仿宋_GB2312" w:eastAsia="仿宋_GB2312" w:cs="仿宋_GB2312"/>
          <w:b/>
          <w:sz w:val="28"/>
          <w:szCs w:val="28"/>
        </w:rPr>
      </w:pPr>
      <w:bookmarkStart w:id="102" w:name="_Toc14055"/>
      <w:r>
        <w:rPr>
          <w:rFonts w:hint="eastAsia" w:ascii="仿宋_GB2312" w:hAnsi="仿宋_GB2312" w:eastAsia="仿宋_GB2312" w:cs="仿宋_GB2312"/>
          <w:b/>
          <w:sz w:val="28"/>
          <w:szCs w:val="28"/>
        </w:rPr>
        <w:t>2.10 延迟交货</w:t>
      </w:r>
      <w:bookmarkEnd w:id="99"/>
      <w:bookmarkEnd w:id="100"/>
      <w:bookmarkEnd w:id="101"/>
      <w:bookmarkEnd w:id="102"/>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562" w:firstLineChars="200"/>
        <w:outlineLvl w:val="0"/>
        <w:rPr>
          <w:rFonts w:ascii="仿宋_GB2312" w:hAnsi="仿宋_GB2312" w:eastAsia="仿宋_GB2312" w:cs="仿宋_GB2312"/>
          <w:b/>
          <w:sz w:val="28"/>
          <w:szCs w:val="28"/>
        </w:rPr>
      </w:pPr>
      <w:bookmarkStart w:id="103" w:name="_Toc7502"/>
      <w:bookmarkStart w:id="104" w:name="_Toc279701254"/>
      <w:bookmarkStart w:id="105" w:name="_Toc259093683"/>
      <w:bookmarkStart w:id="106" w:name="_Ref467378121"/>
      <w:bookmarkStart w:id="107" w:name="_Toc487900364"/>
      <w:r>
        <w:rPr>
          <w:rFonts w:hint="eastAsia" w:ascii="仿宋_GB2312" w:hAnsi="仿宋_GB2312" w:eastAsia="仿宋_GB2312" w:cs="仿宋_GB2312"/>
          <w:b/>
          <w:sz w:val="28"/>
          <w:szCs w:val="28"/>
        </w:rPr>
        <w:t>2.11 合同变更</w:t>
      </w:r>
      <w:bookmarkEnd w:id="103"/>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2.11.2 合同继续履行将损害国家利益和社会公共利益的，双方当事人应当以书面形式变更合同。有过错的一方应当承担赔偿责任，双方当事人都有过错的，各自承担相应的责任。</w:t>
      </w:r>
      <w:bookmarkStart w:id="108" w:name="_Toc259093688"/>
      <w:bookmarkStart w:id="109" w:name="_Toc487900369"/>
      <w:bookmarkStart w:id="110" w:name="_Toc279701259"/>
    </w:p>
    <w:p>
      <w:pPr>
        <w:spacing w:line="560" w:lineRule="exact"/>
        <w:ind w:firstLine="562" w:firstLineChars="200"/>
        <w:outlineLvl w:val="0"/>
        <w:rPr>
          <w:rFonts w:ascii="仿宋_GB2312" w:hAnsi="仿宋_GB2312" w:eastAsia="仿宋_GB2312" w:cs="仿宋_GB2312"/>
          <w:b/>
          <w:sz w:val="28"/>
          <w:szCs w:val="28"/>
        </w:rPr>
      </w:pPr>
      <w:bookmarkStart w:id="111" w:name="_Toc10366"/>
      <w:bookmarkStart w:id="112" w:name="_Toc22955"/>
      <w:bookmarkStart w:id="113" w:name="_Toc15237"/>
      <w:r>
        <w:rPr>
          <w:rFonts w:hint="eastAsia" w:ascii="仿宋_GB2312" w:hAnsi="仿宋_GB2312" w:eastAsia="仿宋_GB2312" w:cs="仿宋_GB2312"/>
          <w:b/>
          <w:sz w:val="28"/>
          <w:szCs w:val="28"/>
        </w:rPr>
        <w:t>2.12 合同转让</w:t>
      </w:r>
      <w:bookmarkEnd w:id="108"/>
      <w:bookmarkEnd w:id="109"/>
      <w:bookmarkEnd w:id="110"/>
      <w:r>
        <w:rPr>
          <w:rFonts w:hint="eastAsia" w:ascii="仿宋_GB2312" w:hAnsi="仿宋_GB2312" w:eastAsia="仿宋_GB2312" w:cs="仿宋_GB2312"/>
          <w:b/>
          <w:sz w:val="28"/>
          <w:szCs w:val="28"/>
        </w:rPr>
        <w:t>和分包</w:t>
      </w:r>
      <w:bookmarkEnd w:id="111"/>
      <w:bookmarkEnd w:id="112"/>
      <w:bookmarkEnd w:id="113"/>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562" w:firstLineChars="200"/>
        <w:outlineLvl w:val="0"/>
        <w:rPr>
          <w:rFonts w:ascii="仿宋_GB2312" w:hAnsi="仿宋_GB2312" w:eastAsia="仿宋_GB2312" w:cs="仿宋_GB2312"/>
          <w:b/>
          <w:sz w:val="28"/>
          <w:szCs w:val="28"/>
        </w:rPr>
      </w:pPr>
      <w:bookmarkStart w:id="114" w:name="_Toc14066"/>
      <w:bookmarkStart w:id="115" w:name="_Toc16508"/>
      <w:bookmarkStart w:id="116" w:name="_Toc13566"/>
      <w:r>
        <w:rPr>
          <w:rFonts w:hint="eastAsia" w:ascii="仿宋_GB2312" w:hAnsi="仿宋_GB2312" w:eastAsia="仿宋_GB2312" w:cs="仿宋_GB2312"/>
          <w:b/>
          <w:sz w:val="28"/>
          <w:szCs w:val="28"/>
        </w:rPr>
        <w:t>2.13 不可抗力</w:t>
      </w:r>
      <w:bookmarkEnd w:id="114"/>
      <w:bookmarkEnd w:id="115"/>
      <w:bookmarkEnd w:id="116"/>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2.13.1如果任何一方遭遇法律规定的不可抗力，致使合同履行受阻时，履行合同的期限应予延长，延长的期限应相当于不可抗力所影响的时间；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2.13.2 因不可抗力致使不能实现合同目的的，当事人可以解除合同；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2.13.3 因不可抗力致使合同有变更必要的，双方当事人应在</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约定时间内以书面形式变更合同；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2.13.4受不可抗力影响的一方在不可抗力发生后，应在</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约定时间内以书面形式通知对方当事人，并在</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约定时间内，将有关部门出具的证明文件送达对方当事人。</w:t>
      </w:r>
    </w:p>
    <w:p>
      <w:pPr>
        <w:spacing w:line="560" w:lineRule="exact"/>
        <w:ind w:firstLine="562" w:firstLineChars="200"/>
        <w:outlineLvl w:val="0"/>
        <w:rPr>
          <w:rFonts w:ascii="仿宋_GB2312" w:hAnsi="仿宋_GB2312" w:eastAsia="仿宋_GB2312" w:cs="仿宋_GB2312"/>
          <w:b/>
          <w:sz w:val="28"/>
          <w:szCs w:val="28"/>
        </w:rPr>
      </w:pPr>
      <w:bookmarkStart w:id="117" w:name="_Toc6969"/>
      <w:bookmarkStart w:id="118" w:name="_Toc30676"/>
      <w:bookmarkStart w:id="119" w:name="_Toc279701255"/>
      <w:bookmarkStart w:id="120" w:name="_Toc689"/>
      <w:bookmarkStart w:id="121" w:name="_Toc487900365"/>
      <w:bookmarkStart w:id="122" w:name="_Toc259093684"/>
      <w:r>
        <w:rPr>
          <w:rFonts w:hint="eastAsia" w:ascii="仿宋_GB2312" w:hAnsi="仿宋_GB2312" w:eastAsia="仿宋_GB2312" w:cs="仿宋_GB2312"/>
          <w:b/>
          <w:sz w:val="28"/>
          <w:szCs w:val="28"/>
        </w:rPr>
        <w:t>2.14 税费</w:t>
      </w:r>
      <w:bookmarkEnd w:id="117"/>
      <w:bookmarkEnd w:id="118"/>
      <w:bookmarkEnd w:id="119"/>
      <w:bookmarkEnd w:id="120"/>
      <w:bookmarkEnd w:id="121"/>
      <w:bookmarkEnd w:id="122"/>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与合同有关的一切税费，均按照中华人民共和国法律的相关规定。</w:t>
      </w:r>
    </w:p>
    <w:p>
      <w:pPr>
        <w:spacing w:line="560" w:lineRule="exact"/>
        <w:ind w:firstLine="562" w:firstLineChars="200"/>
        <w:outlineLvl w:val="0"/>
        <w:rPr>
          <w:rFonts w:ascii="仿宋_GB2312" w:hAnsi="仿宋_GB2312" w:eastAsia="仿宋_GB2312" w:cs="仿宋_GB2312"/>
          <w:b/>
          <w:sz w:val="28"/>
          <w:szCs w:val="28"/>
        </w:rPr>
      </w:pPr>
      <w:bookmarkStart w:id="123" w:name="_Toc279701258"/>
      <w:bookmarkStart w:id="124" w:name="_Toc7102"/>
      <w:bookmarkStart w:id="125" w:name="_Toc16959"/>
      <w:bookmarkStart w:id="126" w:name="_Toc487900368"/>
      <w:bookmarkStart w:id="127" w:name="_Toc259093687"/>
      <w:bookmarkStart w:id="128" w:name="_Toc8298"/>
      <w:r>
        <w:rPr>
          <w:rFonts w:hint="eastAsia" w:ascii="仿宋_GB2312" w:hAnsi="仿宋_GB2312" w:eastAsia="仿宋_GB2312" w:cs="仿宋_GB2312"/>
          <w:b/>
          <w:sz w:val="28"/>
          <w:szCs w:val="28"/>
        </w:rPr>
        <w:t>2.15 乙方破产</w:t>
      </w:r>
      <w:bookmarkEnd w:id="123"/>
      <w:bookmarkEnd w:id="124"/>
      <w:bookmarkEnd w:id="125"/>
      <w:bookmarkEnd w:id="126"/>
      <w:bookmarkEnd w:id="127"/>
      <w:bookmarkEnd w:id="128"/>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562" w:firstLineChars="200"/>
        <w:outlineLvl w:val="0"/>
        <w:rPr>
          <w:rFonts w:ascii="仿宋_GB2312" w:hAnsi="仿宋_GB2312" w:eastAsia="仿宋_GB2312" w:cs="仿宋_GB2312"/>
          <w:b/>
          <w:sz w:val="28"/>
          <w:szCs w:val="28"/>
        </w:rPr>
      </w:pPr>
      <w:bookmarkStart w:id="129" w:name="_Toc29333"/>
      <w:bookmarkStart w:id="130" w:name="_Toc6134"/>
      <w:bookmarkStart w:id="131" w:name="_Toc15387"/>
      <w:r>
        <w:rPr>
          <w:rFonts w:hint="eastAsia" w:ascii="仿宋_GB2312" w:hAnsi="仿宋_GB2312" w:eastAsia="仿宋_GB2312" w:cs="仿宋_GB2312"/>
          <w:b/>
          <w:sz w:val="28"/>
          <w:szCs w:val="28"/>
        </w:rPr>
        <w:t>2.16 合同中止、终止</w:t>
      </w:r>
      <w:bookmarkEnd w:id="129"/>
      <w:bookmarkEnd w:id="130"/>
      <w:bookmarkEnd w:id="131"/>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2.16.1 双方当事人不得擅自中止或者终止合同；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562" w:firstLineChars="200"/>
        <w:outlineLvl w:val="0"/>
        <w:rPr>
          <w:rFonts w:ascii="仿宋_GB2312" w:hAnsi="仿宋_GB2312" w:eastAsia="仿宋_GB2312" w:cs="仿宋_GB2312"/>
          <w:b/>
          <w:sz w:val="28"/>
          <w:szCs w:val="28"/>
        </w:rPr>
      </w:pPr>
      <w:bookmarkStart w:id="132" w:name="_Toc6596"/>
      <w:bookmarkStart w:id="133" w:name="_Toc1125"/>
      <w:bookmarkStart w:id="134" w:name="_Toc14563"/>
      <w:r>
        <w:rPr>
          <w:rFonts w:hint="eastAsia" w:ascii="仿宋_GB2312" w:hAnsi="仿宋_GB2312" w:eastAsia="仿宋_GB2312" w:cs="仿宋_GB2312"/>
          <w:b/>
          <w:sz w:val="28"/>
          <w:szCs w:val="28"/>
        </w:rPr>
        <w:t>2.17 检验和验收</w:t>
      </w:r>
      <w:bookmarkEnd w:id="132"/>
      <w:bookmarkEnd w:id="133"/>
      <w:bookmarkEnd w:id="134"/>
    </w:p>
    <w:p>
      <w:pPr>
        <w:tabs>
          <w:tab w:val="left" w:pos="360"/>
          <w:tab w:val="left" w:pos="540"/>
          <w:tab w:val="left" w:pos="1080"/>
        </w:tabs>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2.17.1货物交付前，乙方应对货物的质量、数量等方面进行详细、全面的检验，并向甲方出具证明货物符合合同约定的文件；货物交付时，乙方在</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约定时间内组织验收，并可依法邀请相关方参加，验收应出具验收书。</w:t>
      </w:r>
    </w:p>
    <w:p>
      <w:pPr>
        <w:tabs>
          <w:tab w:val="left" w:pos="360"/>
          <w:tab w:val="left" w:pos="540"/>
          <w:tab w:val="left" w:pos="1080"/>
        </w:tabs>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2.17.3 检验和验收标准、程序等具体内容以及前述验收书的效力详见</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i/>
          <w:sz w:val="28"/>
          <w:szCs w:val="28"/>
        </w:rPr>
        <w:t>。</w:t>
      </w:r>
    </w:p>
    <w:bookmarkEnd w:id="104"/>
    <w:bookmarkEnd w:id="105"/>
    <w:bookmarkEnd w:id="106"/>
    <w:bookmarkEnd w:id="107"/>
    <w:p>
      <w:pPr>
        <w:spacing w:line="560" w:lineRule="exact"/>
        <w:ind w:firstLine="562" w:firstLineChars="200"/>
        <w:outlineLvl w:val="0"/>
        <w:rPr>
          <w:rFonts w:ascii="仿宋_GB2312" w:hAnsi="仿宋_GB2312" w:eastAsia="仿宋_GB2312" w:cs="仿宋_GB2312"/>
          <w:b/>
          <w:sz w:val="28"/>
          <w:szCs w:val="28"/>
        </w:rPr>
      </w:pPr>
      <w:bookmarkStart w:id="135" w:name="_Toc487900371"/>
      <w:bookmarkStart w:id="136" w:name="_Toc259093690"/>
      <w:bookmarkStart w:id="137" w:name="_Toc279701261"/>
      <w:bookmarkStart w:id="138" w:name="_Toc25182"/>
      <w:bookmarkStart w:id="139" w:name="_Toc11284"/>
      <w:bookmarkStart w:id="140" w:name="_Toc19604"/>
      <w:r>
        <w:rPr>
          <w:rFonts w:hint="eastAsia" w:ascii="仿宋_GB2312" w:hAnsi="仿宋_GB2312" w:eastAsia="仿宋_GB2312" w:cs="仿宋_GB2312"/>
          <w:b/>
          <w:sz w:val="28"/>
          <w:szCs w:val="28"/>
        </w:rPr>
        <w:t>2.18 通知</w:t>
      </w:r>
      <w:bookmarkEnd w:id="135"/>
      <w:bookmarkEnd w:id="136"/>
      <w:bookmarkEnd w:id="137"/>
      <w:r>
        <w:rPr>
          <w:rFonts w:hint="eastAsia" w:ascii="仿宋_GB2312" w:hAnsi="仿宋_GB2312" w:eastAsia="仿宋_GB2312" w:cs="仿宋_GB2312"/>
          <w:b/>
          <w:sz w:val="28"/>
          <w:szCs w:val="28"/>
        </w:rPr>
        <w:t>和送达</w:t>
      </w:r>
      <w:bookmarkEnd w:id="138"/>
      <w:bookmarkEnd w:id="139"/>
      <w:bookmarkEnd w:id="140"/>
    </w:p>
    <w:p>
      <w:pPr>
        <w:spacing w:line="560" w:lineRule="exact"/>
        <w:ind w:firstLine="560" w:firstLineChars="200"/>
        <w:rPr>
          <w:rFonts w:ascii="仿宋_GB2312" w:hAnsi="仿宋_GB2312" w:eastAsia="仿宋_GB2312" w:cs="仿宋_GB2312"/>
          <w:sz w:val="28"/>
          <w:szCs w:val="28"/>
        </w:rPr>
      </w:pPr>
      <w:bookmarkStart w:id="141" w:name="_Toc6698"/>
      <w:bookmarkStart w:id="142" w:name="_Toc3135"/>
      <w:bookmarkStart w:id="143" w:name="_Toc487900372"/>
      <w:bookmarkStart w:id="144" w:name="_Toc259093691"/>
      <w:bookmarkStart w:id="145" w:name="_Toc279701262"/>
      <w:r>
        <w:rPr>
          <w:rFonts w:hint="eastAsia" w:ascii="仿宋_GB2312" w:hAnsi="仿宋_GB2312" w:eastAsia="仿宋_GB2312" w:cs="仿宋_GB2312"/>
          <w:sz w:val="28"/>
          <w:szCs w:val="28"/>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41"/>
      <w:bookmarkEnd w:id="142"/>
    </w:p>
    <w:p>
      <w:pPr>
        <w:spacing w:line="560" w:lineRule="exact"/>
        <w:ind w:firstLine="560" w:firstLineChars="200"/>
        <w:rPr>
          <w:rFonts w:ascii="仿宋_GB2312" w:hAnsi="仿宋_GB2312" w:eastAsia="仿宋_GB2312" w:cs="仿宋_GB2312"/>
          <w:sz w:val="28"/>
          <w:szCs w:val="28"/>
        </w:rPr>
      </w:pPr>
      <w:bookmarkStart w:id="146" w:name="_Toc23128"/>
      <w:bookmarkStart w:id="147" w:name="_Toc23294"/>
      <w:r>
        <w:rPr>
          <w:rFonts w:hint="eastAsia" w:ascii="仿宋_GB2312" w:hAnsi="仿宋_GB2312" w:eastAsia="仿宋_GB2312" w:cs="仿宋_GB2312"/>
          <w:sz w:val="28"/>
          <w:szCs w:val="28"/>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6"/>
      <w:bookmarkEnd w:id="147"/>
    </w:p>
    <w:p>
      <w:pPr>
        <w:spacing w:line="560" w:lineRule="exact"/>
        <w:ind w:firstLine="562" w:firstLineChars="200"/>
        <w:outlineLvl w:val="0"/>
        <w:rPr>
          <w:rFonts w:ascii="仿宋_GB2312" w:hAnsi="仿宋_GB2312" w:eastAsia="仿宋_GB2312" w:cs="仿宋_GB2312"/>
          <w:b/>
          <w:sz w:val="28"/>
          <w:szCs w:val="28"/>
        </w:rPr>
      </w:pPr>
      <w:bookmarkStart w:id="148" w:name="_Toc18540"/>
      <w:bookmarkStart w:id="149" w:name="_Toc30599"/>
      <w:bookmarkStart w:id="150" w:name="_Toc4355"/>
      <w:r>
        <w:rPr>
          <w:rFonts w:hint="eastAsia" w:ascii="仿宋_GB2312" w:hAnsi="仿宋_GB2312" w:eastAsia="仿宋_GB2312" w:cs="仿宋_GB2312"/>
          <w:b/>
          <w:sz w:val="28"/>
          <w:szCs w:val="28"/>
        </w:rPr>
        <w:t>2.19 计量单位</w:t>
      </w:r>
      <w:bookmarkEnd w:id="143"/>
      <w:bookmarkEnd w:id="144"/>
      <w:bookmarkEnd w:id="145"/>
      <w:bookmarkEnd w:id="148"/>
      <w:bookmarkEnd w:id="149"/>
      <w:bookmarkEnd w:id="150"/>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除技术规范中另有规定外,合同的计量单位均使用国家法定计量单位。</w:t>
      </w:r>
    </w:p>
    <w:p>
      <w:pPr>
        <w:spacing w:line="360" w:lineRule="auto"/>
        <w:ind w:firstLine="562" w:firstLineChars="200"/>
        <w:outlineLvl w:val="0"/>
        <w:rPr>
          <w:rFonts w:ascii="仿宋_GB2312" w:hAnsi="仿宋_GB2312" w:eastAsia="仿宋_GB2312" w:cs="仿宋_GB2312"/>
          <w:b/>
          <w:sz w:val="28"/>
          <w:szCs w:val="28"/>
        </w:rPr>
      </w:pPr>
      <w:bookmarkStart w:id="151" w:name="_Toc18567"/>
      <w:bookmarkStart w:id="152" w:name="_Toc259093692"/>
      <w:bookmarkStart w:id="153" w:name="_Toc10330"/>
      <w:bookmarkStart w:id="154" w:name="_Toc279701263"/>
      <w:bookmarkStart w:id="155" w:name="_Toc12773"/>
      <w:bookmarkStart w:id="156" w:name="_Toc487900373"/>
      <w:r>
        <w:rPr>
          <w:rFonts w:hint="eastAsia" w:ascii="仿宋_GB2312" w:hAnsi="仿宋_GB2312" w:eastAsia="仿宋_GB2312" w:cs="仿宋_GB2312"/>
          <w:b/>
          <w:sz w:val="28"/>
          <w:szCs w:val="28"/>
        </w:rPr>
        <w:t>2.20 合同使用的文字和适用的法律</w:t>
      </w:r>
      <w:bookmarkEnd w:id="151"/>
      <w:bookmarkEnd w:id="152"/>
      <w:bookmarkEnd w:id="153"/>
      <w:bookmarkEnd w:id="154"/>
      <w:bookmarkEnd w:id="155"/>
      <w:bookmarkEnd w:id="156"/>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2.20.1 合同使用汉语书就、变更和解释；</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2.20.2 合同适用中华人民共和国法律。</w:t>
      </w:r>
    </w:p>
    <w:p>
      <w:pPr>
        <w:spacing w:line="360" w:lineRule="auto"/>
        <w:ind w:firstLine="562" w:firstLineChars="200"/>
        <w:outlineLvl w:val="0"/>
        <w:rPr>
          <w:rFonts w:ascii="仿宋_GB2312" w:hAnsi="仿宋_GB2312" w:eastAsia="仿宋_GB2312" w:cs="仿宋_GB2312"/>
          <w:b/>
          <w:sz w:val="28"/>
          <w:szCs w:val="28"/>
        </w:rPr>
      </w:pPr>
      <w:bookmarkStart w:id="157" w:name="_Toc16673"/>
      <w:bookmarkStart w:id="158" w:name="_Toc3148"/>
      <w:bookmarkStart w:id="159" w:name="_Toc259093693"/>
      <w:bookmarkStart w:id="160" w:name="_Toc12004"/>
      <w:bookmarkStart w:id="161" w:name="_Toc279701264"/>
      <w:bookmarkStart w:id="162" w:name="_Toc14001"/>
      <w:bookmarkStart w:id="163" w:name="_Toc19890"/>
      <w:bookmarkStart w:id="164" w:name="_Toc6885"/>
      <w:r>
        <w:rPr>
          <w:rFonts w:hint="eastAsia" w:ascii="仿宋_GB2312" w:hAnsi="仿宋_GB2312" w:eastAsia="仿宋_GB2312" w:cs="仿宋_GB2312"/>
          <w:b/>
          <w:sz w:val="28"/>
          <w:szCs w:val="28"/>
        </w:rPr>
        <w:t>2.21 履约保证金</w:t>
      </w:r>
      <w:bookmarkEnd w:id="157"/>
      <w:bookmarkEnd w:id="158"/>
      <w:bookmarkEnd w:id="159"/>
      <w:bookmarkEnd w:id="160"/>
      <w:bookmarkEnd w:id="161"/>
      <w:r>
        <w:rPr>
          <w:rFonts w:hint="eastAsia" w:ascii="仿宋_GB2312" w:hAnsi="仿宋_GB2312" w:eastAsia="仿宋_GB2312" w:cs="仿宋_GB2312"/>
          <w:b/>
          <w:sz w:val="28"/>
          <w:szCs w:val="28"/>
        </w:rPr>
        <w:t>和质量保证金</w:t>
      </w:r>
    </w:p>
    <w:p>
      <w:pPr>
        <w:spacing w:line="360" w:lineRule="auto"/>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依据河南省财政厅豫财购〔2019〕4号文和南阳市财政局关于优化政府采购营商环境有关问题的通知要求，本项目无履约保证金和质量保证金。</w:t>
      </w:r>
    </w:p>
    <w:p>
      <w:pPr>
        <w:spacing w:line="360" w:lineRule="auto"/>
        <w:ind w:firstLine="562" w:firstLineChars="200"/>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2.21合同份数</w:t>
      </w:r>
      <w:bookmarkEnd w:id="162"/>
      <w:bookmarkEnd w:id="163"/>
      <w:bookmarkEnd w:id="164"/>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合同份数按</w:t>
      </w:r>
      <w:r>
        <w:rPr>
          <w:rFonts w:hint="eastAsia" w:ascii="仿宋_GB2312" w:hAnsi="仿宋_GB2312" w:eastAsia="仿宋_GB2312" w:cs="仿宋_GB2312"/>
          <w:b/>
          <w:i/>
          <w:sz w:val="28"/>
          <w:szCs w:val="28"/>
          <w:u w:val="single"/>
        </w:rPr>
        <w:t>合同专用条款</w:t>
      </w:r>
      <w:r>
        <w:rPr>
          <w:rFonts w:hint="eastAsia" w:ascii="仿宋_GB2312" w:hAnsi="仿宋_GB2312" w:eastAsia="仿宋_GB2312" w:cs="仿宋_GB2312"/>
          <w:sz w:val="28"/>
          <w:szCs w:val="28"/>
        </w:rPr>
        <w:t>规定，每份均具有同等法律效力。</w:t>
      </w:r>
    </w:p>
    <w:p>
      <w:pPr>
        <w:autoSpaceDE w:val="0"/>
        <w:autoSpaceDN w:val="0"/>
        <w:adjustRightInd w:val="0"/>
        <w:spacing w:line="560" w:lineRule="exact"/>
        <w:jc w:val="center"/>
        <w:rPr>
          <w:rFonts w:ascii="仿宋_GB2312" w:hAnsi="仿宋_GB2312" w:eastAsia="仿宋_GB2312" w:cs="仿宋_GB2312"/>
          <w:b/>
          <w:sz w:val="28"/>
          <w:szCs w:val="28"/>
        </w:rPr>
      </w:pPr>
      <w:bookmarkStart w:id="165" w:name="_Toc331685784"/>
    </w:p>
    <w:p>
      <w:pPr>
        <w:autoSpaceDE w:val="0"/>
        <w:autoSpaceDN w:val="0"/>
        <w:adjustRightIn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第三部分  合同专用条款</w:t>
      </w:r>
      <w:bookmarkEnd w:id="165"/>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楷体" w:hAnsi="楷体" w:eastAsia="楷体"/>
                <w:b/>
              </w:rPr>
            </w:pPr>
            <w:r>
              <w:rPr>
                <w:rFonts w:hint="eastAsia" w:ascii="楷体" w:hAnsi="楷体" w:eastAsia="楷体"/>
                <w:b/>
              </w:rPr>
              <w:t>条款号</w:t>
            </w: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楷体" w:hAnsi="楷体" w:eastAsia="楷体"/>
                <w:b/>
              </w:rPr>
            </w:pPr>
            <w:r>
              <w:rPr>
                <w:rFonts w:hint="eastAsia" w:ascii="楷体" w:hAnsi="楷体" w:eastAsia="楷体"/>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rPr>
            </w:pPr>
          </w:p>
        </w:tc>
      </w:tr>
    </w:tbl>
    <w:p>
      <w:pPr>
        <w:rPr>
          <w:rFonts w:ascii="仿宋_GB2312" w:hAnsi="仿宋_GB2312" w:eastAsia="仿宋_GB2312" w:cs="仿宋_GB2312"/>
          <w:sz w:val="28"/>
          <w:szCs w:val="28"/>
        </w:rPr>
      </w:pPr>
    </w:p>
    <w:p>
      <w:pPr>
        <w:pageBreakBefore/>
        <w:adjustRightInd w:val="0"/>
        <w:snapToGrid w:val="0"/>
        <w:spacing w:line="360" w:lineRule="auto"/>
        <w:jc w:val="center"/>
        <w:rPr>
          <w:rFonts w:ascii="Arial" w:hAnsi="Arial" w:eastAsia="仿宋_GB2312"/>
          <w:sz w:val="36"/>
          <w:szCs w:val="36"/>
          <w:u w:val="single"/>
        </w:rPr>
      </w:pPr>
      <w:r>
        <w:rPr>
          <w:rFonts w:hint="eastAsia"/>
          <w:b/>
          <w:bCs/>
          <w:color w:val="000000"/>
          <w:spacing w:val="4"/>
          <w:sz w:val="36"/>
          <w:szCs w:val="36"/>
        </w:rPr>
        <w:t>第五部分响应文件格式</w:t>
      </w:r>
    </w:p>
    <w:p>
      <w:pPr>
        <w:spacing w:line="360" w:lineRule="auto"/>
        <w:ind w:firstLine="480" w:firstLineChars="200"/>
        <w:rPr>
          <w:rFonts w:ascii="仿宋_GB2312" w:eastAsia="仿宋_GB2312"/>
          <w:sz w:val="24"/>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一、响应函格式               </w:t>
      </w:r>
    </w:p>
    <w:p>
      <w:pPr>
        <w:spacing w:line="360" w:lineRule="auto"/>
        <w:ind w:left="482"/>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响应函</w:t>
      </w:r>
    </w:p>
    <w:p>
      <w:pPr>
        <w:spacing w:line="360" w:lineRule="auto"/>
        <w:ind w:firstLine="567"/>
        <w:jc w:val="left"/>
        <w:rPr>
          <w:rFonts w:ascii="仿宋_GB2312" w:hAnsi="仿宋_GB2312" w:eastAsia="仿宋_GB2312" w:cs="仿宋_GB2312"/>
          <w:sz w:val="28"/>
          <w:szCs w:val="28"/>
        </w:rPr>
      </w:pPr>
    </w:p>
    <w:p>
      <w:pPr>
        <w:spacing w:line="360" w:lineRule="auto"/>
        <w:ind w:firstLine="56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致：南阳市政府采购中心：</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根据贵方项目编号为____________的竞争性谈判文件要求，签字代表_________（全名、职务）经正式授权并代表_________（供应商名称、地址）提交包含响应文件组成第项至第项的响应文件电子版本一份。</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据此函，签字代表宣布同意并郑重承诺如下：</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1、我方递交的响应文件中所有的资料均为真实的、准确的，无任何虚假内容。若存在有虚假内容，我方愿意承担法律责任。</w:t>
      </w:r>
    </w:p>
    <w:p>
      <w:pPr>
        <w:spacing w:line="360" w:lineRule="auto"/>
        <w:ind w:firstLine="567"/>
        <w:rPr>
          <w:rFonts w:ascii="仿宋_GB2312" w:hAnsi="仿宋_GB2312" w:eastAsia="仿宋_GB2312" w:cs="仿宋_GB2312"/>
          <w:sz w:val="28"/>
          <w:szCs w:val="28"/>
        </w:rPr>
      </w:pPr>
      <w:r>
        <w:rPr>
          <w:rFonts w:hint="eastAsia" w:ascii="仿宋_GB2312" w:hAnsi="仿宋_GB2312" w:eastAsia="仿宋_GB2312" w:cs="仿宋_GB2312"/>
          <w:sz w:val="28"/>
          <w:szCs w:val="28"/>
        </w:rPr>
        <w:t>2、我方已详细审查全部竞争性谈判文件，包括修改文件（如有的话）以及全部参考资料和有关附件。我们完全理解并同意放弃对这方面有不明白及误解的权利。</w:t>
      </w:r>
    </w:p>
    <w:p>
      <w:pPr>
        <w:pStyle w:val="6"/>
        <w:spacing w:line="360" w:lineRule="auto"/>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3、若成交，我方将按照</w:t>
      </w:r>
      <w:r>
        <w:rPr>
          <w:rFonts w:hint="eastAsia" w:ascii="仿宋_GB2312" w:hAnsi="仿宋_GB2312" w:eastAsia="仿宋_GB2312" w:cs="仿宋_GB2312"/>
          <w:sz w:val="28"/>
          <w:szCs w:val="28"/>
        </w:rPr>
        <w:t>竞争性谈判文件</w:t>
      </w:r>
      <w:r>
        <w:rPr>
          <w:rFonts w:hint="eastAsia" w:ascii="仿宋_GB2312" w:hAnsi="仿宋_GB2312" w:eastAsia="仿宋_GB2312" w:cs="仿宋_GB2312"/>
          <w:spacing w:val="0"/>
          <w:sz w:val="28"/>
          <w:szCs w:val="28"/>
        </w:rPr>
        <w:t>的具体规定与采购人签订供货安装调试和售后服务合同，并且严格按合同履行义务，按时交付使用，保证设备质量符合</w:t>
      </w:r>
      <w:r>
        <w:rPr>
          <w:rFonts w:hint="eastAsia" w:ascii="仿宋_GB2312" w:hAnsi="仿宋_GB2312" w:eastAsia="仿宋_GB2312" w:cs="仿宋_GB2312"/>
          <w:sz w:val="28"/>
          <w:szCs w:val="28"/>
        </w:rPr>
        <w:t>竞争性谈判文件</w:t>
      </w:r>
      <w:r>
        <w:rPr>
          <w:rFonts w:hint="eastAsia" w:ascii="仿宋_GB2312" w:hAnsi="仿宋_GB2312" w:eastAsia="仿宋_GB2312" w:cs="仿宋_GB2312"/>
          <w:spacing w:val="0"/>
          <w:sz w:val="28"/>
          <w:szCs w:val="28"/>
        </w:rPr>
        <w:t>要求，并提供优质服务。如果在合同执行过程中，发现问题，我方一定尽快对其进行调整，并承担相应的经济责任。</w:t>
      </w:r>
    </w:p>
    <w:p>
      <w:pPr>
        <w:pStyle w:val="6"/>
        <w:spacing w:line="360" w:lineRule="auto"/>
        <w:ind w:firstLine="560" w:firstLineChars="200"/>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我方保证，严格遵守《中华人民共和国政府采购法》、《中华人民共和国政府采购法实施条例》、《政府采购非招标采购方式管理办法》及其他相关法律法规的规定，若有违反上述法律法规的行为，愿意接受处罚并承担相应的法律责任。</w:t>
      </w:r>
    </w:p>
    <w:p>
      <w:pPr>
        <w:pStyle w:val="6"/>
        <w:spacing w:line="360" w:lineRule="auto"/>
        <w:ind w:firstLine="60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pacing w:val="0"/>
          <w:sz w:val="28"/>
          <w:szCs w:val="28"/>
        </w:rPr>
        <w:t>本承诺将成为合同不可分割的一部分，与合同具有同等的法律效力。</w:t>
      </w:r>
    </w:p>
    <w:p>
      <w:pPr>
        <w:spacing w:line="360" w:lineRule="auto"/>
        <w:ind w:firstLine="567"/>
        <w:rPr>
          <w:rFonts w:ascii="仿宋_GB2312" w:hAnsi="仿宋_GB2312" w:eastAsia="仿宋_GB2312" w:cs="仿宋_GB2312"/>
          <w:sz w:val="28"/>
          <w:szCs w:val="28"/>
        </w:rPr>
      </w:pPr>
    </w:p>
    <w:p>
      <w:pPr>
        <w:spacing w:line="360" w:lineRule="auto"/>
        <w:ind w:firstLine="4670" w:firstLineChars="1668"/>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供应商名称（公章）：                     </w:t>
      </w:r>
    </w:p>
    <w:p>
      <w:pPr>
        <w:spacing w:line="360" w:lineRule="auto"/>
        <w:ind w:right="120"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法定代表人或负责人或被授权人签名（或盖章）：</w:t>
      </w:r>
    </w:p>
    <w:p>
      <w:pPr>
        <w:spacing w:line="360" w:lineRule="auto"/>
        <w:ind w:right="120" w:firstLine="560" w:firstLineChars="200"/>
        <w:rPr>
          <w:rFonts w:ascii="仿宋_GB2312" w:hAnsi="仿宋_GB2312" w:eastAsia="仿宋_GB2312" w:cs="仿宋_GB2312"/>
          <w:sz w:val="28"/>
          <w:szCs w:val="28"/>
        </w:rPr>
      </w:pPr>
    </w:p>
    <w:p>
      <w:pPr>
        <w:spacing w:line="360" w:lineRule="auto"/>
        <w:ind w:right="12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spacing w:line="360" w:lineRule="auto"/>
        <w:ind w:right="120" w:firstLine="560" w:firstLineChars="200"/>
        <w:jc w:val="right"/>
        <w:rPr>
          <w:rFonts w:ascii="宋体" w:hAnsi="宋体"/>
          <w:sz w:val="28"/>
          <w:szCs w:val="28"/>
        </w:rPr>
      </w:pPr>
    </w:p>
    <w:p>
      <w:pPr>
        <w:pageBreakBefore/>
        <w:spacing w:line="360" w:lineRule="auto"/>
        <w:rPr>
          <w:rFonts w:ascii="仿宋_GB2312" w:hAnsi="仿宋_GB2312" w:eastAsia="仿宋_GB2312" w:cs="仿宋_GB2312"/>
          <w:sz w:val="28"/>
          <w:szCs w:val="28"/>
        </w:rPr>
      </w:pPr>
      <w:r>
        <w:rPr>
          <w:rFonts w:hint="eastAsia" w:ascii="仿宋_GB2312" w:hAnsi="仿宋_GB2312" w:eastAsia="仿宋_GB2312" w:cs="仿宋_GB2312"/>
          <w:b/>
          <w:sz w:val="28"/>
          <w:szCs w:val="28"/>
        </w:rPr>
        <w:t>二、法定代表人或负责人授权委托书格式：</w:t>
      </w: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法定代表人或负责人授权委托书</w:t>
      </w:r>
    </w:p>
    <w:p>
      <w:pPr>
        <w:spacing w:line="360" w:lineRule="auto"/>
        <w:rPr>
          <w:rFonts w:ascii="仿宋_GB2312" w:hAnsi="仿宋_GB2312" w:eastAsia="仿宋_GB2312" w:cs="仿宋_GB2312"/>
          <w:bCs/>
          <w:sz w:val="28"/>
          <w:szCs w:val="28"/>
        </w:rPr>
      </w:pP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致南阳市政府采购中心</w:t>
      </w:r>
      <w:r>
        <w:rPr>
          <w:rFonts w:hint="eastAsia" w:ascii="仿宋_GB2312" w:hAnsi="仿宋_GB2312" w:eastAsia="仿宋_GB2312" w:cs="仿宋_GB2312"/>
          <w:sz w:val="28"/>
          <w:szCs w:val="28"/>
        </w:rPr>
        <w:t>：</w:t>
      </w:r>
    </w:p>
    <w:p>
      <w:pPr>
        <w:spacing w:line="360" w:lineRule="auto"/>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我_________（姓名）系_________（供应商名称）的法定代表人或负责人，现授权委托本单位在职职工（姓名）以我方的名义参加</w:t>
      </w:r>
      <w:r>
        <w:rPr>
          <w:rFonts w:hint="eastAsia" w:ascii="仿宋_GB2312" w:hAnsi="仿宋_GB2312" w:eastAsia="仿宋_GB2312" w:cs="仿宋_GB2312"/>
          <w:bCs/>
          <w:sz w:val="28"/>
          <w:szCs w:val="28"/>
        </w:rPr>
        <w:t>项目</w:t>
      </w:r>
      <w:r>
        <w:rPr>
          <w:rFonts w:hint="eastAsia" w:ascii="仿宋_GB2312" w:hAnsi="仿宋_GB2312" w:eastAsia="仿宋_GB2312" w:cs="仿宋_GB2312"/>
          <w:sz w:val="28"/>
          <w:szCs w:val="28"/>
        </w:rPr>
        <w:t>的投标活动，并代表我方全权办理针对上述项目的具体事务和签署相关文件。</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我方对被授权人的签名事项负全部责任。</w:t>
      </w:r>
    </w:p>
    <w:p>
      <w:pPr>
        <w:spacing w:line="360" w:lineRule="auto"/>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在撤销授权的书面通知以前，本授权书一直有效。被授权人在授权书有效期内签署的所有文件不因授权的撤销而失效。</w:t>
      </w:r>
    </w:p>
    <w:p>
      <w:pPr>
        <w:spacing w:line="360" w:lineRule="auto"/>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被授权人无转委托权，特此委托。</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法定代表人或负责人签名（或盖章）：</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被授权人签名（或盖章）：</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360" w:lineRule="auto"/>
        <w:rPr>
          <w:rFonts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法定代表人或负责人、被授权人身份证</w:t>
      </w:r>
      <w:r>
        <w:rPr>
          <w:rFonts w:hint="eastAsia" w:ascii="仿宋_GB2312" w:hAnsi="仿宋_GB2312" w:eastAsia="仿宋_GB2312" w:cs="仿宋_GB2312"/>
          <w:sz w:val="28"/>
          <w:szCs w:val="28"/>
          <w:lang w:eastAsia="zh-CN"/>
        </w:rPr>
        <w:t>电子扫描件</w:t>
      </w:r>
    </w:p>
    <w:p>
      <w:pPr>
        <w:spacing w:line="360" w:lineRule="auto"/>
        <w:ind w:firstLine="6720" w:firstLineChars="2400"/>
        <w:rPr>
          <w:rFonts w:ascii="仿宋_GB2312" w:hAnsi="仿宋_GB2312" w:eastAsia="仿宋_GB2312" w:cs="仿宋_GB2312"/>
          <w:sz w:val="28"/>
          <w:szCs w:val="28"/>
        </w:rPr>
      </w:pPr>
    </w:p>
    <w:p>
      <w:pPr>
        <w:spacing w:line="360" w:lineRule="auto"/>
        <w:ind w:firstLine="6720" w:firstLineChars="24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供应商公章：</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numPr>
          <w:ilvl w:val="0"/>
          <w:numId w:val="4"/>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报价一览表格式：</w:t>
      </w:r>
    </w:p>
    <w:p>
      <w:pPr>
        <w:pStyle w:val="6"/>
        <w:jc w:val="center"/>
        <w:rPr>
          <w:rFonts w:ascii="仿宋_GB2312" w:hAnsi="仿宋_GB2312" w:eastAsia="仿宋_GB2312" w:cs="仿宋_GB2312"/>
          <w:b/>
          <w:bCs/>
          <w:sz w:val="28"/>
          <w:szCs w:val="28"/>
        </w:rPr>
      </w:pPr>
    </w:p>
    <w:p>
      <w:pPr>
        <w:pStyle w:val="6"/>
        <w:jc w:val="center"/>
        <w:rPr>
          <w:rFonts w:ascii="仿宋_GB2312" w:hAnsi="仿宋_GB2312" w:eastAsia="仿宋_GB2312" w:cs="仿宋_GB2312"/>
          <w:b/>
          <w:bCs/>
          <w:sz w:val="28"/>
          <w:szCs w:val="28"/>
        </w:rPr>
      </w:pPr>
    </w:p>
    <w:p>
      <w:pPr>
        <w:pStyle w:val="6"/>
        <w:jc w:val="center"/>
        <w:rPr>
          <w:sz w:val="28"/>
          <w:szCs w:val="28"/>
        </w:rPr>
      </w:pPr>
      <w:r>
        <w:rPr>
          <w:rFonts w:hint="eastAsia" w:ascii="仿宋_GB2312" w:hAnsi="仿宋_GB2312" w:eastAsia="仿宋_GB2312" w:cs="仿宋_GB2312"/>
          <w:b/>
          <w:bCs/>
          <w:sz w:val="28"/>
          <w:szCs w:val="28"/>
        </w:rPr>
        <w:t>报价一览表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项目名称</w:t>
            </w:r>
          </w:p>
        </w:tc>
        <w:tc>
          <w:tcPr>
            <w:tcW w:w="74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b/>
                <w:bCs/>
                <w:color w:val="000000"/>
                <w:sz w:val="28"/>
                <w:szCs w:val="28"/>
              </w:rPr>
              <w:t>项目编号</w:t>
            </w:r>
          </w:p>
        </w:tc>
        <w:tc>
          <w:tcPr>
            <w:tcW w:w="74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b/>
                <w:bCs/>
                <w:color w:val="000000"/>
                <w:sz w:val="28"/>
                <w:szCs w:val="28"/>
              </w:rPr>
              <w:t>供应商</w:t>
            </w:r>
          </w:p>
        </w:tc>
        <w:tc>
          <w:tcPr>
            <w:tcW w:w="74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b/>
                <w:bCs/>
                <w:color w:val="000000"/>
                <w:sz w:val="28"/>
                <w:szCs w:val="28"/>
              </w:rPr>
              <w:t>谈判报价</w:t>
            </w:r>
          </w:p>
        </w:tc>
        <w:tc>
          <w:tcPr>
            <w:tcW w:w="74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80" w:firstLineChars="100"/>
              <w:rPr>
                <w:rFonts w:ascii="仿宋_GB2312" w:hAnsi="宋体" w:eastAsia="仿宋_GB2312"/>
                <w:sz w:val="28"/>
                <w:szCs w:val="28"/>
              </w:rPr>
            </w:pPr>
            <w:r>
              <w:rPr>
                <w:rFonts w:hint="eastAsia" w:ascii="仿宋_GB2312" w:hAnsi="宋体" w:eastAsia="仿宋_GB2312"/>
                <w:sz w:val="28"/>
                <w:szCs w:val="28"/>
              </w:rPr>
              <w:t xml:space="preserve">大写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交货安装时间</w:t>
            </w:r>
          </w:p>
        </w:tc>
        <w:tc>
          <w:tcPr>
            <w:tcW w:w="74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709"/>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免费质保期</w:t>
            </w:r>
          </w:p>
        </w:tc>
        <w:tc>
          <w:tcPr>
            <w:tcW w:w="74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709"/>
              <w:rPr>
                <w:rFonts w:ascii="仿宋_GB2312" w:hAnsi="宋体" w:eastAsia="仿宋_GB2312"/>
                <w:sz w:val="28"/>
                <w:szCs w:val="28"/>
              </w:rPr>
            </w:pPr>
            <w:r>
              <w:rPr>
                <w:rFonts w:hint="eastAsia" w:ascii="仿宋_GB2312" w:hAnsi="宋体" w:eastAsia="仿宋_GB2312"/>
                <w:sz w:val="28"/>
                <w:szCs w:val="2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备   注</w:t>
            </w:r>
          </w:p>
        </w:tc>
        <w:tc>
          <w:tcPr>
            <w:tcW w:w="74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709"/>
              <w:rPr>
                <w:rFonts w:ascii="仿宋_GB2312" w:hAnsi="宋体" w:eastAsia="仿宋_GB2312"/>
                <w:sz w:val="28"/>
                <w:szCs w:val="28"/>
              </w:rPr>
            </w:pPr>
          </w:p>
          <w:p>
            <w:pPr>
              <w:spacing w:line="360" w:lineRule="auto"/>
              <w:ind w:firstLine="709"/>
              <w:rPr>
                <w:rFonts w:ascii="仿宋_GB2312" w:hAnsi="宋体" w:eastAsia="仿宋_GB2312"/>
                <w:sz w:val="28"/>
                <w:szCs w:val="28"/>
              </w:rPr>
            </w:pPr>
          </w:p>
        </w:tc>
      </w:tr>
    </w:tbl>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供   应   商：</w:t>
      </w:r>
      <w:r>
        <w:rPr>
          <w:rFonts w:hint="eastAsia" w:ascii="仿宋_GB2312" w:hAnsi="仿宋_GB2312" w:eastAsia="仿宋_GB2312" w:cs="仿宋_GB2312"/>
          <w:sz w:val="28"/>
          <w:szCs w:val="28"/>
        </w:rPr>
        <w:t xml:space="preserve">                      年   月   日</w:t>
      </w:r>
    </w:p>
    <w:p>
      <w:pPr>
        <w:spacing w:line="360" w:lineRule="auto"/>
        <w:ind w:firstLine="118" w:firstLineChars="49"/>
        <w:jc w:val="center"/>
        <w:rPr>
          <w:b/>
          <w:bCs/>
          <w:color w:val="000000"/>
          <w:sz w:val="24"/>
        </w:rPr>
      </w:pPr>
    </w:p>
    <w:p>
      <w:pPr>
        <w:spacing w:line="360" w:lineRule="auto"/>
        <w:ind w:firstLine="118" w:firstLineChars="49"/>
        <w:jc w:val="center"/>
        <w:rPr>
          <w:b/>
          <w:bCs/>
          <w:color w:val="000000"/>
          <w:sz w:val="24"/>
        </w:rPr>
      </w:pPr>
    </w:p>
    <w:p>
      <w:pPr>
        <w:spacing w:line="360" w:lineRule="auto"/>
        <w:rPr>
          <w:b/>
          <w:bCs/>
          <w:color w:val="000000"/>
          <w:sz w:val="24"/>
        </w:rPr>
      </w:pPr>
    </w:p>
    <w:p>
      <w:pPr>
        <w:spacing w:line="360" w:lineRule="auto"/>
        <w:rPr>
          <w:rFonts w:ascii="仿宋_GB2312" w:eastAsia="仿宋_GB2312"/>
          <w:sz w:val="24"/>
        </w:rPr>
        <w:sectPr>
          <w:headerReference r:id="rId5" w:type="first"/>
          <w:footerReference r:id="rId7" w:type="first"/>
          <w:headerReference r:id="rId4" w:type="default"/>
          <w:footerReference r:id="rId6" w:type="default"/>
          <w:pgSz w:w="11906" w:h="16838"/>
          <w:pgMar w:top="1531" w:right="1531" w:bottom="1531" w:left="1531" w:header="851" w:footer="992" w:gutter="0"/>
          <w:pgNumType w:fmt="numberInDash"/>
          <w:cols w:space="720" w:num="1"/>
          <w:titlePg/>
          <w:docGrid w:type="lines" w:linePitch="312" w:charSpace="0"/>
        </w:sectPr>
      </w:pPr>
    </w:p>
    <w:p>
      <w:pPr>
        <w:spacing w:line="360" w:lineRule="auto"/>
        <w:rPr>
          <w:rFonts w:ascii="仿宋_GB2312" w:hAnsi="仿宋_GB2312" w:eastAsia="仿宋_GB2312" w:cs="仿宋_GB2312"/>
          <w:b/>
          <w:bCs/>
          <w:color w:val="000000"/>
          <w:spacing w:val="4"/>
          <w:sz w:val="28"/>
          <w:szCs w:val="28"/>
        </w:rPr>
      </w:pPr>
      <w:r>
        <w:rPr>
          <w:rFonts w:hint="eastAsia" w:ascii="仿宋_GB2312" w:hAnsi="仿宋_GB2312" w:eastAsia="仿宋_GB2312" w:cs="仿宋_GB2312"/>
          <w:b/>
          <w:bCs/>
          <w:color w:val="000000"/>
          <w:spacing w:val="4"/>
          <w:sz w:val="28"/>
          <w:szCs w:val="28"/>
        </w:rPr>
        <w:t>四、供应商</w:t>
      </w:r>
      <w:r>
        <w:rPr>
          <w:rFonts w:hint="eastAsia" w:ascii="仿宋_GB2312" w:hAnsi="仿宋" w:eastAsia="仿宋_GB2312" w:cs="仿宋"/>
          <w:b/>
          <w:bCs/>
          <w:spacing w:val="4"/>
          <w:sz w:val="28"/>
          <w:szCs w:val="28"/>
        </w:rPr>
        <w:t>营业执照副本、</w:t>
      </w:r>
      <w:r>
        <w:rPr>
          <w:rFonts w:hint="eastAsia" w:ascii="仿宋_GB2312" w:eastAsia="仿宋_GB2312"/>
          <w:b/>
          <w:bCs/>
          <w:color w:val="000000"/>
          <w:sz w:val="28"/>
          <w:szCs w:val="28"/>
        </w:rPr>
        <w:t>近半年内任意三个月依法缴纳税收和社保资金的证明</w:t>
      </w:r>
      <w:r>
        <w:rPr>
          <w:rFonts w:hint="eastAsia" w:ascii="仿宋_GB2312" w:hAnsi="仿宋" w:eastAsia="仿宋_GB2312" w:cs="仿宋"/>
          <w:b/>
          <w:bCs/>
          <w:spacing w:val="4"/>
          <w:sz w:val="28"/>
          <w:szCs w:val="28"/>
        </w:rPr>
        <w:t>、近三年内在经营活动中没有重大违法记录的声明</w:t>
      </w:r>
      <w:r>
        <w:rPr>
          <w:rFonts w:hint="eastAsia" w:ascii="仿宋_GB2312" w:eastAsia="仿宋_GB2312"/>
          <w:b/>
          <w:bCs/>
          <w:color w:val="000000"/>
          <w:sz w:val="28"/>
          <w:szCs w:val="28"/>
        </w:rPr>
        <w:t>和供应商诚信承诺书</w:t>
      </w:r>
      <w:r>
        <w:rPr>
          <w:rFonts w:hint="eastAsia" w:ascii="仿宋_GB2312" w:hAnsi="仿宋" w:eastAsia="仿宋_GB2312" w:cs="仿宋"/>
          <w:b/>
          <w:bCs/>
          <w:spacing w:val="4"/>
          <w:sz w:val="28"/>
          <w:szCs w:val="28"/>
        </w:rPr>
        <w:t>等；</w:t>
      </w:r>
    </w:p>
    <w:p>
      <w:pPr>
        <w:spacing w:line="360" w:lineRule="auto"/>
        <w:jc w:val="left"/>
        <w:rPr>
          <w:rFonts w:ascii="仿宋_GB2312" w:eastAsia="仿宋_GB2312"/>
          <w:b/>
          <w:bCs/>
          <w:color w:val="000000"/>
          <w:sz w:val="28"/>
          <w:szCs w:val="28"/>
        </w:rPr>
      </w:pPr>
      <w:r>
        <w:rPr>
          <w:rFonts w:hint="eastAsia" w:ascii="仿宋_GB2312" w:eastAsia="仿宋_GB2312"/>
          <w:b/>
          <w:bCs/>
          <w:color w:val="000000"/>
          <w:sz w:val="28"/>
          <w:szCs w:val="28"/>
        </w:rPr>
        <w:t>五、供应商上一年度财务审计报告或财务报表原件扫描件和信用记录查询结果网页截图；</w:t>
      </w:r>
    </w:p>
    <w:p>
      <w:pPr>
        <w:spacing w:line="360" w:lineRule="auto"/>
        <w:rPr>
          <w:rFonts w:ascii="仿宋_GB2312" w:eastAsia="仿宋_GB2312"/>
          <w:b/>
          <w:bCs/>
          <w:color w:val="000000"/>
          <w:sz w:val="28"/>
          <w:szCs w:val="28"/>
        </w:rPr>
      </w:pPr>
      <w:r>
        <w:rPr>
          <w:rFonts w:hint="eastAsia" w:ascii="仿宋_GB2312" w:eastAsia="仿宋_GB2312"/>
          <w:b/>
          <w:bCs/>
          <w:color w:val="000000"/>
          <w:sz w:val="28"/>
          <w:szCs w:val="28"/>
        </w:rPr>
        <w:t>六、分项报价一览表、技术偏差表、商务偏差表、售后服务计划等</w:t>
      </w:r>
    </w:p>
    <w:p>
      <w:pPr>
        <w:spacing w:line="360" w:lineRule="auto"/>
        <w:rPr>
          <w:rFonts w:eastAsia="仿宋" w:cs="Calibri"/>
          <w:sz w:val="28"/>
          <w:szCs w:val="28"/>
        </w:rPr>
      </w:pPr>
      <w:r>
        <w:rPr>
          <w:rFonts w:hint="eastAsia" w:ascii="仿宋_GB2312" w:hAnsi="仿宋_GB2312" w:eastAsia="仿宋_GB2312" w:cs="仿宋_GB2312"/>
          <w:b/>
          <w:bCs/>
          <w:color w:val="000000"/>
          <w:spacing w:val="4"/>
          <w:sz w:val="28"/>
          <w:szCs w:val="28"/>
        </w:rPr>
        <w:t>七、供应商认为与本项目有关的其他资料。</w:t>
      </w:r>
    </w:p>
    <w:p>
      <w:pPr>
        <w:spacing w:line="360" w:lineRule="auto"/>
        <w:ind w:firstLine="567"/>
        <w:jc w:val="center"/>
        <w:rPr>
          <w:color w:val="FF0000"/>
        </w:rPr>
      </w:pPr>
    </w:p>
    <w:p>
      <w:pPr>
        <w:spacing w:line="360" w:lineRule="auto"/>
        <w:ind w:firstLine="567"/>
        <w:jc w:val="center"/>
        <w:rPr>
          <w:color w:val="FF0000"/>
        </w:rPr>
      </w:pP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近三年内在经营活动中没有重大违法记录的声明（格式）</w:t>
      </w:r>
    </w:p>
    <w:p>
      <w:pPr>
        <w:spacing w:line="360" w:lineRule="auto"/>
        <w:jc w:val="center"/>
        <w:rPr>
          <w:rFonts w:ascii="仿宋_GB2312" w:hAnsi="仿宋_GB2312" w:eastAsia="仿宋_GB2312" w:cs="仿宋_GB2312"/>
          <w:b/>
          <w:sz w:val="28"/>
          <w:szCs w:val="28"/>
        </w:r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声明函</w:t>
      </w:r>
    </w:p>
    <w:p>
      <w:pPr>
        <w:spacing w:line="360" w:lineRule="auto"/>
        <w:rPr>
          <w:rFonts w:ascii="仿宋_GB2312" w:hAnsi="仿宋_GB2312" w:eastAsia="仿宋_GB2312" w:cs="仿宋_GB2312"/>
          <w:b/>
          <w:sz w:val="28"/>
          <w:szCs w:val="28"/>
          <w:u w:val="single"/>
        </w:r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
          <w:sz w:val="28"/>
          <w:szCs w:val="28"/>
          <w:u w:val="single"/>
        </w:rPr>
        <w:t>（</w:t>
      </w:r>
      <w:r>
        <w:rPr>
          <w:rFonts w:hint="eastAsia" w:ascii="仿宋_GB2312" w:hAnsi="仿宋_GB2312" w:eastAsia="仿宋_GB2312" w:cs="仿宋_GB2312"/>
          <w:bCs/>
          <w:sz w:val="28"/>
          <w:szCs w:val="28"/>
          <w:u w:val="single"/>
        </w:rPr>
        <w:t>法定代表人或其授权代表</w:t>
      </w:r>
      <w:r>
        <w:rPr>
          <w:rFonts w:hint="eastAsia" w:ascii="仿宋_GB2312" w:hAnsi="仿宋_GB2312" w:eastAsia="仿宋_GB2312" w:cs="仿宋_GB2312"/>
          <w:b/>
          <w:sz w:val="28"/>
          <w:szCs w:val="28"/>
          <w:u w:val="single"/>
        </w:rPr>
        <w:t>）</w:t>
      </w:r>
      <w:r>
        <w:rPr>
          <w:rFonts w:hint="eastAsia" w:ascii="仿宋_GB2312" w:hAnsi="仿宋_GB2312" w:eastAsia="仿宋_GB2312" w:cs="仿宋_GB2312"/>
          <w:b/>
          <w:sz w:val="28"/>
          <w:szCs w:val="28"/>
        </w:rPr>
        <w:t>代表</w:t>
      </w:r>
      <w:r>
        <w:rPr>
          <w:rFonts w:hint="eastAsia" w:ascii="仿宋_GB2312" w:hAnsi="仿宋_GB2312" w:eastAsia="仿宋_GB2312" w:cs="仿宋_GB2312"/>
          <w:bCs/>
          <w:sz w:val="28"/>
          <w:szCs w:val="28"/>
          <w:u w:val="single"/>
        </w:rPr>
        <w:t xml:space="preserve">   （公司全称）      </w:t>
      </w:r>
      <w:r>
        <w:rPr>
          <w:rFonts w:hint="eastAsia" w:ascii="仿宋_GB2312" w:hAnsi="仿宋_GB2312" w:eastAsia="仿宋_GB2312" w:cs="仿宋_GB2312"/>
          <w:bCs/>
          <w:sz w:val="28"/>
          <w:szCs w:val="28"/>
        </w:rPr>
        <w:t>向本项目的采购人和政府采购中心郑重声明如下：</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我公司近三年来的经营活动中，未因违法经营受到刑事处罚或者责令停产停业、吊销许可证或者执照、较大数额罚款等行政处罚。</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特此声明。</w:t>
      </w:r>
    </w:p>
    <w:p>
      <w:pPr>
        <w:spacing w:line="360" w:lineRule="auto"/>
        <w:jc w:val="right"/>
        <w:rPr>
          <w:rFonts w:ascii="仿宋_GB2312" w:hAnsi="仿宋_GB2312" w:eastAsia="仿宋_GB2312" w:cs="仿宋_GB2312"/>
          <w:sz w:val="28"/>
          <w:szCs w:val="28"/>
        </w:rPr>
      </w:pPr>
    </w:p>
    <w:p>
      <w:pPr>
        <w:spacing w:line="360" w:lineRule="auto"/>
        <w:jc w:val="right"/>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360" w:lineRule="auto"/>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 xml:space="preserve">              法定代表人或其授权代表</w:t>
      </w:r>
      <w:r>
        <w:rPr>
          <w:rFonts w:hint="eastAsia" w:ascii="仿宋_GB2312" w:hAnsi="仿宋_GB2312" w:eastAsia="仿宋_GB2312" w:cs="仿宋_GB2312"/>
          <w:sz w:val="28"/>
          <w:szCs w:val="28"/>
        </w:rPr>
        <w:t xml:space="preserve">（签字）： </w:t>
      </w:r>
    </w:p>
    <w:p>
      <w:pPr>
        <w:spacing w:line="360" w:lineRule="auto"/>
        <w:rPr>
          <w:rFonts w:ascii="仿宋_GB2312" w:hAnsi="仿宋_GB2312" w:eastAsia="仿宋_GB2312" w:cs="仿宋_GB2312"/>
          <w:b/>
          <w:sz w:val="28"/>
          <w:szCs w:val="28"/>
        </w:rPr>
      </w:pPr>
    </w:p>
    <w:p>
      <w:pPr>
        <w:pStyle w:val="10"/>
        <w:ind w:firstLine="301"/>
        <w:rPr>
          <w:rFonts w:ascii="仿宋_GB2312" w:hAnsi="仿宋_GB2312" w:eastAsia="仿宋_GB2312" w:cs="仿宋_GB2312"/>
          <w:b/>
          <w:sz w:val="28"/>
          <w:szCs w:val="28"/>
        </w:rPr>
      </w:pPr>
    </w:p>
    <w:p>
      <w:pPr>
        <w:pStyle w:val="10"/>
        <w:ind w:firstLine="301"/>
        <w:rPr>
          <w:rFonts w:ascii="仿宋_GB2312" w:hAnsi="仿宋_GB2312" w:eastAsia="仿宋_GB2312" w:cs="仿宋_GB2312"/>
          <w:b/>
          <w:sz w:val="28"/>
          <w:szCs w:val="28"/>
        </w:rPr>
      </w:pPr>
    </w:p>
    <w:p>
      <w:pPr>
        <w:pStyle w:val="10"/>
        <w:ind w:firstLine="301"/>
        <w:rPr>
          <w:rFonts w:ascii="仿宋_GB2312" w:hAnsi="仿宋_GB2312" w:eastAsia="仿宋_GB2312" w:cs="仿宋_GB2312"/>
          <w:b/>
          <w:sz w:val="28"/>
          <w:szCs w:val="28"/>
        </w:rPr>
      </w:pPr>
    </w:p>
    <w:p>
      <w:pPr>
        <w:jc w:val="cente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诚 信 承 诺 书（格式）</w:t>
      </w:r>
    </w:p>
    <w:p>
      <w:pPr>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为维护市场公平竞争，营造诚实守信的公共资源交易环境，本公司郑重承诺：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2、本公司在参加本项目过程中严格遵守各项诚信廉洁规定，如有违反，自愿按规定接受处罚。</w:t>
      </w:r>
    </w:p>
    <w:p>
      <w:pPr>
        <w:ind w:firstLine="660"/>
        <w:rPr>
          <w:rFonts w:ascii="仿宋_GB2312" w:hAnsi="仿宋_GB2312" w:eastAsia="仿宋_GB2312" w:cs="仿宋_GB2312"/>
          <w:sz w:val="28"/>
          <w:szCs w:val="28"/>
        </w:rPr>
      </w:pPr>
    </w:p>
    <w:p>
      <w:pPr>
        <w:ind w:firstLine="660"/>
        <w:rPr>
          <w:rFonts w:ascii="仿宋_GB2312" w:hAnsi="仿宋_GB2312" w:eastAsia="仿宋_GB2312" w:cs="仿宋_GB2312"/>
          <w:sz w:val="28"/>
          <w:szCs w:val="28"/>
        </w:rPr>
      </w:pP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承诺人法定名称（盖章）：</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承诺人法定地址：</w:t>
      </w:r>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授权代表（签字或盖章）：</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电话：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年    月    日</w:t>
      </w:r>
    </w:p>
    <w:p>
      <w:pPr>
        <w:widowControl/>
        <w:spacing w:line="360" w:lineRule="auto"/>
        <w:jc w:val="center"/>
        <w:rPr>
          <w:rFonts w:ascii="宋体" w:hAnsi="宋体"/>
          <w:b/>
          <w:sz w:val="28"/>
          <w:szCs w:val="28"/>
        </w:rPr>
      </w:pPr>
    </w:p>
    <w:p>
      <w:pPr>
        <w:widowControl/>
        <w:spacing w:line="360" w:lineRule="auto"/>
        <w:jc w:val="center"/>
        <w:rPr>
          <w:rFonts w:ascii="宋体" w:hAnsi="宋体"/>
          <w:b/>
          <w:sz w:val="28"/>
          <w:szCs w:val="28"/>
        </w:rPr>
      </w:pPr>
    </w:p>
    <w:p>
      <w:pPr>
        <w:widowControl/>
        <w:spacing w:line="360" w:lineRule="auto"/>
        <w:jc w:val="center"/>
        <w:rPr>
          <w:rFonts w:ascii="宋体" w:hAnsi="宋体"/>
          <w:b/>
          <w:sz w:val="28"/>
          <w:szCs w:val="28"/>
        </w:rPr>
      </w:pPr>
    </w:p>
    <w:p>
      <w:pPr>
        <w:widowControl/>
        <w:spacing w:line="360" w:lineRule="auto"/>
        <w:jc w:val="center"/>
        <w:rPr>
          <w:rFonts w:ascii="宋体" w:hAnsi="宋体"/>
          <w:b/>
          <w:sz w:val="28"/>
          <w:szCs w:val="28"/>
        </w:rPr>
        <w:sectPr>
          <w:pgSz w:w="11907" w:h="16840"/>
          <w:pgMar w:top="1440" w:right="1803" w:bottom="1440" w:left="1803" w:header="851" w:footer="992" w:gutter="0"/>
          <w:pgNumType w:fmt="numberInDash"/>
          <w:cols w:space="720" w:num="1"/>
          <w:docGrid w:linePitch="332" w:charSpace="0"/>
        </w:sectPr>
      </w:pPr>
    </w:p>
    <w:p>
      <w:pPr>
        <w:widowControl/>
        <w:spacing w:line="360" w:lineRule="auto"/>
        <w:jc w:val="center"/>
        <w:rPr>
          <w:rFonts w:ascii="宋体" w:hAnsi="宋体"/>
          <w:b/>
          <w:sz w:val="28"/>
          <w:szCs w:val="28"/>
        </w:rPr>
      </w:pPr>
      <w:r>
        <w:rPr>
          <w:rFonts w:hint="eastAsia" w:ascii="宋体" w:hAnsi="宋体"/>
          <w:b/>
          <w:sz w:val="28"/>
          <w:szCs w:val="28"/>
        </w:rPr>
        <w:t>分项报价一览表</w:t>
      </w:r>
    </w:p>
    <w:tbl>
      <w:tblPr>
        <w:tblStyle w:val="11"/>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供应商名称（公章）：</w:t>
            </w:r>
          </w:p>
        </w:tc>
        <w:tc>
          <w:tcPr>
            <w:tcW w:w="4536" w:type="dxa"/>
            <w:gridSpan w:val="2"/>
            <w:tcBorders>
              <w:top w:val="nil"/>
              <w:left w:val="nil"/>
              <w:bottom w:val="single" w:color="auto" w:sz="4" w:space="0"/>
              <w:right w:val="nil"/>
            </w:tcBorders>
            <w:vAlign w:val="center"/>
          </w:tcPr>
          <w:p>
            <w:pPr>
              <w:spacing w:line="360" w:lineRule="auto"/>
              <w:ind w:firstLine="567"/>
              <w:rPr>
                <w:rFonts w:ascii="仿宋_GB2312" w:hAnsi="宋体" w:eastAsia="仿宋_GB2312"/>
                <w:sz w:val="28"/>
                <w:szCs w:val="28"/>
              </w:rPr>
            </w:pPr>
          </w:p>
        </w:tc>
        <w:tc>
          <w:tcPr>
            <w:tcW w:w="850" w:type="dxa"/>
            <w:tcBorders>
              <w:top w:val="nil"/>
              <w:left w:val="nil"/>
              <w:bottom w:val="single" w:color="auto" w:sz="4" w:space="0"/>
              <w:right w:val="nil"/>
            </w:tcBorders>
            <w:vAlign w:val="center"/>
          </w:tcPr>
          <w:p>
            <w:pPr>
              <w:spacing w:line="360" w:lineRule="auto"/>
              <w:ind w:firstLine="567"/>
              <w:rPr>
                <w:rFonts w:ascii="仿宋_GB2312" w:hAnsi="宋体" w:eastAsia="仿宋_GB2312"/>
                <w:sz w:val="28"/>
                <w:szCs w:val="28"/>
              </w:rPr>
            </w:pPr>
          </w:p>
        </w:tc>
        <w:tc>
          <w:tcPr>
            <w:tcW w:w="993" w:type="dxa"/>
            <w:tcBorders>
              <w:top w:val="nil"/>
              <w:left w:val="nil"/>
              <w:bottom w:val="single" w:color="auto" w:sz="4" w:space="0"/>
              <w:right w:val="nil"/>
            </w:tcBorders>
            <w:vAlign w:val="center"/>
          </w:tcPr>
          <w:p>
            <w:pPr>
              <w:spacing w:line="360" w:lineRule="auto"/>
              <w:ind w:firstLine="567"/>
              <w:rPr>
                <w:rFonts w:ascii="仿宋_GB2312" w:hAnsi="宋体" w:eastAsia="仿宋_GB2312"/>
                <w:sz w:val="28"/>
                <w:szCs w:val="28"/>
              </w:rPr>
            </w:pPr>
          </w:p>
        </w:tc>
        <w:tc>
          <w:tcPr>
            <w:tcW w:w="2693" w:type="dxa"/>
            <w:gridSpan w:val="2"/>
            <w:tcBorders>
              <w:top w:val="nil"/>
              <w:left w:val="nil"/>
              <w:bottom w:val="single" w:color="auto" w:sz="4" w:space="0"/>
              <w:right w:val="nil"/>
            </w:tcBorders>
            <w:vAlign w:val="center"/>
          </w:tcPr>
          <w:p>
            <w:pPr>
              <w:spacing w:line="360" w:lineRule="auto"/>
              <w:ind w:firstLine="420" w:firstLineChars="150"/>
              <w:rPr>
                <w:rFonts w:ascii="仿宋_GB2312" w:hAnsi="宋体" w:eastAsia="仿宋_GB2312"/>
                <w:sz w:val="28"/>
                <w:szCs w:val="28"/>
              </w:rPr>
            </w:pPr>
            <w:r>
              <w:rPr>
                <w:rFonts w:hint="eastAsia" w:ascii="仿宋_GB2312" w:hAnsi="宋体" w:eastAsia="仿宋_GB2312"/>
                <w:sz w:val="28"/>
                <w:szCs w:val="28"/>
              </w:rPr>
              <w:t>项目编号：</w:t>
            </w:r>
          </w:p>
        </w:tc>
        <w:tc>
          <w:tcPr>
            <w:tcW w:w="1843" w:type="dxa"/>
            <w:tcBorders>
              <w:top w:val="nil"/>
              <w:left w:val="nil"/>
              <w:bottom w:val="single" w:color="auto" w:sz="4" w:space="0"/>
              <w:right w:val="nil"/>
            </w:tcBorders>
            <w:vAlign w:val="center"/>
          </w:tcPr>
          <w:p>
            <w:pPr>
              <w:spacing w:line="360" w:lineRule="auto"/>
              <w:rPr>
                <w:rFonts w:ascii="仿宋_GB2312" w:hAnsi="宋体" w:eastAsia="仿宋_GB2312"/>
                <w:sz w:val="28"/>
                <w:szCs w:val="28"/>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序号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投标单价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小计（元）</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rPr>
            </w:pPr>
            <w:r>
              <w:rPr>
                <w:rFonts w:hint="eastAsia" w:ascii="仿宋_GB2312" w:hAnsi="宋体" w:eastAsia="仿宋_GB2312"/>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1</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2</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r>
              <w:rPr>
                <w:rFonts w:hint="eastAsia" w:ascii="仿宋_GB2312" w:hAnsi="宋体" w:eastAsia="仿宋_GB2312"/>
                <w:sz w:val="28"/>
                <w:szCs w:val="28"/>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3</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r>
              <w:rPr>
                <w:rFonts w:hint="eastAsia" w:ascii="仿宋_GB2312" w:hAnsi="宋体" w:eastAsia="仿宋_GB2312"/>
                <w:sz w:val="28"/>
                <w:szCs w:val="28"/>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4</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r>
              <w:rPr>
                <w:rFonts w:hint="eastAsia" w:ascii="仿宋_GB2312" w:hAnsi="宋体" w:eastAsia="仿宋_GB2312"/>
                <w:sz w:val="28"/>
                <w:szCs w:val="28"/>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r>
              <w:rPr>
                <w:rFonts w:hint="eastAsia" w:ascii="仿宋_GB2312" w:hAnsi="宋体" w:eastAsia="仿宋_GB2312"/>
                <w:sz w:val="28"/>
                <w:szCs w:val="28"/>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p>
            <w:pPr>
              <w:spacing w:line="360" w:lineRule="auto"/>
              <w:ind w:firstLine="567"/>
              <w:rPr>
                <w:rFonts w:ascii="仿宋_GB2312" w:hAnsi="宋体" w:eastAsia="仿宋_GB2312"/>
                <w:sz w:val="28"/>
                <w:szCs w:val="28"/>
              </w:rPr>
            </w:pPr>
            <w:r>
              <w:rPr>
                <w:rFonts w:hint="eastAsia" w:ascii="仿宋_GB2312" w:hAnsi="宋体" w:eastAsia="仿宋_GB2312"/>
                <w:sz w:val="28"/>
                <w:szCs w:val="28"/>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仿宋_GB2312" w:hAnsi="宋体" w:eastAsia="仿宋_GB2312"/>
                <w:sz w:val="28"/>
                <w:szCs w:val="28"/>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投标报价金额合计（大写）：</w:t>
            </w:r>
          </w:p>
        </w:tc>
      </w:tr>
    </w:tbl>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法定代表人（负责人）或授权代表（签字）：                                   时间：       年      月     日</w:t>
      </w:r>
    </w:p>
    <w:p>
      <w:pPr>
        <w:spacing w:line="360" w:lineRule="auto"/>
        <w:rPr>
          <w:rFonts w:ascii="仿宋_GB2312" w:hAnsi="宋体" w:eastAsia="仿宋_GB2312"/>
          <w:sz w:val="28"/>
          <w:szCs w:val="28"/>
        </w:rPr>
        <w:sectPr>
          <w:pgSz w:w="16840" w:h="11907" w:orient="landscape"/>
          <w:pgMar w:top="1803" w:right="1440" w:bottom="1803" w:left="1440" w:header="851" w:footer="992" w:gutter="0"/>
          <w:pgNumType w:fmt="numberInDash"/>
          <w:cols w:space="720" w:num="1"/>
          <w:docGrid w:linePitch="332" w:charSpace="0"/>
        </w:sectPr>
      </w:pPr>
    </w:p>
    <w:p>
      <w:pPr>
        <w:spacing w:line="240" w:lineRule="atLeast"/>
        <w:rPr>
          <w:rFonts w:ascii="仿宋_GB2312" w:hAnsi="Courier New" w:eastAsia="仿宋_GB2312"/>
          <w:b/>
          <w:bCs/>
          <w:sz w:val="28"/>
          <w:szCs w:val="28"/>
        </w:rPr>
      </w:pPr>
    </w:p>
    <w:p>
      <w:pPr>
        <w:spacing w:line="240" w:lineRule="atLeast"/>
        <w:jc w:val="center"/>
        <w:rPr>
          <w:rFonts w:ascii="仿宋_GB2312" w:hAnsi="Courier New" w:eastAsia="仿宋_GB2312"/>
        </w:rPr>
      </w:pPr>
      <w:r>
        <w:rPr>
          <w:rFonts w:hint="eastAsia" w:ascii="仿宋_GB2312" w:hAnsi="Courier New" w:eastAsia="仿宋_GB2312"/>
          <w:b/>
          <w:bCs/>
          <w:sz w:val="28"/>
          <w:szCs w:val="28"/>
        </w:rPr>
        <w:t>技术偏差表</w:t>
      </w:r>
    </w:p>
    <w:p>
      <w:pPr>
        <w:spacing w:line="240" w:lineRule="atLeast"/>
        <w:ind w:left="1080" w:leftChars="257" w:hanging="540"/>
        <w:rPr>
          <w:rFonts w:ascii="仿宋_GB2312" w:hAnsi="Courier New" w:eastAsia="仿宋_GB2312"/>
          <w:sz w:val="28"/>
          <w:szCs w:val="28"/>
        </w:rPr>
      </w:pPr>
    </w:p>
    <w:p>
      <w:pPr>
        <w:spacing w:line="240" w:lineRule="atLeast"/>
        <w:ind w:left="1080" w:leftChars="257" w:hanging="540"/>
        <w:rPr>
          <w:rFonts w:ascii="仿宋_GB2312" w:hAnsi="Courier New" w:eastAsia="仿宋_GB2312"/>
          <w:sz w:val="28"/>
          <w:szCs w:val="28"/>
        </w:rPr>
      </w:pPr>
      <w:r>
        <w:rPr>
          <w:rFonts w:hint="eastAsia" w:ascii="仿宋_GB2312" w:hAnsi="Courier New" w:eastAsia="仿宋_GB2312"/>
          <w:sz w:val="28"/>
          <w:szCs w:val="28"/>
        </w:rPr>
        <w:t xml:space="preserve">项目名称:                      项目编号: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Courier New" w:eastAsia="仿宋_GB2312"/>
                <w:sz w:val="28"/>
                <w:szCs w:val="28"/>
              </w:rPr>
            </w:pPr>
            <w:r>
              <w:rPr>
                <w:rFonts w:hint="eastAsia" w:ascii="仿宋_GB2312" w:hAnsi="Courier New" w:eastAsia="仿宋_GB2312"/>
                <w:sz w:val="28"/>
                <w:szCs w:val="28"/>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Courier New" w:eastAsia="仿宋_GB2312"/>
                <w:sz w:val="28"/>
                <w:szCs w:val="28"/>
              </w:rPr>
            </w:pPr>
            <w:r>
              <w:rPr>
                <w:rFonts w:hint="eastAsia" w:ascii="仿宋_GB2312" w:hAnsi="Courier New" w:eastAsia="仿宋_GB2312"/>
                <w:sz w:val="28"/>
                <w:szCs w:val="28"/>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Courier New" w:eastAsia="仿宋_GB2312"/>
                <w:sz w:val="28"/>
                <w:szCs w:val="28"/>
              </w:rPr>
            </w:pPr>
            <w:r>
              <w:rPr>
                <w:rFonts w:hint="eastAsia" w:ascii="仿宋_GB2312" w:hAnsi="Courier New" w:eastAsia="仿宋_GB2312"/>
                <w:sz w:val="28"/>
                <w:szCs w:val="28"/>
              </w:rPr>
              <w:t>谈判文件 规格</w:t>
            </w:r>
          </w:p>
        </w:tc>
        <w:tc>
          <w:tcPr>
            <w:tcW w:w="133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Courier New" w:eastAsia="仿宋_GB2312"/>
                <w:sz w:val="28"/>
                <w:szCs w:val="28"/>
              </w:rPr>
            </w:pPr>
            <w:r>
              <w:rPr>
                <w:rFonts w:hint="eastAsia" w:ascii="仿宋_GB2312" w:hAnsi="Courier New" w:eastAsia="仿宋_GB2312"/>
                <w:sz w:val="28"/>
                <w:szCs w:val="28"/>
              </w:rPr>
              <w:t>响应文件规格</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Courier New" w:eastAsia="仿宋_GB2312"/>
                <w:sz w:val="28"/>
                <w:szCs w:val="28"/>
              </w:rPr>
            </w:pPr>
            <w:r>
              <w:rPr>
                <w:rFonts w:hint="eastAsia" w:ascii="仿宋_GB2312" w:hAnsi="Courier New" w:eastAsia="仿宋_GB2312"/>
                <w:sz w:val="28"/>
                <w:szCs w:val="28"/>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Courier New" w:eastAsia="仿宋_GB2312"/>
                <w:sz w:val="28"/>
                <w:szCs w:val="28"/>
              </w:rPr>
            </w:pPr>
            <w:r>
              <w:rPr>
                <w:rFonts w:hint="eastAsia" w:ascii="仿宋_GB2312" w:hAnsi="Courier New" w:eastAsia="仿宋_GB231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仿宋_GB2312" w:hAnsi="Courier New" w:eastAsia="仿宋_GB2312"/>
              </w:rPr>
            </w:pPr>
          </w:p>
        </w:tc>
      </w:tr>
    </w:tbl>
    <w:p>
      <w:pPr>
        <w:spacing w:line="360" w:lineRule="auto"/>
        <w:rPr>
          <w:rFonts w:ascii="仿宋_GB2312" w:hAnsi="宋体" w:eastAsia="仿宋_GB2312"/>
          <w:b/>
          <w:sz w:val="28"/>
          <w:szCs w:val="28"/>
        </w:rPr>
      </w:pPr>
      <w:r>
        <w:rPr>
          <w:rFonts w:hint="eastAsia" w:ascii="仿宋_GB2312" w:hAnsi="宋体" w:eastAsia="仿宋_GB2312"/>
          <w:b/>
          <w:sz w:val="28"/>
          <w:szCs w:val="28"/>
        </w:rPr>
        <w:t>供应商（公章）：    法定代表人（负责人）或授权代表（签字）：时间：年   月   日</w:t>
      </w:r>
    </w:p>
    <w:p>
      <w:pPr>
        <w:spacing w:line="360" w:lineRule="auto"/>
        <w:rPr>
          <w:rFonts w:ascii="仿宋" w:hAnsi="仿宋" w:eastAsia="仿宋" w:cs="仿宋"/>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商务偏差表</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项目名称：                        项目编号：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r>
              <w:rPr>
                <w:rFonts w:hint="eastAsia" w:ascii="仿宋_GB2312" w:hAnsi="宋体" w:eastAsia="仿宋_GB2312"/>
                <w:sz w:val="28"/>
                <w:szCs w:val="28"/>
              </w:rPr>
              <w:t>谈判文件</w:t>
            </w:r>
          </w:p>
          <w:p>
            <w:pPr>
              <w:spacing w:line="360" w:lineRule="auto"/>
              <w:rPr>
                <w:rFonts w:ascii="仿宋_GB2312" w:hAnsi="宋体" w:eastAsia="仿宋_GB2312"/>
                <w:sz w:val="28"/>
                <w:szCs w:val="28"/>
              </w:rPr>
            </w:pPr>
            <w:r>
              <w:rPr>
                <w:rFonts w:hint="eastAsia" w:ascii="仿宋_GB2312" w:hAnsi="宋体" w:eastAsia="仿宋_GB2312"/>
                <w:sz w:val="28"/>
                <w:szCs w:val="28"/>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仿宋_GB2312" w:hAnsi="宋体" w:eastAsia="仿宋_GB2312"/>
                <w:sz w:val="28"/>
                <w:szCs w:val="28"/>
              </w:rPr>
            </w:pPr>
            <w:r>
              <w:rPr>
                <w:rFonts w:hint="eastAsia" w:ascii="仿宋_GB2312" w:hAnsi="宋体" w:eastAsia="仿宋_GB2312"/>
                <w:sz w:val="28"/>
                <w:szCs w:val="28"/>
              </w:rPr>
              <w:t>响应文件商务条款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tcPr>
          <w:p>
            <w:pPr>
              <w:rPr>
                <w:rFonts w:ascii="仿宋_GB2312"/>
                <w:sz w:val="28"/>
                <w:szCs w:val="28"/>
              </w:rPr>
            </w:pPr>
          </w:p>
        </w:tc>
      </w:tr>
    </w:tbl>
    <w:p>
      <w:pPr>
        <w:spacing w:line="360" w:lineRule="auto"/>
        <w:rPr>
          <w:rFonts w:ascii="仿宋_GB2312" w:hAnsi="宋体" w:eastAsia="仿宋_GB2312"/>
          <w:b/>
          <w:sz w:val="28"/>
          <w:szCs w:val="28"/>
        </w:rPr>
      </w:pPr>
      <w:r>
        <w:rPr>
          <w:rFonts w:hint="eastAsia" w:ascii="仿宋_GB2312" w:hAnsi="宋体" w:eastAsia="仿宋_GB2312"/>
          <w:b/>
          <w:sz w:val="28"/>
          <w:szCs w:val="28"/>
        </w:rPr>
        <w:t>供应商（公章）：      法定代表人（负责人）或授权代表（签字）：</w:t>
      </w:r>
    </w:p>
    <w:p>
      <w:pPr>
        <w:spacing w:line="360" w:lineRule="auto"/>
        <w:rPr>
          <w:rFonts w:ascii="仿宋_GB2312" w:hAnsi="宋体" w:eastAsia="仿宋_GB2312"/>
          <w:b/>
          <w:sz w:val="28"/>
          <w:szCs w:val="28"/>
        </w:rPr>
      </w:pPr>
      <w:r>
        <w:rPr>
          <w:rFonts w:hint="eastAsia" w:ascii="仿宋_GB2312" w:hAnsi="宋体" w:eastAsia="仿宋_GB2312"/>
          <w:b/>
          <w:sz w:val="28"/>
          <w:szCs w:val="28"/>
        </w:rPr>
        <w:t>时间：年   月   日</w:t>
      </w:r>
    </w:p>
    <w:p>
      <w:pPr>
        <w:spacing w:line="360" w:lineRule="auto"/>
        <w:rPr>
          <w:rFonts w:ascii="仿宋_GB2312" w:hAnsi="仿宋_GB2312" w:eastAsia="仿宋_GB2312" w:cs="仿宋_GB2312"/>
          <w:b/>
          <w:spacing w:val="6"/>
          <w:kern w:val="15"/>
          <w:sz w:val="28"/>
          <w:szCs w:val="28"/>
        </w:rPr>
      </w:pPr>
    </w:p>
    <w:p>
      <w:pPr>
        <w:spacing w:line="360" w:lineRule="auto"/>
        <w:rPr>
          <w:rFonts w:ascii="仿宋_GB2312" w:hAnsi="仿宋_GB2312" w:eastAsia="仿宋_GB2312" w:cs="仿宋_GB2312"/>
          <w:b/>
          <w:spacing w:val="6"/>
          <w:kern w:val="15"/>
          <w:sz w:val="28"/>
          <w:szCs w:val="28"/>
        </w:rPr>
      </w:pPr>
    </w:p>
    <w:p>
      <w:pPr>
        <w:spacing w:line="360" w:lineRule="auto"/>
        <w:rPr>
          <w:rFonts w:ascii="仿宋_GB2312" w:hAnsi="仿宋_GB2312" w:eastAsia="仿宋_GB2312" w:cs="仿宋_GB2312"/>
          <w:b/>
          <w:spacing w:val="6"/>
          <w:kern w:val="15"/>
          <w:sz w:val="28"/>
          <w:szCs w:val="28"/>
        </w:rPr>
      </w:pPr>
    </w:p>
    <w:p>
      <w:pPr>
        <w:spacing w:line="360" w:lineRule="auto"/>
        <w:rPr>
          <w:rFonts w:ascii="仿宋_GB2312" w:hAnsi="仿宋_GB2312" w:eastAsia="仿宋_GB2312" w:cs="仿宋_GB2312"/>
          <w:b/>
          <w:spacing w:val="6"/>
          <w:kern w:val="15"/>
          <w:sz w:val="28"/>
          <w:szCs w:val="28"/>
        </w:rPr>
      </w:pPr>
    </w:p>
    <w:p>
      <w:pPr>
        <w:spacing w:line="360" w:lineRule="auto"/>
        <w:rPr>
          <w:rFonts w:ascii="仿宋_GB2312" w:hAnsi="仿宋_GB2312" w:eastAsia="仿宋_GB2312" w:cs="仿宋_GB2312"/>
          <w:b/>
          <w:spacing w:val="6"/>
          <w:kern w:val="15"/>
          <w:sz w:val="28"/>
          <w:szCs w:val="28"/>
        </w:rPr>
      </w:pPr>
      <w:r>
        <w:rPr>
          <w:rFonts w:hint="eastAsia" w:ascii="仿宋_GB2312" w:hAnsi="仿宋_GB2312" w:eastAsia="仿宋_GB2312" w:cs="仿宋_GB2312"/>
          <w:b/>
          <w:spacing w:val="6"/>
          <w:kern w:val="15"/>
          <w:sz w:val="28"/>
          <w:szCs w:val="28"/>
        </w:rPr>
        <w:t>中小企业声明函（如果是）（格式）</w:t>
      </w:r>
    </w:p>
    <w:p>
      <w:pPr>
        <w:spacing w:line="360" w:lineRule="auto"/>
        <w:ind w:firstLine="562" w:firstLineChars="200"/>
        <w:jc w:val="center"/>
        <w:rPr>
          <w:rFonts w:ascii="仿宋_GB2312" w:hAnsi="仿宋_GB2312" w:eastAsia="仿宋_GB2312" w:cs="仿宋_GB2312"/>
          <w:b/>
          <w:bCs/>
          <w:sz w:val="28"/>
          <w:szCs w:val="28"/>
        </w:rPr>
      </w:pPr>
    </w:p>
    <w:p>
      <w:pPr>
        <w:spacing w:line="360" w:lineRule="auto"/>
        <w:ind w:firstLine="562" w:firstLineChars="2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中小企业声明函（货物）</w:t>
      </w:r>
    </w:p>
    <w:p>
      <w:pPr>
        <w:spacing w:after="120" w:line="360" w:lineRule="auto"/>
        <w:rPr>
          <w:rFonts w:ascii="宋体"/>
          <w:b/>
          <w:sz w:val="20"/>
        </w:rPr>
      </w:pPr>
    </w:p>
    <w:p>
      <w:pPr>
        <w:spacing w:before="55" w:after="120" w:line="360" w:lineRule="auto"/>
        <w:ind w:right="415" w:firstLine="640"/>
        <w:rPr>
          <w:rFonts w:ascii="仿宋_GB2312" w:eastAsia="仿宋_GB2312"/>
          <w:spacing w:val="6"/>
          <w:sz w:val="28"/>
          <w:szCs w:val="28"/>
        </w:rPr>
      </w:pPr>
      <w:r>
        <w:rPr>
          <w:rFonts w:hint="eastAsia" w:ascii="仿宋_GB2312" w:eastAsia="仿宋_GB2312"/>
          <w:spacing w:val="6"/>
          <w:sz w:val="28"/>
          <w:szCs w:val="28"/>
        </w:rPr>
        <w:t>本公司（联合体）郑重声明，根据《政府采购促进中小企业发展管理办法》（财库</w:t>
      </w:r>
      <w:r>
        <w:rPr>
          <w:rFonts w:hint="eastAsia" w:ascii="仿宋_GB2312" w:hAnsi="仿宋_GB2312" w:eastAsia="仿宋_GB2312" w:cs="仿宋_GB2312"/>
          <w:sz w:val="28"/>
          <w:szCs w:val="28"/>
        </w:rPr>
        <w:t>〔2020〕</w:t>
      </w:r>
      <w:r>
        <w:rPr>
          <w:rFonts w:ascii="仿宋_GB2312" w:eastAsia="仿宋_GB2312"/>
          <w:spacing w:val="6"/>
          <w:sz w:val="28"/>
          <w:szCs w:val="28"/>
        </w:rPr>
        <w:t xml:space="preserve">46 </w:t>
      </w:r>
      <w:r>
        <w:rPr>
          <w:rFonts w:hint="eastAsia" w:ascii="仿宋_GB2312" w:eastAsia="仿宋_GB2312"/>
          <w:spacing w:val="6"/>
          <w:sz w:val="28"/>
          <w:szCs w:val="28"/>
        </w:rPr>
        <w:t>号）的规定，本公司</w:t>
      </w:r>
    </w:p>
    <w:p>
      <w:pPr>
        <w:spacing w:line="360" w:lineRule="auto"/>
        <w:ind w:left="220" w:right="415"/>
        <w:rPr>
          <w:rFonts w:ascii="仿宋_GB2312" w:eastAsia="仿宋_GB2312"/>
          <w:spacing w:val="6"/>
          <w:sz w:val="28"/>
          <w:szCs w:val="28"/>
        </w:rPr>
      </w:pPr>
      <w:r>
        <w:rPr>
          <w:rFonts w:hint="eastAsia" w:ascii="仿宋_GB2312" w:eastAsia="仿宋_GB2312"/>
          <w:spacing w:val="6"/>
          <w:sz w:val="28"/>
          <w:szCs w:val="28"/>
        </w:rPr>
        <w:t>（联合体）参加（单位名称）的（项目名称）采购活动，提     供的货物全部由符合政策要求的中小企业制造。相关企业</w:t>
      </w:r>
    </w:p>
    <w:p>
      <w:pPr>
        <w:spacing w:after="120" w:line="360" w:lineRule="auto"/>
        <w:ind w:right="405"/>
        <w:rPr>
          <w:rFonts w:ascii="仿宋_GB2312" w:eastAsia="仿宋_GB2312"/>
          <w:spacing w:val="6"/>
          <w:sz w:val="28"/>
          <w:szCs w:val="28"/>
        </w:rPr>
      </w:pPr>
      <w:r>
        <w:rPr>
          <w:rFonts w:hint="eastAsia" w:ascii="仿宋_GB2312" w:eastAsia="仿宋_GB2312"/>
          <w:spacing w:val="6"/>
          <w:sz w:val="28"/>
          <w:szCs w:val="28"/>
        </w:rPr>
        <w:t>（含联合体中的中小企业、签订分包意向协议的中小企业）的具体情况如下：</w:t>
      </w:r>
    </w:p>
    <w:p>
      <w:pPr>
        <w:tabs>
          <w:tab w:val="left" w:pos="1183"/>
          <w:tab w:val="left" w:pos="1484"/>
          <w:tab w:val="left" w:pos="4662"/>
          <w:tab w:val="left" w:pos="6903"/>
        </w:tabs>
        <w:autoSpaceDE w:val="0"/>
        <w:autoSpaceDN w:val="0"/>
        <w:spacing w:line="360" w:lineRule="auto"/>
        <w:ind w:left="-119" w:right="170" w:firstLine="584" w:firstLineChars="200"/>
        <w:contextualSpacing/>
        <w:rPr>
          <w:rFonts w:ascii="仿宋_GB2312" w:eastAsia="仿宋_GB2312"/>
          <w:spacing w:val="6"/>
          <w:sz w:val="28"/>
          <w:szCs w:val="28"/>
        </w:rPr>
      </w:pPr>
      <w:r>
        <w:rPr>
          <w:rFonts w:hint="eastAsia" w:ascii="仿宋_GB2312" w:eastAsia="仿宋_GB2312"/>
          <w:spacing w:val="6"/>
          <w:sz w:val="28"/>
          <w:szCs w:val="28"/>
        </w:rPr>
        <w:t xml:space="preserve">1、（ 标 的 名 称 ） ， </w:t>
      </w:r>
      <w:r>
        <w:rPr>
          <w:rFonts w:hint="eastAsia" w:ascii="仿宋_GB2312" w:eastAsia="仿宋_GB2312"/>
          <w:spacing w:val="6"/>
          <w:sz w:val="28"/>
          <w:szCs w:val="28"/>
          <w:u w:val="single"/>
        </w:rPr>
        <w:t>属 于 （ 采 购 文 件 中 明 确 的 所 属 行 业 ） 行业；</w:t>
      </w:r>
      <w:r>
        <w:rPr>
          <w:rFonts w:hint="eastAsia" w:ascii="仿宋_GB2312" w:eastAsia="仿宋_GB2312"/>
          <w:spacing w:val="6"/>
          <w:sz w:val="28"/>
          <w:szCs w:val="28"/>
        </w:rPr>
        <w:t>制造商为</w:t>
      </w:r>
      <w:r>
        <w:rPr>
          <w:rFonts w:hint="eastAsia" w:ascii="仿宋_GB2312" w:eastAsia="仿宋_GB2312"/>
          <w:spacing w:val="6"/>
          <w:sz w:val="28"/>
          <w:szCs w:val="28"/>
          <w:u w:val="single"/>
        </w:rPr>
        <w:t>（企业名称）</w:t>
      </w:r>
      <w:r>
        <w:rPr>
          <w:rFonts w:hint="eastAsia" w:ascii="仿宋_GB2312" w:eastAsia="仿宋_GB2312"/>
          <w:spacing w:val="6"/>
          <w:sz w:val="28"/>
          <w:szCs w:val="28"/>
        </w:rPr>
        <w:t>，从业人员</w:t>
      </w:r>
      <w:r>
        <w:rPr>
          <w:rFonts w:hint="eastAsia" w:ascii="仿宋_GB2312" w:eastAsia="仿宋_GB2312"/>
          <w:spacing w:val="6"/>
          <w:sz w:val="28"/>
          <w:szCs w:val="28"/>
          <w:u w:val="single"/>
        </w:rPr>
        <w:tab/>
      </w:r>
      <w:r>
        <w:rPr>
          <w:rFonts w:hint="eastAsia" w:ascii="仿宋_GB2312" w:eastAsia="仿宋_GB2312"/>
          <w:spacing w:val="6"/>
          <w:sz w:val="28"/>
          <w:szCs w:val="28"/>
        </w:rPr>
        <w:t>人，营业收入为</w:t>
      </w:r>
      <w:r>
        <w:rPr>
          <w:rFonts w:hint="eastAsia" w:ascii="仿宋_GB2312" w:eastAsia="仿宋_GB2312"/>
          <w:spacing w:val="6"/>
          <w:sz w:val="28"/>
          <w:szCs w:val="28"/>
          <w:u w:val="single"/>
        </w:rPr>
        <w:tab/>
      </w:r>
      <w:r>
        <w:rPr>
          <w:rFonts w:hint="eastAsia" w:ascii="仿宋_GB2312" w:eastAsia="仿宋_GB2312"/>
          <w:spacing w:val="6"/>
          <w:sz w:val="28"/>
          <w:szCs w:val="28"/>
        </w:rPr>
        <w:t>万元，资产总额为</w:t>
      </w:r>
      <w:r>
        <w:rPr>
          <w:rFonts w:hint="eastAsia" w:ascii="仿宋_GB2312" w:eastAsia="仿宋_GB2312"/>
          <w:spacing w:val="6"/>
          <w:sz w:val="28"/>
          <w:szCs w:val="28"/>
          <w:u w:val="single"/>
        </w:rPr>
        <w:tab/>
      </w:r>
      <w:r>
        <w:rPr>
          <w:rFonts w:hint="eastAsia" w:ascii="仿宋_GB2312" w:eastAsia="仿宋_GB2312"/>
          <w:spacing w:val="6"/>
          <w:sz w:val="28"/>
          <w:szCs w:val="28"/>
        </w:rPr>
        <w:t>万元，属于</w:t>
      </w:r>
      <w:r>
        <w:rPr>
          <w:rFonts w:hint="eastAsia" w:ascii="仿宋_GB2312" w:eastAsia="仿宋_GB2312"/>
          <w:spacing w:val="6"/>
          <w:sz w:val="28"/>
          <w:szCs w:val="28"/>
          <w:u w:val="single"/>
        </w:rPr>
        <w:t>（中型企业、小型企业、微型企业）</w:t>
      </w:r>
      <w:r>
        <w:rPr>
          <w:rFonts w:hint="eastAsia" w:ascii="仿宋_GB2312" w:eastAsia="仿宋_GB2312"/>
          <w:spacing w:val="6"/>
          <w:sz w:val="28"/>
          <w:szCs w:val="28"/>
        </w:rPr>
        <w:t>；</w:t>
      </w:r>
    </w:p>
    <w:p>
      <w:pPr>
        <w:tabs>
          <w:tab w:val="left" w:pos="1183"/>
          <w:tab w:val="left" w:pos="1484"/>
          <w:tab w:val="left" w:pos="4662"/>
          <w:tab w:val="left" w:pos="6903"/>
        </w:tabs>
        <w:autoSpaceDE w:val="0"/>
        <w:autoSpaceDN w:val="0"/>
        <w:spacing w:line="360" w:lineRule="auto"/>
        <w:ind w:left="-119" w:right="170" w:firstLine="584" w:firstLineChars="200"/>
        <w:contextualSpacing/>
        <w:rPr>
          <w:rFonts w:ascii="仿宋_GB2312" w:eastAsia="仿宋_GB2312"/>
          <w:spacing w:val="6"/>
          <w:sz w:val="28"/>
          <w:szCs w:val="28"/>
        </w:rPr>
      </w:pPr>
      <w:r>
        <w:rPr>
          <w:rFonts w:hint="eastAsia" w:ascii="仿宋_GB2312" w:eastAsia="仿宋_GB2312"/>
          <w:spacing w:val="6"/>
          <w:sz w:val="28"/>
          <w:szCs w:val="28"/>
        </w:rPr>
        <w:t>2、（ 标 的 名 称 ） ，</w:t>
      </w:r>
      <w:r>
        <w:rPr>
          <w:rFonts w:hint="eastAsia" w:ascii="仿宋_GB2312" w:eastAsia="仿宋_GB2312"/>
          <w:spacing w:val="6"/>
          <w:sz w:val="28"/>
          <w:szCs w:val="28"/>
          <w:u w:val="single"/>
        </w:rPr>
        <w:t xml:space="preserve"> 属 于 （ 采 购 文 件 中 明 确 的 所 属 行 业 ） 行业；</w:t>
      </w:r>
      <w:r>
        <w:rPr>
          <w:rFonts w:hint="eastAsia" w:ascii="仿宋_GB2312" w:eastAsia="仿宋_GB2312"/>
          <w:spacing w:val="6"/>
          <w:sz w:val="28"/>
          <w:szCs w:val="28"/>
        </w:rPr>
        <w:t>制造商为</w:t>
      </w:r>
      <w:r>
        <w:rPr>
          <w:rFonts w:hint="eastAsia" w:ascii="仿宋_GB2312" w:eastAsia="仿宋_GB2312"/>
          <w:spacing w:val="6"/>
          <w:sz w:val="28"/>
          <w:szCs w:val="28"/>
          <w:u w:val="single"/>
        </w:rPr>
        <w:t>（企业名称）</w:t>
      </w:r>
      <w:r>
        <w:rPr>
          <w:rFonts w:hint="eastAsia" w:ascii="仿宋_GB2312" w:eastAsia="仿宋_GB2312"/>
          <w:spacing w:val="6"/>
          <w:sz w:val="28"/>
          <w:szCs w:val="28"/>
        </w:rPr>
        <w:t>，从业人员</w:t>
      </w:r>
      <w:r>
        <w:rPr>
          <w:rFonts w:hint="eastAsia" w:ascii="仿宋_GB2312" w:eastAsia="仿宋_GB2312"/>
          <w:spacing w:val="6"/>
          <w:sz w:val="28"/>
          <w:szCs w:val="28"/>
          <w:u w:val="single"/>
        </w:rPr>
        <w:tab/>
      </w:r>
      <w:r>
        <w:rPr>
          <w:rFonts w:hint="eastAsia" w:ascii="仿宋_GB2312" w:eastAsia="仿宋_GB2312"/>
          <w:spacing w:val="6"/>
          <w:sz w:val="28"/>
          <w:szCs w:val="28"/>
        </w:rPr>
        <w:t>人，营业收入为</w:t>
      </w:r>
      <w:r>
        <w:rPr>
          <w:rFonts w:hint="eastAsia" w:ascii="仿宋_GB2312" w:eastAsia="仿宋_GB2312"/>
          <w:spacing w:val="6"/>
          <w:sz w:val="28"/>
          <w:szCs w:val="28"/>
          <w:u w:val="single"/>
        </w:rPr>
        <w:tab/>
      </w:r>
      <w:r>
        <w:rPr>
          <w:rFonts w:hint="eastAsia" w:ascii="仿宋_GB2312" w:eastAsia="仿宋_GB2312"/>
          <w:spacing w:val="6"/>
          <w:sz w:val="28"/>
          <w:szCs w:val="28"/>
        </w:rPr>
        <w:t>万元，资产总额为</w:t>
      </w:r>
      <w:r>
        <w:rPr>
          <w:rFonts w:hint="eastAsia" w:ascii="仿宋_GB2312" w:eastAsia="仿宋_GB2312"/>
          <w:spacing w:val="6"/>
          <w:sz w:val="28"/>
          <w:szCs w:val="28"/>
          <w:u w:val="single"/>
        </w:rPr>
        <w:tab/>
      </w:r>
      <w:r>
        <w:rPr>
          <w:rFonts w:hint="eastAsia" w:ascii="仿宋_GB2312" w:eastAsia="仿宋_GB2312"/>
          <w:spacing w:val="6"/>
          <w:sz w:val="28"/>
          <w:szCs w:val="28"/>
        </w:rPr>
        <w:t>万元，属于</w:t>
      </w:r>
      <w:r>
        <w:rPr>
          <w:rFonts w:hint="eastAsia" w:ascii="仿宋_GB2312" w:eastAsia="仿宋_GB2312"/>
          <w:spacing w:val="6"/>
          <w:sz w:val="28"/>
          <w:szCs w:val="28"/>
          <w:u w:val="single"/>
        </w:rPr>
        <w:t>（中型企业、小型企业、微型企业）</w:t>
      </w:r>
      <w:r>
        <w:rPr>
          <w:rFonts w:hint="eastAsia" w:ascii="仿宋_GB2312" w:eastAsia="仿宋_GB2312"/>
          <w:spacing w:val="6"/>
          <w:sz w:val="28"/>
          <w:szCs w:val="28"/>
        </w:rPr>
        <w:t>；</w:t>
      </w:r>
    </w:p>
    <w:p>
      <w:pPr>
        <w:spacing w:after="120" w:line="360" w:lineRule="auto"/>
        <w:ind w:left="860"/>
        <w:rPr>
          <w:spacing w:val="6"/>
          <w:sz w:val="28"/>
          <w:szCs w:val="28"/>
        </w:rPr>
      </w:pPr>
      <w:r>
        <w:rPr>
          <w:spacing w:val="6"/>
          <w:sz w:val="28"/>
          <w:szCs w:val="28"/>
        </w:rPr>
        <w:t>……</w:t>
      </w:r>
    </w:p>
    <w:p>
      <w:pPr>
        <w:spacing w:before="105" w:after="120" w:line="360" w:lineRule="auto"/>
        <w:ind w:right="417" w:firstLine="645"/>
        <w:rPr>
          <w:rFonts w:ascii="仿宋_GB2312" w:eastAsia="仿宋_GB2312"/>
          <w:spacing w:val="6"/>
          <w:sz w:val="28"/>
          <w:szCs w:val="28"/>
        </w:rPr>
      </w:pPr>
      <w:r>
        <w:rPr>
          <w:rFonts w:hint="eastAsia" w:ascii="仿宋_GB2312" w:eastAsia="仿宋_GB2312"/>
          <w:spacing w:val="6"/>
          <w:sz w:val="28"/>
          <w:szCs w:val="28"/>
        </w:rPr>
        <w:t>以上企业，不属于大企业的分支机构，不存在控股股东为大企业的情形，也不存在与大企业的负责人为同一人的情形。</w:t>
      </w:r>
    </w:p>
    <w:p>
      <w:pPr>
        <w:spacing w:after="120" w:line="360" w:lineRule="auto"/>
        <w:ind w:right="372" w:firstLine="645"/>
        <w:rPr>
          <w:rFonts w:ascii="仿宋_GB2312" w:eastAsia="仿宋_GB2312"/>
          <w:spacing w:val="6"/>
          <w:sz w:val="28"/>
          <w:szCs w:val="28"/>
        </w:rPr>
      </w:pPr>
      <w:r>
        <w:rPr>
          <w:rFonts w:hint="eastAsia" w:ascii="仿宋_GB2312" w:eastAsia="仿宋_GB2312"/>
          <w:spacing w:val="6"/>
          <w:sz w:val="28"/>
          <w:szCs w:val="28"/>
        </w:rPr>
        <w:t>本企业对上述声明内容的真实性负责。如有虚假，将依法承担相应责任。</w:t>
      </w:r>
    </w:p>
    <w:p>
      <w:pPr>
        <w:spacing w:after="120" w:line="360" w:lineRule="auto"/>
        <w:rPr>
          <w:rFonts w:ascii="仿宋_GB2312" w:eastAsia="仿宋_GB2312"/>
          <w:spacing w:val="6"/>
          <w:sz w:val="28"/>
          <w:szCs w:val="28"/>
        </w:rPr>
      </w:pPr>
      <w:r>
        <w:rPr>
          <w:rFonts w:hint="eastAsia" w:ascii="仿宋_GB2312" w:eastAsia="仿宋_GB2312"/>
          <w:spacing w:val="6"/>
          <w:sz w:val="28"/>
          <w:szCs w:val="28"/>
        </w:rPr>
        <w:t>企业名称（盖章）：                 日期：</w:t>
      </w:r>
    </w:p>
    <w:p>
      <w:pPr>
        <w:spacing w:line="360" w:lineRule="auto"/>
        <w:ind w:firstLine="562" w:firstLineChars="200"/>
        <w:jc w:val="center"/>
        <w:rPr>
          <w:rFonts w:ascii="仿宋_GB2312" w:hAnsi="仿宋_GB2312" w:eastAsia="仿宋_GB2312" w:cs="仿宋_GB2312"/>
          <w:b/>
          <w:sz w:val="28"/>
          <w:szCs w:val="28"/>
        </w:rPr>
      </w:pPr>
    </w:p>
    <w:p>
      <w:pPr>
        <w:spacing w:line="360" w:lineRule="auto"/>
        <w:ind w:firstLine="562" w:firstLineChars="200"/>
        <w:jc w:val="center"/>
        <w:rPr>
          <w:rFonts w:ascii="仿宋_GB2312" w:hAnsi="仿宋_GB2312" w:eastAsia="仿宋_GB2312" w:cs="仿宋_GB2312"/>
          <w:b/>
          <w:sz w:val="28"/>
          <w:szCs w:val="28"/>
        </w:rPr>
      </w:pPr>
    </w:p>
    <w:p>
      <w:pPr>
        <w:spacing w:line="360" w:lineRule="auto"/>
        <w:ind w:firstLine="562" w:firstLineChars="2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监狱企业声明函</w:t>
      </w:r>
    </w:p>
    <w:p>
      <w:pPr>
        <w:spacing w:after="120"/>
        <w:rPr>
          <w:rFonts w:ascii="仿宋_GB2312" w:hAnsi="仿宋_GB2312" w:eastAsia="仿宋_GB2312" w:cs="仿宋_GB2312"/>
          <w:b/>
          <w:sz w:val="28"/>
          <w:szCs w:val="28"/>
        </w:rPr>
      </w:pPr>
    </w:p>
    <w:p>
      <w:pPr>
        <w:spacing w:after="120" w:line="360" w:lineRule="auto"/>
        <w:ind w:firstLine="584"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本企业郑重声明，根据《财政部、司法部关于政府采购支持监狱企业发展有关问题的通知》（财库</w:t>
      </w:r>
      <w:r>
        <w:rPr>
          <w:rFonts w:hint="eastAsia" w:ascii="仿宋_GB2312" w:hAnsi="仿宋_GB2312" w:eastAsia="仿宋_GB2312" w:cs="仿宋_GB2312"/>
          <w:sz w:val="28"/>
          <w:szCs w:val="28"/>
        </w:rPr>
        <w:t>〔2014〕</w:t>
      </w:r>
      <w:r>
        <w:rPr>
          <w:rFonts w:hint="eastAsia" w:ascii="仿宋_GB2312" w:hAnsi="仿宋_GB2312" w:eastAsia="仿宋_GB2312" w:cs="仿宋_GB2312"/>
          <w:spacing w:val="6"/>
          <w:sz w:val="28"/>
          <w:szCs w:val="28"/>
        </w:rPr>
        <w:t>68号），本企业______（是、不是）监狱企业。后附省级以上监狱管理局、戒毒管理局（含新疆生产建设兵团）出具的属于监狱企业证明文件。</w:t>
      </w:r>
    </w:p>
    <w:p>
      <w:pPr>
        <w:spacing w:line="360" w:lineRule="auto"/>
        <w:ind w:firstLine="584" w:firstLineChars="200"/>
        <w:rPr>
          <w:rFonts w:ascii="仿宋_GB2312" w:hAnsi="仿宋_GB2312" w:eastAsia="仿宋_GB2312" w:cs="仿宋_GB2312"/>
          <w:bCs/>
          <w:sz w:val="28"/>
          <w:szCs w:val="28"/>
        </w:rPr>
      </w:pPr>
      <w:r>
        <w:rPr>
          <w:rFonts w:hint="eastAsia" w:ascii="仿宋_GB2312" w:hAnsi="仿宋_GB2312" w:eastAsia="仿宋_GB2312" w:cs="仿宋_GB2312"/>
          <w:spacing w:val="6"/>
          <w:sz w:val="28"/>
          <w:szCs w:val="28"/>
        </w:rPr>
        <w:t>本企业对上述声明的真实性负责。如有虚假，将依法承担相应责任。</w:t>
      </w:r>
    </w:p>
    <w:p>
      <w:pPr>
        <w:pStyle w:val="5"/>
        <w:spacing w:before="0" w:line="360" w:lineRule="auto"/>
        <w:ind w:firstLine="562" w:firstLineChars="200"/>
        <w:rPr>
          <w:rFonts w:ascii="仿宋_GB2312" w:hAnsi="仿宋_GB2312" w:eastAsia="仿宋_GB2312" w:cs="仿宋_GB2312"/>
          <w:kern w:val="2"/>
          <w:sz w:val="28"/>
          <w:szCs w:val="28"/>
        </w:rPr>
      </w:pPr>
    </w:p>
    <w:p>
      <w:pPr>
        <w:pStyle w:val="5"/>
        <w:spacing w:before="0" w:line="360" w:lineRule="auto"/>
        <w:ind w:firstLine="562" w:firstLineChars="200"/>
        <w:rPr>
          <w:rFonts w:ascii="仿宋_GB2312" w:hAnsi="仿宋_GB2312" w:eastAsia="仿宋_GB2312" w:cs="仿宋_GB2312"/>
          <w:sz w:val="28"/>
          <w:szCs w:val="28"/>
        </w:rPr>
      </w:pPr>
    </w:p>
    <w:p>
      <w:pPr>
        <w:pStyle w:val="5"/>
        <w:spacing w:before="0"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残疾人福利性单位声明函</w:t>
      </w:r>
    </w:p>
    <w:p>
      <w:pPr>
        <w:spacing w:line="360" w:lineRule="auto"/>
        <w:ind w:firstLine="560" w:firstLineChars="200"/>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
    <w:p/>
    <w:p>
      <w:pPr>
        <w:autoSpaceDE w:val="0"/>
        <w:autoSpaceDN w:val="0"/>
        <w:adjustRightInd w:val="0"/>
        <w:spacing w:line="360" w:lineRule="auto"/>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按照南阳市财政局《关于在政府采购活动中试行供应商资格信用承诺制的通知》宛财购</w:t>
      </w:r>
      <w:r>
        <w:rPr>
          <w:rFonts w:hint="eastAsia" w:ascii="仿宋_GB2312" w:hAnsi="仿宋_GB2312" w:eastAsia="仿宋_GB2312" w:cs="仿宋_GB2312"/>
          <w:b/>
          <w:bCs/>
          <w:sz w:val="28"/>
          <w:szCs w:val="28"/>
        </w:rPr>
        <w:t>〔2021〕</w:t>
      </w:r>
      <w:r>
        <w:rPr>
          <w:rFonts w:hint="eastAsia" w:ascii="仿宋_GB2312" w:hAnsi="仿宋_GB2312" w:eastAsia="仿宋_GB2312" w:cs="仿宋_GB2312"/>
          <w:b/>
          <w:sz w:val="28"/>
          <w:szCs w:val="28"/>
        </w:rPr>
        <w:t>12号的要求，供应商在制作、递交响应文件时，按照规定提供“南阳市政府采购供应商信用承诺函”（详见附件）的，无需再提交以下承诺书格式中所述证明材料”。供应商在成交后，应将上述由信用承诺书替代的证明材料提交政府采购中心，证明材料将随公告一并公示。</w:t>
      </w:r>
    </w:p>
    <w:p>
      <w:pPr>
        <w:pStyle w:val="6"/>
        <w:spacing w:line="360" w:lineRule="auto"/>
        <w:ind w:firstLine="1807" w:firstLineChars="600"/>
        <w:rPr>
          <w:rFonts w:ascii="仿宋_GB2312" w:hAnsi="仿宋_GB2312" w:eastAsia="仿宋_GB2312" w:cs="仿宋_GB2312"/>
          <w:b/>
          <w:kern w:val="0"/>
          <w:sz w:val="28"/>
          <w:szCs w:val="28"/>
          <w:lang w:bidi="en-US"/>
        </w:rPr>
      </w:pPr>
    </w:p>
    <w:p>
      <w:pPr>
        <w:pStyle w:val="6"/>
        <w:spacing w:line="360" w:lineRule="auto"/>
        <w:ind w:firstLine="1759" w:firstLineChars="600"/>
        <w:rPr>
          <w:rFonts w:ascii="仿宋_GB2312" w:hAnsi="仿宋_GB2312" w:eastAsia="仿宋_GB2312" w:cs="仿宋_GB2312"/>
          <w:b/>
          <w:bCs/>
          <w:sz w:val="28"/>
          <w:szCs w:val="28"/>
          <w:lang w:val="zh-CN"/>
        </w:rPr>
      </w:pPr>
      <w:r>
        <w:rPr>
          <w:rFonts w:hint="eastAsia" w:ascii="仿宋_GB2312" w:hAnsi="仿宋_GB2312" w:eastAsia="仿宋_GB2312" w:cs="仿宋_GB2312"/>
          <w:b/>
          <w:spacing w:val="6"/>
          <w:sz w:val="28"/>
          <w:szCs w:val="28"/>
        </w:rPr>
        <w:t>南阳市政府采购供应商信用承诺函（格式）</w:t>
      </w:r>
    </w:p>
    <w:p>
      <w:pPr>
        <w:autoSpaceDE w:val="0"/>
        <w:autoSpaceDN w:val="0"/>
        <w:adjustRightInd w:val="0"/>
        <w:spacing w:line="360" w:lineRule="auto"/>
        <w:rPr>
          <w:rFonts w:ascii="仿宋_GB2312" w:hAnsi="仿宋_GB2312" w:eastAsia="仿宋_GB2312" w:cs="仿宋_GB2312"/>
          <w:spacing w:val="6"/>
          <w:sz w:val="28"/>
          <w:szCs w:val="28"/>
        </w:rPr>
      </w:pPr>
    </w:p>
    <w:p>
      <w:pPr>
        <w:autoSpaceDE w:val="0"/>
        <w:autoSpaceDN w:val="0"/>
        <w:adjustRightInd w:val="0"/>
        <w:spacing w:line="360" w:lineRule="auto"/>
        <w:ind w:firstLine="584"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致（采购人或南阳市政府采购中心）：</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单位名称：</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统一社会信用代码：</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法定代表人：</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联系地址和电话：</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autoSpaceDE w:val="0"/>
        <w:autoSpaceDN w:val="0"/>
        <w:adjustRightInd w:val="0"/>
        <w:spacing w:line="360" w:lineRule="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（一）具有独立承担民事责任的能力；</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（二）具有良好的商业信誉和健全的财务会计制度；</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（三）具有履行合同所必需的设备和专业技术能力；</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（四）有依法缴纳税收和社会保障资金的良好记录；</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（五）参加政府采购活动前三年内，在经营活动中没有重大违法记录；</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（六）法律、行政法规规定的其他条件。</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我单位保证上述承诺事项的真实性，如有弄虚作假或其他违法违规行为，愿意承担一切法律责任，并承担因此所造成的一切损失。</w:t>
      </w:r>
    </w:p>
    <w:p>
      <w:pPr>
        <w:autoSpaceDE w:val="0"/>
        <w:autoSpaceDN w:val="0"/>
        <w:adjustRightInd w:val="0"/>
        <w:spacing w:line="360" w:lineRule="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投标人（企业电子章）：</w:t>
      </w:r>
    </w:p>
    <w:p>
      <w:pPr>
        <w:autoSpaceDE w:val="0"/>
        <w:autoSpaceDN w:val="0"/>
        <w:adjustRightInd w:val="0"/>
        <w:spacing w:line="360" w:lineRule="auto"/>
        <w:ind w:firstLine="1460" w:firstLineChars="5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法定代表人或授权代表（签字或电子印章）：</w:t>
      </w:r>
    </w:p>
    <w:p>
      <w:pPr>
        <w:autoSpaceDE w:val="0"/>
        <w:autoSpaceDN w:val="0"/>
        <w:adjustRightInd w:val="0"/>
        <w:spacing w:line="360" w:lineRule="auto"/>
        <w:ind w:firstLine="64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日期：        年     月    日</w:t>
      </w:r>
    </w:p>
    <w:p>
      <w:pPr>
        <w:autoSpaceDE w:val="0"/>
        <w:autoSpaceDN w:val="0"/>
        <w:adjustRightInd w:val="0"/>
        <w:spacing w:line="360" w:lineRule="auto"/>
        <w:rPr>
          <w:rFonts w:ascii="仿宋_GB2312" w:hAnsi="仿宋_GB2312" w:eastAsia="仿宋_GB2312" w:cs="仿宋_GB2312"/>
          <w:spacing w:val="6"/>
          <w:sz w:val="28"/>
          <w:szCs w:val="28"/>
        </w:rPr>
      </w:pPr>
    </w:p>
    <w:p>
      <w:pPr>
        <w:autoSpaceDE w:val="0"/>
        <w:autoSpaceDN w:val="0"/>
        <w:adjustRightInd w:val="0"/>
        <w:spacing w:line="360" w:lineRule="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注：</w:t>
      </w:r>
    </w:p>
    <w:p>
      <w:pPr>
        <w:autoSpaceDE w:val="0"/>
        <w:autoSpaceDN w:val="0"/>
        <w:adjustRightInd w:val="0"/>
        <w:spacing w:line="360" w:lineRule="auto"/>
        <w:ind w:firstLine="584"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1、投标人须在投标文件中按此模板提供承诺函，未提供视为未实质性响应招标文件要求，按无效投标处理。</w:t>
      </w:r>
    </w:p>
    <w:p>
      <w:pPr>
        <w:autoSpaceDE w:val="0"/>
        <w:autoSpaceDN w:val="0"/>
        <w:adjustRightInd w:val="0"/>
        <w:spacing w:line="360" w:lineRule="auto"/>
        <w:ind w:firstLine="584"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2、投标人的法定代表人或者授权代表的签字或盖章应真实、有效，如由授权代表签字或盖章的，应提供“法定代表人授权书”。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- 32 -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i/>
        <w:sz w:val="20"/>
      </w:rPr>
    </w:pPr>
    <w:r>
      <w:rPr>
        <w:rFonts w:hint="eastAsia"/>
        <w:i/>
        <w:sz w:val="20"/>
      </w:rPr>
      <w:t>公开、公平、公正南阳市政府采购中心文件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i/>
        <w:sz w:val="20"/>
      </w:rPr>
    </w:pPr>
    <w:r>
      <w:rPr>
        <w:rFonts w:hint="eastAsia"/>
        <w:i/>
        <w:sz w:val="20"/>
      </w:rPr>
      <w:t>公开、公平、公正南阳市政府采购中心文件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D581C"/>
    <w:multiLevelType w:val="singleLevel"/>
    <w:tmpl w:val="C5AD581C"/>
    <w:lvl w:ilvl="0" w:tentative="0">
      <w:start w:val="1"/>
      <w:numFmt w:val="decimal"/>
      <w:suff w:val="nothing"/>
      <w:lvlText w:val="%1、"/>
      <w:lvlJc w:val="left"/>
    </w:lvl>
  </w:abstractNum>
  <w:abstractNum w:abstractNumId="1">
    <w:nsid w:val="1B8F102E"/>
    <w:multiLevelType w:val="singleLevel"/>
    <w:tmpl w:val="1B8F102E"/>
    <w:lvl w:ilvl="0" w:tentative="0">
      <w:start w:val="1"/>
      <w:numFmt w:val="decimal"/>
      <w:pStyle w:val="14"/>
      <w:suff w:val="nothing"/>
      <w:lvlText w:val="%1、"/>
      <w:lvlJc w:val="left"/>
      <w:pPr>
        <w:tabs>
          <w:tab w:val="left" w:pos="307"/>
        </w:tabs>
        <w:ind w:left="307" w:firstLine="403"/>
      </w:pPr>
      <w:rPr>
        <w:rFonts w:hint="default"/>
      </w:rPr>
    </w:lvl>
  </w:abstractNum>
  <w:abstractNum w:abstractNumId="2">
    <w:nsid w:val="1FA947D1"/>
    <w:multiLevelType w:val="singleLevel"/>
    <w:tmpl w:val="1FA947D1"/>
    <w:lvl w:ilvl="0" w:tentative="0">
      <w:start w:val="14"/>
      <w:numFmt w:val="chineseCounting"/>
      <w:suff w:val="nothing"/>
      <w:lvlText w:val="%1、"/>
      <w:lvlJc w:val="left"/>
      <w:pPr>
        <w:ind w:left="62"/>
      </w:pPr>
      <w:rPr>
        <w:rFonts w:hint="eastAsia"/>
        <w:b/>
        <w:bCs/>
      </w:rPr>
    </w:lvl>
  </w:abstractNum>
  <w:abstractNum w:abstractNumId="3">
    <w:nsid w:val="43F27CB2"/>
    <w:multiLevelType w:val="singleLevel"/>
    <w:tmpl w:val="43F27CB2"/>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DFjOGEyNWRlYTNkMjA0OTNkYmM2YTBlNjc3YTEifQ=="/>
  </w:docVars>
  <w:rsids>
    <w:rsidRoot w:val="00534998"/>
    <w:rsid w:val="000559AC"/>
    <w:rsid w:val="000F22E4"/>
    <w:rsid w:val="00125F1B"/>
    <w:rsid w:val="00181D70"/>
    <w:rsid w:val="002E67D0"/>
    <w:rsid w:val="00393BDD"/>
    <w:rsid w:val="003B0B79"/>
    <w:rsid w:val="003B35B6"/>
    <w:rsid w:val="003D11FB"/>
    <w:rsid w:val="00415E00"/>
    <w:rsid w:val="00436C35"/>
    <w:rsid w:val="004F2618"/>
    <w:rsid w:val="00534998"/>
    <w:rsid w:val="00540467"/>
    <w:rsid w:val="00584E72"/>
    <w:rsid w:val="005F1589"/>
    <w:rsid w:val="006468DF"/>
    <w:rsid w:val="00660E37"/>
    <w:rsid w:val="0069535F"/>
    <w:rsid w:val="006B7320"/>
    <w:rsid w:val="006C2F6D"/>
    <w:rsid w:val="00704BEA"/>
    <w:rsid w:val="0082149F"/>
    <w:rsid w:val="00835CEB"/>
    <w:rsid w:val="00845833"/>
    <w:rsid w:val="008D0005"/>
    <w:rsid w:val="008F4017"/>
    <w:rsid w:val="00940C82"/>
    <w:rsid w:val="00A45362"/>
    <w:rsid w:val="00AF12AF"/>
    <w:rsid w:val="00AF3E3A"/>
    <w:rsid w:val="00B831F9"/>
    <w:rsid w:val="00BD10A1"/>
    <w:rsid w:val="00BD14ED"/>
    <w:rsid w:val="00C52295"/>
    <w:rsid w:val="00C809F5"/>
    <w:rsid w:val="00CF1843"/>
    <w:rsid w:val="00D02153"/>
    <w:rsid w:val="00E1038C"/>
    <w:rsid w:val="00E923D4"/>
    <w:rsid w:val="00EE4BAC"/>
    <w:rsid w:val="00EE7823"/>
    <w:rsid w:val="00F3299F"/>
    <w:rsid w:val="00F37263"/>
    <w:rsid w:val="00F8561C"/>
    <w:rsid w:val="00F87371"/>
    <w:rsid w:val="00FC6A5B"/>
    <w:rsid w:val="00FE50BB"/>
    <w:rsid w:val="04A6722D"/>
    <w:rsid w:val="05226A35"/>
    <w:rsid w:val="124D4398"/>
    <w:rsid w:val="16841A14"/>
    <w:rsid w:val="1C842796"/>
    <w:rsid w:val="1F2B4B6E"/>
    <w:rsid w:val="2CC36D5A"/>
    <w:rsid w:val="2E98771F"/>
    <w:rsid w:val="34EB3941"/>
    <w:rsid w:val="3EED5EB7"/>
    <w:rsid w:val="529A0D6F"/>
    <w:rsid w:val="557A2F05"/>
    <w:rsid w:val="5C4B5BF3"/>
    <w:rsid w:val="5C773D7E"/>
    <w:rsid w:val="651B3DDB"/>
    <w:rsid w:val="70527C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
    <w:unhideWhenUsed/>
    <w:qFormat/>
    <w:uiPriority w:val="99"/>
    <w:pPr>
      <w:tabs>
        <w:tab w:val="left" w:pos="0"/>
      </w:tabs>
      <w:spacing w:after="120"/>
      <w:ind w:left="420" w:leftChars="200" w:firstLine="420" w:firstLineChars="200"/>
    </w:pPr>
    <w:rPr>
      <w:spacing w:val="-4"/>
      <w:sz w:val="21"/>
    </w:rPr>
  </w:style>
  <w:style w:type="paragraph" w:styleId="3">
    <w:name w:val="Body Text Indent"/>
    <w:basedOn w:val="1"/>
    <w:next w:val="4"/>
    <w:qFormat/>
    <w:uiPriority w:val="0"/>
    <w:pPr>
      <w:tabs>
        <w:tab w:val="left" w:pos="0"/>
      </w:tabs>
      <w:ind w:firstLine="538" w:firstLineChars="192"/>
    </w:pPr>
    <w:rPr>
      <w:sz w:val="28"/>
    </w:rPr>
  </w:style>
  <w:style w:type="paragraph" w:styleId="4">
    <w:name w:val="envelope return"/>
    <w:basedOn w:val="1"/>
    <w:qFormat/>
    <w:uiPriority w:val="0"/>
    <w:pPr>
      <w:tabs>
        <w:tab w:val="left" w:pos="0"/>
      </w:tabs>
      <w:snapToGrid w:val="0"/>
    </w:pPr>
    <w:rPr>
      <w:rFonts w:ascii="Arial" w:hAnsi="Arial"/>
    </w:rPr>
  </w:style>
  <w:style w:type="paragraph" w:styleId="6">
    <w:name w:val="Body Text"/>
    <w:basedOn w:val="1"/>
    <w:next w:val="7"/>
    <w:qFormat/>
    <w:uiPriority w:val="99"/>
    <w:rPr>
      <w:spacing w:val="10"/>
      <w:sz w:val="32"/>
    </w:rPr>
  </w:style>
  <w:style w:type="paragraph" w:customStyle="1" w:styleId="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next w:val="2"/>
    <w:qFormat/>
    <w:uiPriority w:val="0"/>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1、 2、 3、缩进"/>
    <w:basedOn w:val="1"/>
    <w:qFormat/>
    <w:uiPriority w:val="0"/>
    <w:pPr>
      <w:numPr>
        <w:ilvl w:val="0"/>
        <w:numId w:val="1"/>
      </w:numPr>
      <w:tabs>
        <w:tab w:val="left" w:pos="0"/>
      </w:tabs>
      <w:ind w:firstLine="1928" w:firstLineChars="200"/>
    </w:pPr>
    <w:rPr>
      <w:rFonts w:asciiTheme="minorHAnsi" w:hAnsiTheme="minorHAnsi"/>
      <w:lang w:eastAsia="en-US" w:bidi="en-US"/>
    </w:rPr>
  </w:style>
  <w:style w:type="paragraph" w:customStyle="1" w:styleId="15">
    <w:name w:val="Char12"/>
    <w:basedOn w:val="1"/>
    <w:qFormat/>
    <w:uiPriority w:val="0"/>
  </w:style>
  <w:style w:type="paragraph" w:customStyle="1" w:styleId="16">
    <w:name w:val="列表段落1"/>
    <w:basedOn w:val="1"/>
    <w:qFormat/>
    <w:uiPriority w:val="99"/>
    <w:pPr>
      <w:ind w:firstLine="420" w:firstLineChars="200"/>
    </w:pPr>
  </w:style>
  <w:style w:type="character" w:customStyle="1" w:styleId="17">
    <w:name w:val="正文首行缩进 2 字符"/>
    <w:basedOn w:val="13"/>
    <w:link w:val="2"/>
    <w:qFormat/>
    <w:uiPriority w:val="99"/>
    <w:rPr>
      <w:rFonts w:ascii="Times New Roman" w:hAnsi="Times New Roman" w:eastAsia="宋体" w:cs="Times New Roman"/>
      <w:spacing w:val="-4"/>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21DAC-0A1A-4151-BCC4-62C154D54125}">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55</Pages>
  <Words>26054</Words>
  <Characters>27950</Characters>
  <Lines>249</Lines>
  <Paragraphs>70</Paragraphs>
  <TotalTime>628</TotalTime>
  <ScaleCrop>false</ScaleCrop>
  <LinksUpToDate>false</LinksUpToDate>
  <CharactersWithSpaces>29473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2023-12-03T09:19:00Z</dcterms:created>
  <dc:creator>Administrator</dc:creator>
  <cp:lastModifiedBy>戏子</cp:lastModifiedBy>
  <cp:lastPrinted>2023-12-03T09:16:00Z</cp:lastPrinted>
  <dcterms:modified xsi:type="dcterms:W3CDTF">2023-12-06T10:13:36Z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ACB30EFF4EA741D8955EC5ED747E19FF_13</vt:lpwstr>
  </property>
</Properties>
</file>