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28"/>
        </w:tabs>
        <w:spacing w:line="360" w:lineRule="auto"/>
        <w:ind w:right="363"/>
        <w:jc w:val="both"/>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6072505" cy="8893810"/>
            <wp:effectExtent l="0" t="0" r="4445" b="2540"/>
            <wp:docPr id="4" name="图片 4" descr="89512fa8cd0ee2f24432c38479cb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9512fa8cd0ee2f24432c38479cb900"/>
                    <pic:cNvPicPr>
                      <a:picLocks noChangeAspect="1"/>
                    </pic:cNvPicPr>
                  </pic:nvPicPr>
                  <pic:blipFill>
                    <a:blip r:embed="rId6"/>
                    <a:stretch>
                      <a:fillRect/>
                    </a:stretch>
                  </pic:blipFill>
                  <pic:spPr>
                    <a:xfrm>
                      <a:off x="0" y="0"/>
                      <a:ext cx="6072505" cy="8893810"/>
                    </a:xfrm>
                    <a:prstGeom prst="rect">
                      <a:avLst/>
                    </a:prstGeom>
                  </pic:spPr>
                </pic:pic>
              </a:graphicData>
            </a:graphic>
          </wp:inline>
        </w:drawing>
      </w:r>
    </w:p>
    <w:sdt>
      <w:sdtPr>
        <w:rPr>
          <w:rFonts w:ascii="宋体" w:hAnsi="宋体" w:eastAsia="宋体" w:cstheme="minorBidi"/>
          <w:b/>
          <w:bCs/>
          <w:sz w:val="48"/>
          <w:szCs w:val="48"/>
          <w:lang w:val="en-US" w:eastAsia="en-US" w:bidi="ar-SA"/>
        </w:rPr>
        <w:id w:val="147479900"/>
        <w15:color w:val="DBDBDB"/>
        <w:docPartObj>
          <w:docPartGallery w:val="Table of Contents"/>
          <w:docPartUnique/>
        </w:docPartObj>
      </w:sdtPr>
      <w:sdtEndPr>
        <w:rPr>
          <w:rFonts w:ascii="宋体" w:hAnsi="宋体" w:eastAsia="宋体" w:cstheme="minorBidi"/>
          <w:b/>
          <w:bCs/>
          <w:sz w:val="48"/>
          <w:szCs w:val="48"/>
          <w:lang w:val="en-US" w:eastAsia="en-US" w:bidi="ar-SA"/>
        </w:rPr>
      </w:sdtEndPr>
      <w:sdtContent>
        <w:p>
          <w:pPr>
            <w:jc w:val="center"/>
            <w:rPr>
              <w:szCs w:val="24"/>
            </w:rPr>
          </w:pPr>
          <w:r>
            <w:rPr>
              <w:rFonts w:ascii="宋体" w:hAnsi="宋体" w:eastAsia="宋体"/>
              <w:b/>
              <w:bCs/>
              <w:sz w:val="48"/>
              <w:szCs w:val="48"/>
            </w:rPr>
            <w:t>目</w:t>
          </w:r>
          <w:r>
            <w:rPr>
              <w:rFonts w:hint="eastAsia" w:ascii="宋体" w:hAnsi="宋体" w:eastAsia="宋体"/>
              <w:b/>
              <w:bCs/>
              <w:sz w:val="48"/>
              <w:szCs w:val="48"/>
              <w:lang w:val="en-US" w:eastAsia="zh-CN"/>
            </w:rPr>
            <w:t xml:space="preserve"> </w:t>
          </w:r>
          <w:r>
            <w:rPr>
              <w:rFonts w:ascii="宋体" w:hAnsi="宋体" w:eastAsia="宋体"/>
              <w:b/>
              <w:bCs/>
              <w:sz w:val="48"/>
              <w:szCs w:val="48"/>
            </w:rPr>
            <w:t>录</w:t>
          </w:r>
          <w:r>
            <w:rPr>
              <w:sz w:val="24"/>
              <w:szCs w:val="24"/>
            </w:rPr>
            <w:fldChar w:fldCharType="begin"/>
          </w:r>
          <w:r>
            <w:rPr>
              <w:sz w:val="24"/>
              <w:szCs w:val="24"/>
            </w:rPr>
            <w:instrText xml:space="preserve">TOC \o "1-2" \h \u </w:instrText>
          </w:r>
          <w:r>
            <w:rPr>
              <w:sz w:val="24"/>
              <w:szCs w:val="24"/>
            </w:rPr>
            <w:fldChar w:fldCharType="separate"/>
          </w:r>
        </w:p>
        <w:p>
          <w:pPr>
            <w:pStyle w:val="19"/>
            <w:tabs>
              <w:tab w:val="right" w:leader="dot" w:pos="9370"/>
            </w:tabs>
          </w:pPr>
          <w:r>
            <w:rPr>
              <w:rFonts w:hint="eastAsia"/>
              <w:szCs w:val="24"/>
              <w:lang w:val="en-US" w:eastAsia="zh-CN"/>
            </w:rPr>
            <w:t xml:space="preserve">第一部分 </w:t>
          </w:r>
          <w:r>
            <w:rPr>
              <w:szCs w:val="24"/>
            </w:rPr>
            <w:fldChar w:fldCharType="begin"/>
          </w:r>
          <w:r>
            <w:rPr>
              <w:szCs w:val="24"/>
            </w:rPr>
            <w:instrText xml:space="preserve"> HYPERLINK \l _Toc17528 </w:instrText>
          </w:r>
          <w:r>
            <w:rPr>
              <w:szCs w:val="24"/>
            </w:rPr>
            <w:fldChar w:fldCharType="separate"/>
          </w:r>
          <w:r>
            <w:rPr>
              <w:rFonts w:hint="eastAsia" w:ascii="宋体" w:hAnsi="宋体" w:eastAsia="宋体" w:cs="宋体"/>
              <w:bCs/>
              <w:szCs w:val="44"/>
              <w:lang w:val="en-US" w:eastAsia="zh-CN"/>
            </w:rPr>
            <w:t>协议书</w:t>
          </w:r>
          <w:r>
            <w:tab/>
          </w:r>
          <w:r>
            <w:fldChar w:fldCharType="begin"/>
          </w:r>
          <w:r>
            <w:instrText xml:space="preserve"> PAGEREF _Toc17528 \h </w:instrText>
          </w:r>
          <w:r>
            <w:fldChar w:fldCharType="separate"/>
          </w:r>
          <w:r>
            <w:t>4</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_Toc7224 </w:instrText>
          </w:r>
          <w:r>
            <w:rPr>
              <w:szCs w:val="24"/>
            </w:rPr>
            <w:fldChar w:fldCharType="separate"/>
          </w:r>
          <w:r>
            <w:rPr>
              <w:rFonts w:hint="eastAsia" w:ascii="宋体" w:hAnsi="宋体" w:eastAsia="宋体" w:cs="宋体"/>
              <w:szCs w:val="24"/>
            </w:rPr>
            <w:t>一、工程概况</w:t>
          </w:r>
          <w:r>
            <w:tab/>
          </w:r>
          <w:r>
            <w:fldChar w:fldCharType="begin"/>
          </w:r>
          <w:r>
            <w:instrText xml:space="preserve"> PAGEREF _Toc7224 \h </w:instrText>
          </w:r>
          <w:r>
            <w:fldChar w:fldCharType="separate"/>
          </w:r>
          <w:r>
            <w:t>4</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_Toc24780 </w:instrText>
          </w:r>
          <w:r>
            <w:rPr>
              <w:szCs w:val="24"/>
            </w:rPr>
            <w:fldChar w:fldCharType="separate"/>
          </w:r>
          <w:r>
            <w:rPr>
              <w:rFonts w:hint="eastAsia" w:ascii="宋体" w:hAnsi="宋体" w:eastAsia="宋体" w:cs="宋体"/>
              <w:szCs w:val="24"/>
            </w:rPr>
            <w:t>二、合同工期</w:t>
          </w:r>
          <w:r>
            <w:tab/>
          </w:r>
          <w:r>
            <w:fldChar w:fldCharType="begin"/>
          </w:r>
          <w:r>
            <w:instrText xml:space="preserve"> PAGEREF _Toc24780 \h </w:instrText>
          </w:r>
          <w:r>
            <w:fldChar w:fldCharType="separate"/>
          </w:r>
          <w:r>
            <w:t>4</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_Toc3208 </w:instrText>
          </w:r>
          <w:r>
            <w:rPr>
              <w:szCs w:val="24"/>
            </w:rPr>
            <w:fldChar w:fldCharType="separate"/>
          </w:r>
          <w:r>
            <w:rPr>
              <w:rFonts w:hint="eastAsia" w:ascii="宋体" w:hAnsi="宋体" w:eastAsia="宋体" w:cs="宋体"/>
              <w:szCs w:val="24"/>
            </w:rPr>
            <w:t>三、质量标准</w:t>
          </w:r>
          <w:r>
            <w:tab/>
          </w:r>
          <w:r>
            <w:fldChar w:fldCharType="begin"/>
          </w:r>
          <w:r>
            <w:instrText xml:space="preserve"> PAGEREF _Toc3208 \h </w:instrText>
          </w:r>
          <w:r>
            <w:fldChar w:fldCharType="separate"/>
          </w:r>
          <w:r>
            <w:t>4</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_Toc17946 </w:instrText>
          </w:r>
          <w:r>
            <w:rPr>
              <w:szCs w:val="24"/>
            </w:rPr>
            <w:fldChar w:fldCharType="separate"/>
          </w:r>
          <w:r>
            <w:rPr>
              <w:rFonts w:hint="eastAsia" w:ascii="宋体" w:hAnsi="宋体" w:eastAsia="宋体" w:cs="宋体"/>
              <w:szCs w:val="24"/>
            </w:rPr>
            <w:t>四、签约合同价与合同价格形式</w:t>
          </w:r>
          <w:r>
            <w:tab/>
          </w:r>
          <w:r>
            <w:fldChar w:fldCharType="begin"/>
          </w:r>
          <w:r>
            <w:instrText xml:space="preserve"> PAGEREF _Toc17946 \h </w:instrText>
          </w:r>
          <w:r>
            <w:fldChar w:fldCharType="separate"/>
          </w:r>
          <w:r>
            <w:t>4</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_Toc10115 </w:instrText>
          </w:r>
          <w:r>
            <w:rPr>
              <w:szCs w:val="24"/>
            </w:rPr>
            <w:fldChar w:fldCharType="separate"/>
          </w:r>
          <w:r>
            <w:rPr>
              <w:rFonts w:hint="eastAsia" w:ascii="宋体" w:hAnsi="宋体" w:eastAsia="宋体" w:cs="宋体"/>
              <w:szCs w:val="24"/>
            </w:rPr>
            <w:t>五、项目经理</w:t>
          </w:r>
          <w:r>
            <w:tab/>
          </w:r>
          <w:r>
            <w:fldChar w:fldCharType="begin"/>
          </w:r>
          <w:r>
            <w:instrText xml:space="preserve"> PAGEREF _Toc10115 \h </w:instrText>
          </w:r>
          <w:r>
            <w:fldChar w:fldCharType="separate"/>
          </w:r>
          <w:r>
            <w:t>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_Toc19360 </w:instrText>
          </w:r>
          <w:r>
            <w:rPr>
              <w:szCs w:val="24"/>
            </w:rPr>
            <w:fldChar w:fldCharType="separate"/>
          </w:r>
          <w:r>
            <w:rPr>
              <w:rFonts w:hint="eastAsia" w:ascii="宋体" w:hAnsi="宋体" w:eastAsia="宋体" w:cs="宋体"/>
              <w:szCs w:val="24"/>
            </w:rPr>
            <w:t>六、合同文件构成</w:t>
          </w:r>
          <w:r>
            <w:tab/>
          </w:r>
          <w:r>
            <w:fldChar w:fldCharType="begin"/>
          </w:r>
          <w:r>
            <w:instrText xml:space="preserve"> PAGEREF _Toc19360 \h </w:instrText>
          </w:r>
          <w:r>
            <w:fldChar w:fldCharType="separate"/>
          </w:r>
          <w:r>
            <w:t>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_Toc28205 </w:instrText>
          </w:r>
          <w:r>
            <w:rPr>
              <w:szCs w:val="24"/>
            </w:rPr>
            <w:fldChar w:fldCharType="separate"/>
          </w:r>
          <w:r>
            <w:rPr>
              <w:rFonts w:hint="eastAsia" w:ascii="宋体" w:hAnsi="宋体" w:eastAsia="宋体" w:cs="宋体"/>
              <w:szCs w:val="24"/>
            </w:rPr>
            <w:t>七、承诺</w:t>
          </w:r>
          <w:r>
            <w:tab/>
          </w:r>
          <w:r>
            <w:fldChar w:fldCharType="begin"/>
          </w:r>
          <w:r>
            <w:instrText xml:space="preserve"> PAGEREF _Toc28205 \h </w:instrText>
          </w:r>
          <w:r>
            <w:fldChar w:fldCharType="separate"/>
          </w:r>
          <w:r>
            <w:t>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_Toc25096 </w:instrText>
          </w:r>
          <w:r>
            <w:rPr>
              <w:szCs w:val="24"/>
            </w:rPr>
            <w:fldChar w:fldCharType="separate"/>
          </w:r>
          <w:r>
            <w:rPr>
              <w:rFonts w:hint="eastAsia" w:ascii="宋体" w:hAnsi="宋体" w:eastAsia="宋体" w:cs="宋体"/>
              <w:szCs w:val="24"/>
            </w:rPr>
            <w:t>八、词语含义</w:t>
          </w:r>
          <w:r>
            <w:tab/>
          </w:r>
          <w:r>
            <w:fldChar w:fldCharType="begin"/>
          </w:r>
          <w:r>
            <w:instrText xml:space="preserve"> PAGEREF _Toc25096 \h </w:instrText>
          </w:r>
          <w:r>
            <w:fldChar w:fldCharType="separate"/>
          </w:r>
          <w:r>
            <w:t>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_Toc7006 </w:instrText>
          </w:r>
          <w:r>
            <w:rPr>
              <w:szCs w:val="24"/>
            </w:rPr>
            <w:fldChar w:fldCharType="separate"/>
          </w:r>
          <w:r>
            <w:rPr>
              <w:rFonts w:hint="eastAsia" w:ascii="宋体" w:hAnsi="宋体" w:eastAsia="宋体" w:cs="宋体"/>
              <w:szCs w:val="24"/>
            </w:rPr>
            <w:t>九、签订时间</w:t>
          </w:r>
          <w:r>
            <w:tab/>
          </w:r>
          <w:r>
            <w:fldChar w:fldCharType="begin"/>
          </w:r>
          <w:r>
            <w:instrText xml:space="preserve"> PAGEREF _Toc7006 \h </w:instrText>
          </w:r>
          <w:r>
            <w:fldChar w:fldCharType="separate"/>
          </w:r>
          <w:r>
            <w:t>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_Toc31320 </w:instrText>
          </w:r>
          <w:r>
            <w:rPr>
              <w:szCs w:val="24"/>
            </w:rPr>
            <w:fldChar w:fldCharType="separate"/>
          </w:r>
          <w:r>
            <w:rPr>
              <w:rFonts w:hint="eastAsia" w:ascii="宋体" w:hAnsi="宋体" w:eastAsia="宋体" w:cs="宋体"/>
              <w:szCs w:val="24"/>
            </w:rPr>
            <w:t>十、签订地点</w:t>
          </w:r>
          <w:r>
            <w:tab/>
          </w:r>
          <w:r>
            <w:fldChar w:fldCharType="begin"/>
          </w:r>
          <w:r>
            <w:instrText xml:space="preserve"> PAGEREF _Toc31320 \h </w:instrText>
          </w:r>
          <w:r>
            <w:fldChar w:fldCharType="separate"/>
          </w:r>
          <w:r>
            <w:t>6</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_Toc8040 </w:instrText>
          </w:r>
          <w:r>
            <w:rPr>
              <w:szCs w:val="24"/>
            </w:rPr>
            <w:fldChar w:fldCharType="separate"/>
          </w:r>
          <w:r>
            <w:rPr>
              <w:rFonts w:hint="eastAsia" w:ascii="宋体" w:hAnsi="宋体" w:eastAsia="宋体" w:cs="宋体"/>
              <w:szCs w:val="24"/>
            </w:rPr>
            <w:t>十一、补充协议</w:t>
          </w:r>
          <w:r>
            <w:tab/>
          </w:r>
          <w:r>
            <w:fldChar w:fldCharType="begin"/>
          </w:r>
          <w:r>
            <w:instrText xml:space="preserve"> PAGEREF _Toc8040 \h </w:instrText>
          </w:r>
          <w:r>
            <w:fldChar w:fldCharType="separate"/>
          </w:r>
          <w:r>
            <w:t>6</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_Toc372 </w:instrText>
          </w:r>
          <w:r>
            <w:rPr>
              <w:szCs w:val="24"/>
            </w:rPr>
            <w:fldChar w:fldCharType="separate"/>
          </w:r>
          <w:r>
            <w:rPr>
              <w:rFonts w:hint="eastAsia" w:ascii="宋体" w:hAnsi="宋体" w:eastAsia="宋体" w:cs="宋体"/>
              <w:szCs w:val="24"/>
            </w:rPr>
            <w:t>十二、合同生效</w:t>
          </w:r>
          <w:r>
            <w:tab/>
          </w:r>
          <w:r>
            <w:fldChar w:fldCharType="begin"/>
          </w:r>
          <w:r>
            <w:instrText xml:space="preserve"> PAGEREF _Toc372 \h </w:instrText>
          </w:r>
          <w:r>
            <w:fldChar w:fldCharType="separate"/>
          </w:r>
          <w:r>
            <w:t>6</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_Toc25101 </w:instrText>
          </w:r>
          <w:r>
            <w:rPr>
              <w:szCs w:val="24"/>
            </w:rPr>
            <w:fldChar w:fldCharType="separate"/>
          </w:r>
          <w:r>
            <w:rPr>
              <w:rFonts w:hint="eastAsia" w:ascii="宋体" w:hAnsi="宋体" w:eastAsia="宋体" w:cs="宋体"/>
              <w:szCs w:val="24"/>
            </w:rPr>
            <w:t>十三、合同份数</w:t>
          </w:r>
          <w:r>
            <w:tab/>
          </w:r>
          <w:r>
            <w:fldChar w:fldCharType="begin"/>
          </w:r>
          <w:r>
            <w:instrText xml:space="preserve"> PAGEREF _Toc25101 \h </w:instrText>
          </w:r>
          <w:r>
            <w:fldChar w:fldCharType="separate"/>
          </w:r>
          <w:r>
            <w:t>6</w:t>
          </w:r>
          <w:r>
            <w:fldChar w:fldCharType="end"/>
          </w:r>
          <w:r>
            <w:rPr>
              <w:szCs w:val="24"/>
            </w:rPr>
            <w:fldChar w:fldCharType="end"/>
          </w:r>
        </w:p>
        <w:p>
          <w:pPr>
            <w:pStyle w:val="19"/>
            <w:tabs>
              <w:tab w:val="right" w:leader="dot" w:pos="9370"/>
            </w:tabs>
          </w:pPr>
          <w:r>
            <w:rPr>
              <w:szCs w:val="24"/>
            </w:rPr>
            <w:fldChar w:fldCharType="begin"/>
          </w:r>
          <w:r>
            <w:rPr>
              <w:szCs w:val="24"/>
            </w:rPr>
            <w:instrText xml:space="preserve"> HYPERLINK \l _Toc31932 </w:instrText>
          </w:r>
          <w:r>
            <w:rPr>
              <w:szCs w:val="24"/>
            </w:rPr>
            <w:fldChar w:fldCharType="separate"/>
          </w:r>
          <w:r>
            <w:rPr>
              <w:rFonts w:hint="eastAsia" w:ascii="宋体" w:hAnsi="宋体" w:eastAsia="宋体" w:cs="宋体"/>
              <w:szCs w:val="24"/>
            </w:rPr>
            <w:t>第二部分 通用合同条款（略）</w:t>
          </w:r>
          <w:r>
            <w:tab/>
          </w:r>
          <w:r>
            <w:fldChar w:fldCharType="begin"/>
          </w:r>
          <w:r>
            <w:instrText xml:space="preserve"> PAGEREF _Toc31932 \h </w:instrText>
          </w:r>
          <w:r>
            <w:fldChar w:fldCharType="separate"/>
          </w:r>
          <w:r>
            <w:t>7</w:t>
          </w:r>
          <w:r>
            <w:fldChar w:fldCharType="end"/>
          </w:r>
          <w:r>
            <w:rPr>
              <w:szCs w:val="24"/>
            </w:rPr>
            <w:fldChar w:fldCharType="end"/>
          </w:r>
        </w:p>
        <w:p>
          <w:pPr>
            <w:pStyle w:val="19"/>
            <w:tabs>
              <w:tab w:val="right" w:leader="dot" w:pos="9370"/>
            </w:tabs>
          </w:pPr>
          <w:r>
            <w:rPr>
              <w:szCs w:val="24"/>
            </w:rPr>
            <w:fldChar w:fldCharType="begin"/>
          </w:r>
          <w:r>
            <w:rPr>
              <w:szCs w:val="24"/>
            </w:rPr>
            <w:instrText xml:space="preserve"> HYPERLINK \l _Toc17709 </w:instrText>
          </w:r>
          <w:r>
            <w:rPr>
              <w:szCs w:val="24"/>
            </w:rPr>
            <w:fldChar w:fldCharType="separate"/>
          </w:r>
          <w:r>
            <w:rPr>
              <w:rFonts w:hint="eastAsia" w:ascii="宋体" w:hAnsi="宋体" w:eastAsia="宋体" w:cs="宋体"/>
              <w:kern w:val="44"/>
              <w:szCs w:val="24"/>
            </w:rPr>
            <w:t>第三部分 专用合同条款</w:t>
          </w:r>
          <w:r>
            <w:tab/>
          </w:r>
          <w:r>
            <w:fldChar w:fldCharType="begin"/>
          </w:r>
          <w:r>
            <w:instrText xml:space="preserve"> PAGEREF _Toc17709 \h </w:instrText>
          </w:r>
          <w:r>
            <w:fldChar w:fldCharType="separate"/>
          </w:r>
          <w:r>
            <w:t>8</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_Toc30859 </w:instrText>
          </w:r>
          <w:r>
            <w:rPr>
              <w:szCs w:val="24"/>
            </w:rPr>
            <w:fldChar w:fldCharType="separate"/>
          </w:r>
          <w:r>
            <w:rPr>
              <w:rFonts w:hint="eastAsia" w:ascii="宋体" w:hAnsi="宋体" w:eastAsia="宋体" w:cs="宋体"/>
              <w:bCs/>
              <w:kern w:val="44"/>
              <w:szCs w:val="24"/>
            </w:rPr>
            <w:t>1. 一般约定</w:t>
          </w:r>
          <w:r>
            <w:tab/>
          </w:r>
          <w:r>
            <w:fldChar w:fldCharType="begin"/>
          </w:r>
          <w:r>
            <w:instrText xml:space="preserve"> PAGEREF _Toc30859 \h </w:instrText>
          </w:r>
          <w:r>
            <w:fldChar w:fldCharType="separate"/>
          </w:r>
          <w:r>
            <w:t>8</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_Toc30159 </w:instrText>
          </w:r>
          <w:r>
            <w:rPr>
              <w:szCs w:val="24"/>
            </w:rPr>
            <w:fldChar w:fldCharType="separate"/>
          </w:r>
          <w:r>
            <w:rPr>
              <w:rFonts w:hint="eastAsia" w:ascii="宋体" w:hAnsi="宋体" w:eastAsia="宋体" w:cs="宋体"/>
              <w:bCs/>
              <w:kern w:val="44"/>
              <w:szCs w:val="24"/>
            </w:rPr>
            <w:t>2. 发包人</w:t>
          </w:r>
          <w:r>
            <w:tab/>
          </w:r>
          <w:r>
            <w:fldChar w:fldCharType="begin"/>
          </w:r>
          <w:r>
            <w:instrText xml:space="preserve"> PAGEREF _Toc30159 \h </w:instrText>
          </w:r>
          <w:r>
            <w:fldChar w:fldCharType="separate"/>
          </w:r>
          <w:r>
            <w:t>11</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_Toc16280 </w:instrText>
          </w:r>
          <w:r>
            <w:rPr>
              <w:szCs w:val="24"/>
            </w:rPr>
            <w:fldChar w:fldCharType="separate"/>
          </w:r>
          <w:r>
            <w:rPr>
              <w:rFonts w:hint="eastAsia" w:ascii="宋体" w:hAnsi="宋体" w:eastAsia="宋体" w:cs="宋体"/>
              <w:bCs/>
              <w:kern w:val="44"/>
              <w:szCs w:val="24"/>
            </w:rPr>
            <w:t>3. 承包人</w:t>
          </w:r>
          <w:r>
            <w:tab/>
          </w:r>
          <w:r>
            <w:fldChar w:fldCharType="begin"/>
          </w:r>
          <w:r>
            <w:instrText xml:space="preserve"> PAGEREF _Toc16280 \h </w:instrText>
          </w:r>
          <w:r>
            <w:fldChar w:fldCharType="separate"/>
          </w:r>
          <w:r>
            <w:t>12</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_Toc18028 </w:instrText>
          </w:r>
          <w:r>
            <w:rPr>
              <w:szCs w:val="24"/>
            </w:rPr>
            <w:fldChar w:fldCharType="separate"/>
          </w:r>
          <w:r>
            <w:rPr>
              <w:rFonts w:hint="eastAsia" w:ascii="宋体" w:hAnsi="宋体" w:eastAsia="宋体" w:cs="宋体"/>
              <w:bCs/>
              <w:kern w:val="44"/>
              <w:szCs w:val="24"/>
            </w:rPr>
            <w:t>4. 监理人</w:t>
          </w:r>
          <w:r>
            <w:tab/>
          </w:r>
          <w:r>
            <w:fldChar w:fldCharType="begin"/>
          </w:r>
          <w:r>
            <w:instrText xml:space="preserve"> PAGEREF _Toc18028 \h </w:instrText>
          </w:r>
          <w:r>
            <w:fldChar w:fldCharType="separate"/>
          </w:r>
          <w:r>
            <w:t>16</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_Toc19091 </w:instrText>
          </w:r>
          <w:r>
            <w:rPr>
              <w:szCs w:val="24"/>
            </w:rPr>
            <w:fldChar w:fldCharType="separate"/>
          </w:r>
          <w:r>
            <w:rPr>
              <w:rFonts w:hint="eastAsia" w:ascii="宋体" w:hAnsi="宋体" w:eastAsia="宋体" w:cs="宋体"/>
              <w:bCs/>
              <w:kern w:val="44"/>
              <w:szCs w:val="24"/>
            </w:rPr>
            <w:t>5. 工程质量</w:t>
          </w:r>
          <w:r>
            <w:tab/>
          </w:r>
          <w:r>
            <w:fldChar w:fldCharType="begin"/>
          </w:r>
          <w:r>
            <w:instrText xml:space="preserve"> PAGEREF _Toc19091 \h </w:instrText>
          </w:r>
          <w:r>
            <w:fldChar w:fldCharType="separate"/>
          </w:r>
          <w:r>
            <w:t>17</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_Toc25771 </w:instrText>
          </w:r>
          <w:r>
            <w:rPr>
              <w:szCs w:val="24"/>
            </w:rPr>
            <w:fldChar w:fldCharType="separate"/>
          </w:r>
          <w:r>
            <w:rPr>
              <w:rFonts w:hint="eastAsia" w:ascii="宋体" w:hAnsi="宋体" w:eastAsia="宋体" w:cs="宋体"/>
              <w:bCs/>
              <w:kern w:val="44"/>
              <w:szCs w:val="24"/>
            </w:rPr>
            <w:t>6. 安全文明施工与环境保护</w:t>
          </w:r>
          <w:r>
            <w:tab/>
          </w:r>
          <w:r>
            <w:fldChar w:fldCharType="begin"/>
          </w:r>
          <w:r>
            <w:instrText xml:space="preserve"> PAGEREF _Toc25771 \h </w:instrText>
          </w:r>
          <w:r>
            <w:fldChar w:fldCharType="separate"/>
          </w:r>
          <w:r>
            <w:t>18</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_Toc4462 </w:instrText>
          </w:r>
          <w:r>
            <w:rPr>
              <w:szCs w:val="24"/>
            </w:rPr>
            <w:fldChar w:fldCharType="separate"/>
          </w:r>
          <w:r>
            <w:rPr>
              <w:rFonts w:hint="eastAsia" w:ascii="宋体" w:hAnsi="宋体" w:eastAsia="宋体" w:cs="宋体"/>
              <w:bCs/>
              <w:kern w:val="44"/>
              <w:szCs w:val="24"/>
            </w:rPr>
            <w:t>7. 工期和进度</w:t>
          </w:r>
          <w:r>
            <w:tab/>
          </w:r>
          <w:r>
            <w:fldChar w:fldCharType="begin"/>
          </w:r>
          <w:r>
            <w:instrText xml:space="preserve"> PAGEREF _Toc4462 \h </w:instrText>
          </w:r>
          <w:r>
            <w:fldChar w:fldCharType="separate"/>
          </w:r>
          <w:r>
            <w:t>19</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_Toc3569 </w:instrText>
          </w:r>
          <w:r>
            <w:rPr>
              <w:szCs w:val="24"/>
            </w:rPr>
            <w:fldChar w:fldCharType="separate"/>
          </w:r>
          <w:r>
            <w:rPr>
              <w:rFonts w:hint="eastAsia" w:ascii="宋体" w:hAnsi="宋体" w:eastAsia="宋体" w:cs="宋体"/>
              <w:bCs/>
              <w:kern w:val="44"/>
              <w:szCs w:val="24"/>
            </w:rPr>
            <w:t>8. 材料与设备</w:t>
          </w:r>
          <w:r>
            <w:tab/>
          </w:r>
          <w:r>
            <w:fldChar w:fldCharType="begin"/>
          </w:r>
          <w:r>
            <w:instrText xml:space="preserve"> PAGEREF _Toc3569 \h </w:instrText>
          </w:r>
          <w:r>
            <w:fldChar w:fldCharType="separate"/>
          </w:r>
          <w:r>
            <w:t>21</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_Toc29750 </w:instrText>
          </w:r>
          <w:r>
            <w:rPr>
              <w:szCs w:val="24"/>
            </w:rPr>
            <w:fldChar w:fldCharType="separate"/>
          </w:r>
          <w:r>
            <w:rPr>
              <w:rFonts w:hint="eastAsia" w:ascii="宋体" w:hAnsi="宋体" w:eastAsia="宋体" w:cs="宋体"/>
              <w:bCs/>
              <w:kern w:val="44"/>
              <w:szCs w:val="24"/>
            </w:rPr>
            <w:t>9. 试验与检验</w:t>
          </w:r>
          <w:r>
            <w:tab/>
          </w:r>
          <w:r>
            <w:fldChar w:fldCharType="begin"/>
          </w:r>
          <w:r>
            <w:instrText xml:space="preserve"> PAGEREF _Toc29750 \h </w:instrText>
          </w:r>
          <w:r>
            <w:fldChar w:fldCharType="separate"/>
          </w:r>
          <w:r>
            <w:t>21</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_Toc16748 </w:instrText>
          </w:r>
          <w:r>
            <w:rPr>
              <w:szCs w:val="24"/>
            </w:rPr>
            <w:fldChar w:fldCharType="separate"/>
          </w:r>
          <w:r>
            <w:rPr>
              <w:rFonts w:hint="eastAsia" w:ascii="宋体" w:hAnsi="宋体" w:eastAsia="宋体" w:cs="宋体"/>
              <w:bCs/>
              <w:kern w:val="44"/>
              <w:szCs w:val="24"/>
            </w:rPr>
            <w:t>10. 变更</w:t>
          </w:r>
          <w:r>
            <w:tab/>
          </w:r>
          <w:r>
            <w:fldChar w:fldCharType="begin"/>
          </w:r>
          <w:r>
            <w:instrText xml:space="preserve"> PAGEREF _Toc16748 \h </w:instrText>
          </w:r>
          <w:r>
            <w:fldChar w:fldCharType="separate"/>
          </w:r>
          <w:r>
            <w:t>21</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_Toc24424 </w:instrText>
          </w:r>
          <w:r>
            <w:rPr>
              <w:szCs w:val="24"/>
            </w:rPr>
            <w:fldChar w:fldCharType="separate"/>
          </w:r>
          <w:r>
            <w:rPr>
              <w:rFonts w:hint="eastAsia" w:ascii="宋体" w:hAnsi="宋体" w:eastAsia="宋体" w:cs="宋体"/>
              <w:bCs/>
              <w:kern w:val="44"/>
              <w:szCs w:val="24"/>
            </w:rPr>
            <w:t>11. 价格调整</w:t>
          </w:r>
          <w:r>
            <w:tab/>
          </w:r>
          <w:r>
            <w:fldChar w:fldCharType="begin"/>
          </w:r>
          <w:r>
            <w:instrText xml:space="preserve"> PAGEREF _Toc24424 \h </w:instrText>
          </w:r>
          <w:r>
            <w:fldChar w:fldCharType="separate"/>
          </w:r>
          <w:r>
            <w:t>24</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_Toc9097 </w:instrText>
          </w:r>
          <w:r>
            <w:rPr>
              <w:szCs w:val="24"/>
            </w:rPr>
            <w:fldChar w:fldCharType="separate"/>
          </w:r>
          <w:r>
            <w:rPr>
              <w:rFonts w:hint="eastAsia" w:ascii="宋体" w:hAnsi="宋体" w:eastAsia="宋体" w:cs="宋体"/>
              <w:bCs/>
              <w:kern w:val="44"/>
              <w:szCs w:val="24"/>
            </w:rPr>
            <w:t>12. 合同价格、计量与支付</w:t>
          </w:r>
          <w:r>
            <w:tab/>
          </w:r>
          <w:r>
            <w:fldChar w:fldCharType="begin"/>
          </w:r>
          <w:r>
            <w:instrText xml:space="preserve"> PAGEREF _Toc9097 \h </w:instrText>
          </w:r>
          <w:r>
            <w:fldChar w:fldCharType="separate"/>
          </w:r>
          <w:r>
            <w:t>25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_Toc12317 </w:instrText>
          </w:r>
          <w:r>
            <w:rPr>
              <w:szCs w:val="24"/>
            </w:rPr>
            <w:fldChar w:fldCharType="separate"/>
          </w:r>
          <w:r>
            <w:rPr>
              <w:rFonts w:hint="eastAsia" w:ascii="宋体" w:hAnsi="宋体" w:eastAsia="宋体" w:cs="宋体"/>
              <w:bCs/>
              <w:kern w:val="44"/>
              <w:szCs w:val="24"/>
            </w:rPr>
            <w:t>1、单价合同。</w:t>
          </w:r>
          <w:r>
            <w:tab/>
          </w:r>
          <w:r>
            <w:fldChar w:fldCharType="begin"/>
          </w:r>
          <w:r>
            <w:instrText xml:space="preserve"> PAGEREF _Toc12317 \h </w:instrText>
          </w:r>
          <w:r>
            <w:fldChar w:fldCharType="separate"/>
          </w:r>
          <w:r>
            <w:t>25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_Toc9707 </w:instrText>
          </w:r>
          <w:r>
            <w:rPr>
              <w:szCs w:val="24"/>
            </w:rPr>
            <w:fldChar w:fldCharType="separate"/>
          </w:r>
          <w:r>
            <w:rPr>
              <w:rFonts w:hint="eastAsia" w:ascii="宋体" w:hAnsi="宋体" w:eastAsia="宋体" w:cs="宋体"/>
              <w:bCs/>
              <w:kern w:val="44"/>
              <w:szCs w:val="24"/>
            </w:rPr>
            <w:t>2、总价合同。</w:t>
          </w:r>
          <w:r>
            <w:tab/>
          </w:r>
          <w:r>
            <w:fldChar w:fldCharType="begin"/>
          </w:r>
          <w:r>
            <w:instrText xml:space="preserve"> PAGEREF _Toc9707 \h </w:instrText>
          </w:r>
          <w:r>
            <w:fldChar w:fldCharType="separate"/>
          </w:r>
          <w:r>
            <w:t>25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_Toc16016 </w:instrText>
          </w:r>
          <w:r>
            <w:rPr>
              <w:szCs w:val="24"/>
            </w:rPr>
            <w:fldChar w:fldCharType="separate"/>
          </w:r>
          <w:r>
            <w:rPr>
              <w:rFonts w:hint="eastAsia" w:ascii="宋体" w:hAnsi="宋体" w:eastAsia="宋体" w:cs="宋体"/>
              <w:bCs/>
              <w:kern w:val="44"/>
              <w:szCs w:val="24"/>
            </w:rPr>
            <w:t>3、其他价格方式：   不适用  。</w:t>
          </w:r>
          <w:r>
            <w:tab/>
          </w:r>
          <w:r>
            <w:fldChar w:fldCharType="begin"/>
          </w:r>
          <w:r>
            <w:instrText xml:space="preserve"> PAGEREF _Toc16016 \h </w:instrText>
          </w:r>
          <w:r>
            <w:fldChar w:fldCharType="separate"/>
          </w:r>
          <w:r>
            <w:t>25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_Toc24678 </w:instrText>
          </w:r>
          <w:r>
            <w:rPr>
              <w:szCs w:val="24"/>
            </w:rPr>
            <w:fldChar w:fldCharType="separate"/>
          </w:r>
          <w:r>
            <w:rPr>
              <w:rFonts w:hint="eastAsia" w:ascii="宋体" w:hAnsi="宋体" w:eastAsia="宋体" w:cs="宋体"/>
              <w:bCs/>
              <w:kern w:val="44"/>
              <w:szCs w:val="24"/>
            </w:rPr>
            <w:t>14. 竣工结算</w:t>
          </w:r>
          <w:r>
            <w:tab/>
          </w:r>
          <w:r>
            <w:fldChar w:fldCharType="begin"/>
          </w:r>
          <w:r>
            <w:instrText xml:space="preserve"> PAGEREF _Toc24678 \h </w:instrText>
          </w:r>
          <w:r>
            <w:fldChar w:fldCharType="separate"/>
          </w:r>
          <w:r>
            <w:t>29</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_Toc27073 </w:instrText>
          </w:r>
          <w:r>
            <w:rPr>
              <w:szCs w:val="24"/>
            </w:rPr>
            <w:fldChar w:fldCharType="separate"/>
          </w:r>
          <w:r>
            <w:rPr>
              <w:rFonts w:hint="eastAsia" w:ascii="宋体" w:hAnsi="宋体" w:eastAsia="宋体" w:cs="宋体"/>
              <w:bCs/>
              <w:kern w:val="44"/>
              <w:szCs w:val="24"/>
            </w:rPr>
            <w:t>15. 缺陷责任期与保修</w:t>
          </w:r>
          <w:r>
            <w:tab/>
          </w:r>
          <w:r>
            <w:fldChar w:fldCharType="begin"/>
          </w:r>
          <w:r>
            <w:instrText xml:space="preserve"> PAGEREF _Toc27073 \h </w:instrText>
          </w:r>
          <w:r>
            <w:fldChar w:fldCharType="separate"/>
          </w:r>
          <w:r>
            <w:t>29</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_Toc10892 </w:instrText>
          </w:r>
          <w:r>
            <w:rPr>
              <w:szCs w:val="24"/>
            </w:rPr>
            <w:fldChar w:fldCharType="separate"/>
          </w:r>
          <w:r>
            <w:rPr>
              <w:rFonts w:hint="eastAsia" w:ascii="宋体" w:hAnsi="宋体" w:eastAsia="宋体" w:cs="宋体"/>
              <w:bCs/>
              <w:kern w:val="44"/>
              <w:szCs w:val="24"/>
            </w:rPr>
            <w:t>16. 违约</w:t>
          </w:r>
          <w:r>
            <w:tab/>
          </w:r>
          <w:r>
            <w:fldChar w:fldCharType="begin"/>
          </w:r>
          <w:r>
            <w:instrText xml:space="preserve"> PAGEREF _Toc10892 \h </w:instrText>
          </w:r>
          <w:r>
            <w:fldChar w:fldCharType="separate"/>
          </w:r>
          <w:r>
            <w:t>30</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_Toc5443 </w:instrText>
          </w:r>
          <w:r>
            <w:rPr>
              <w:szCs w:val="24"/>
            </w:rPr>
            <w:fldChar w:fldCharType="separate"/>
          </w:r>
          <w:r>
            <w:rPr>
              <w:rFonts w:hint="eastAsia" w:ascii="宋体" w:hAnsi="宋体" w:eastAsia="宋体" w:cs="宋体"/>
              <w:bCs/>
              <w:kern w:val="44"/>
              <w:szCs w:val="24"/>
            </w:rPr>
            <w:t>17. 不可抗力</w:t>
          </w:r>
          <w:r>
            <w:tab/>
          </w:r>
          <w:r>
            <w:fldChar w:fldCharType="begin"/>
          </w:r>
          <w:r>
            <w:instrText xml:space="preserve"> PAGEREF _Toc5443 \h </w:instrText>
          </w:r>
          <w:r>
            <w:fldChar w:fldCharType="separate"/>
          </w:r>
          <w:r>
            <w:t>32</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_Toc17092 </w:instrText>
          </w:r>
          <w:r>
            <w:rPr>
              <w:szCs w:val="24"/>
            </w:rPr>
            <w:fldChar w:fldCharType="separate"/>
          </w:r>
          <w:r>
            <w:rPr>
              <w:rFonts w:hint="eastAsia" w:ascii="宋体" w:hAnsi="宋体" w:eastAsia="宋体" w:cs="宋体"/>
              <w:bCs/>
              <w:kern w:val="44"/>
              <w:szCs w:val="24"/>
            </w:rPr>
            <w:t>18. 保险</w:t>
          </w:r>
          <w:r>
            <w:tab/>
          </w:r>
          <w:r>
            <w:fldChar w:fldCharType="begin"/>
          </w:r>
          <w:r>
            <w:instrText xml:space="preserve"> PAGEREF _Toc17092 \h </w:instrText>
          </w:r>
          <w:r>
            <w:fldChar w:fldCharType="separate"/>
          </w:r>
          <w:r>
            <w:t>32</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_Toc21118 </w:instrText>
          </w:r>
          <w:r>
            <w:rPr>
              <w:szCs w:val="24"/>
            </w:rPr>
            <w:fldChar w:fldCharType="separate"/>
          </w:r>
          <w:r>
            <w:rPr>
              <w:rFonts w:hint="eastAsia" w:ascii="宋体" w:hAnsi="宋体" w:eastAsia="宋体" w:cs="宋体"/>
              <w:bCs/>
              <w:kern w:val="44"/>
              <w:szCs w:val="24"/>
            </w:rPr>
            <w:t>20. 争议解决</w:t>
          </w:r>
          <w:r>
            <w:tab/>
          </w:r>
          <w:r>
            <w:fldChar w:fldCharType="begin"/>
          </w:r>
          <w:r>
            <w:instrText xml:space="preserve"> PAGEREF _Toc21118 \h </w:instrText>
          </w:r>
          <w:r>
            <w:fldChar w:fldCharType="separate"/>
          </w:r>
          <w:r>
            <w:t>32</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_Toc30475 </w:instrText>
          </w:r>
          <w:r>
            <w:rPr>
              <w:szCs w:val="24"/>
            </w:rPr>
            <w:fldChar w:fldCharType="separate"/>
          </w:r>
          <w:r>
            <w:rPr>
              <w:rFonts w:hint="eastAsia" w:ascii="宋体" w:hAnsi="宋体" w:eastAsia="宋体" w:cs="宋体"/>
              <w:bCs/>
              <w:kern w:val="44"/>
              <w:szCs w:val="24"/>
            </w:rPr>
            <w:t>21、补充条款</w:t>
          </w:r>
          <w:r>
            <w:tab/>
          </w:r>
          <w:r>
            <w:fldChar w:fldCharType="begin"/>
          </w:r>
          <w:r>
            <w:instrText xml:space="preserve"> PAGEREF _Toc30475 \h </w:instrText>
          </w:r>
          <w:r>
            <w:fldChar w:fldCharType="separate"/>
          </w:r>
          <w:r>
            <w:t>33</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_Toc30947 </w:instrText>
          </w:r>
          <w:r>
            <w:rPr>
              <w:szCs w:val="24"/>
            </w:rPr>
            <w:fldChar w:fldCharType="separate"/>
          </w:r>
          <w:r>
            <w:rPr>
              <w:rFonts w:hint="eastAsia" w:ascii="宋体" w:hAnsi="宋体" w:eastAsia="宋体" w:cs="宋体"/>
              <w:bCs/>
              <w:kern w:val="44"/>
              <w:szCs w:val="24"/>
            </w:rPr>
            <w:t>1分部分项工程验收</w:t>
          </w:r>
          <w:r>
            <w:tab/>
          </w:r>
          <w:r>
            <w:fldChar w:fldCharType="begin"/>
          </w:r>
          <w:r>
            <w:instrText xml:space="preserve"> PAGEREF _Toc30947 \h </w:instrText>
          </w:r>
          <w:r>
            <w:fldChar w:fldCharType="separate"/>
          </w:r>
          <w:r>
            <w:t>35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_Toc9421 </w:instrText>
          </w:r>
          <w:r>
            <w:rPr>
              <w:szCs w:val="24"/>
            </w:rPr>
            <w:fldChar w:fldCharType="separate"/>
          </w:r>
          <w:r>
            <w:rPr>
              <w:rFonts w:hint="eastAsia" w:ascii="宋体" w:hAnsi="宋体" w:eastAsia="宋体" w:cs="宋体"/>
              <w:bCs/>
              <w:kern w:val="44"/>
              <w:szCs w:val="24"/>
            </w:rPr>
            <w:t>2竣工验收</w:t>
          </w:r>
          <w:r>
            <w:tab/>
          </w:r>
          <w:r>
            <w:fldChar w:fldCharType="begin"/>
          </w:r>
          <w:r>
            <w:instrText xml:space="preserve"> PAGEREF _Toc9421 \h </w:instrText>
          </w:r>
          <w:r>
            <w:fldChar w:fldCharType="separate"/>
          </w:r>
          <w:r>
            <w:t>35</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_Toc19690 </w:instrText>
          </w:r>
          <w:r>
            <w:rPr>
              <w:szCs w:val="24"/>
            </w:rPr>
            <w:fldChar w:fldCharType="separate"/>
          </w:r>
          <w:r>
            <w:rPr>
              <w:rFonts w:hint="eastAsia" w:ascii="宋体" w:hAnsi="宋体" w:eastAsia="宋体" w:cs="宋体"/>
              <w:bCs/>
              <w:kern w:val="44"/>
              <w:szCs w:val="24"/>
            </w:rPr>
            <w:t>3工程试车</w:t>
          </w:r>
          <w:r>
            <w:tab/>
          </w:r>
          <w:r>
            <w:fldChar w:fldCharType="begin"/>
          </w:r>
          <w:r>
            <w:instrText xml:space="preserve"> PAGEREF _Toc19690 \h </w:instrText>
          </w:r>
          <w:r>
            <w:fldChar w:fldCharType="separate"/>
          </w:r>
          <w:r>
            <w:t>36</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_Toc20601 </w:instrText>
          </w:r>
          <w:r>
            <w:rPr>
              <w:szCs w:val="24"/>
            </w:rPr>
            <w:fldChar w:fldCharType="separate"/>
          </w:r>
          <w:r>
            <w:rPr>
              <w:rFonts w:hint="eastAsia" w:ascii="宋体" w:hAnsi="宋体" w:eastAsia="宋体" w:cs="宋体"/>
              <w:bCs/>
              <w:kern w:val="44"/>
              <w:szCs w:val="24"/>
            </w:rPr>
            <w:t>4提前交付单位工程的验收</w:t>
          </w:r>
          <w:r>
            <w:tab/>
          </w:r>
          <w:r>
            <w:fldChar w:fldCharType="begin"/>
          </w:r>
          <w:r>
            <w:instrText xml:space="preserve"> PAGEREF _Toc20601 \h </w:instrText>
          </w:r>
          <w:r>
            <w:fldChar w:fldCharType="separate"/>
          </w:r>
          <w:r>
            <w:t>37</w:t>
          </w:r>
          <w:r>
            <w:fldChar w:fldCharType="end"/>
          </w:r>
          <w:r>
            <w:rPr>
              <w:szCs w:val="24"/>
            </w:rPr>
            <w:fldChar w:fldCharType="end"/>
          </w:r>
        </w:p>
        <w:p>
          <w:pPr>
            <w:pStyle w:val="20"/>
            <w:tabs>
              <w:tab w:val="right" w:leader="dot" w:pos="9370"/>
            </w:tabs>
          </w:pPr>
          <w:r>
            <w:rPr>
              <w:szCs w:val="24"/>
            </w:rPr>
            <w:fldChar w:fldCharType="begin"/>
          </w:r>
          <w:r>
            <w:rPr>
              <w:szCs w:val="24"/>
            </w:rPr>
            <w:instrText xml:space="preserve"> HYPERLINK \l _Toc5069 </w:instrText>
          </w:r>
          <w:r>
            <w:rPr>
              <w:szCs w:val="24"/>
            </w:rPr>
            <w:fldChar w:fldCharType="separate"/>
          </w:r>
          <w:r>
            <w:rPr>
              <w:rFonts w:hint="eastAsia" w:ascii="宋体" w:hAnsi="宋体" w:eastAsia="宋体" w:cs="宋体"/>
              <w:bCs/>
              <w:kern w:val="44"/>
              <w:szCs w:val="24"/>
            </w:rPr>
            <w:t>5 施工期运行</w:t>
          </w:r>
          <w:r>
            <w:tab/>
          </w:r>
          <w:r>
            <w:fldChar w:fldCharType="begin"/>
          </w:r>
          <w:r>
            <w:instrText xml:space="preserve"> PAGEREF _Toc5069 \h </w:instrText>
          </w:r>
          <w:r>
            <w:fldChar w:fldCharType="separate"/>
          </w:r>
          <w:r>
            <w:t>38</w:t>
          </w:r>
          <w:r>
            <w:fldChar w:fldCharType="end"/>
          </w:r>
          <w:r>
            <w:rPr>
              <w:szCs w:val="24"/>
            </w:rPr>
            <w:fldChar w:fldCharType="end"/>
          </w:r>
        </w:p>
        <w:p>
          <w:pPr>
            <w:spacing w:before="0" w:beforeLines="0" w:after="0" w:afterLines="0" w:line="360" w:lineRule="auto"/>
            <w:ind w:left="0" w:leftChars="0" w:right="0" w:rightChars="0" w:firstLine="0" w:firstLineChars="0"/>
            <w:jc w:val="center"/>
          </w:pPr>
          <w:r>
            <w:rPr>
              <w:szCs w:val="24"/>
            </w:rPr>
            <w:fldChar w:fldCharType="end"/>
          </w:r>
        </w:p>
      </w:sdtContent>
    </w:sdt>
    <w:p>
      <w:pPr>
        <w:spacing w:line="360" w:lineRule="auto"/>
        <w:jc w:val="center"/>
        <w:outlineLvl w:val="0"/>
        <w:rPr>
          <w:rFonts w:hint="eastAsia" w:ascii="宋体" w:hAnsi="宋体" w:eastAsia="宋体" w:cs="宋体"/>
          <w:b/>
          <w:bCs/>
          <w:sz w:val="44"/>
          <w:szCs w:val="44"/>
          <w:lang w:val="en-US" w:eastAsia="zh-CN"/>
        </w:rPr>
      </w:pPr>
    </w:p>
    <w:p>
      <w:pPr>
        <w:spacing w:line="360" w:lineRule="auto"/>
        <w:jc w:val="center"/>
        <w:outlineLvl w:val="0"/>
        <w:rPr>
          <w:rFonts w:hint="eastAsia" w:ascii="宋体" w:hAnsi="宋体" w:eastAsia="宋体" w:cs="宋体"/>
          <w:b/>
          <w:bCs/>
          <w:sz w:val="44"/>
          <w:szCs w:val="44"/>
          <w:lang w:val="en-US" w:eastAsia="zh-CN"/>
        </w:rPr>
      </w:pPr>
    </w:p>
    <w:p>
      <w:pPr>
        <w:spacing w:line="360" w:lineRule="auto"/>
        <w:jc w:val="center"/>
        <w:outlineLvl w:val="0"/>
        <w:rPr>
          <w:rFonts w:hint="eastAsia" w:ascii="宋体" w:hAnsi="宋体" w:eastAsia="宋体" w:cs="宋体"/>
          <w:b/>
          <w:bCs/>
          <w:sz w:val="44"/>
          <w:szCs w:val="44"/>
          <w:lang w:val="en-US" w:eastAsia="zh-CN"/>
        </w:rPr>
      </w:pPr>
    </w:p>
    <w:p>
      <w:pPr>
        <w:spacing w:line="360" w:lineRule="auto"/>
        <w:jc w:val="center"/>
        <w:outlineLvl w:val="0"/>
        <w:rPr>
          <w:rFonts w:hint="eastAsia" w:ascii="宋体" w:hAnsi="宋体" w:eastAsia="宋体" w:cs="宋体"/>
          <w:b/>
          <w:bCs/>
          <w:sz w:val="44"/>
          <w:szCs w:val="44"/>
          <w:lang w:val="en-US" w:eastAsia="zh-CN"/>
        </w:rPr>
      </w:pPr>
    </w:p>
    <w:p>
      <w:pPr>
        <w:spacing w:line="360" w:lineRule="auto"/>
        <w:jc w:val="center"/>
        <w:outlineLvl w:val="0"/>
        <w:rPr>
          <w:rFonts w:hint="eastAsia" w:ascii="宋体" w:hAnsi="宋体" w:eastAsia="宋体" w:cs="宋体"/>
          <w:b/>
          <w:bCs/>
          <w:sz w:val="44"/>
          <w:szCs w:val="44"/>
          <w:lang w:val="en-US" w:eastAsia="zh-CN"/>
        </w:rPr>
      </w:pPr>
    </w:p>
    <w:p>
      <w:pPr>
        <w:pStyle w:val="5"/>
        <w:rPr>
          <w:rFonts w:hint="eastAsia" w:ascii="宋体" w:hAnsi="宋体" w:eastAsia="宋体" w:cs="宋体"/>
          <w:b/>
          <w:bCs/>
          <w:sz w:val="44"/>
          <w:szCs w:val="44"/>
          <w:lang w:val="en-US" w:eastAsia="zh-CN"/>
        </w:rPr>
      </w:pPr>
    </w:p>
    <w:p>
      <w:pPr>
        <w:rPr>
          <w:rFonts w:hint="eastAsia" w:ascii="宋体" w:hAnsi="宋体" w:eastAsia="宋体" w:cs="宋体"/>
          <w:b/>
          <w:bCs/>
          <w:sz w:val="44"/>
          <w:szCs w:val="44"/>
          <w:lang w:val="en-US" w:eastAsia="zh-CN"/>
        </w:rPr>
      </w:pPr>
    </w:p>
    <w:p>
      <w:pPr>
        <w:pStyle w:val="5"/>
        <w:rPr>
          <w:rFonts w:hint="eastAsia" w:ascii="宋体" w:hAnsi="宋体" w:eastAsia="宋体" w:cs="宋体"/>
          <w:b/>
          <w:bCs/>
          <w:sz w:val="44"/>
          <w:szCs w:val="44"/>
          <w:lang w:val="en-US" w:eastAsia="zh-CN"/>
        </w:rPr>
      </w:pPr>
    </w:p>
    <w:p>
      <w:pPr>
        <w:rPr>
          <w:rFonts w:hint="eastAsia"/>
          <w:lang w:val="en-US" w:eastAsia="zh-CN"/>
        </w:rPr>
      </w:pPr>
    </w:p>
    <w:p>
      <w:pPr>
        <w:spacing w:line="360" w:lineRule="auto"/>
        <w:jc w:val="center"/>
        <w:outlineLvl w:val="0"/>
        <w:rPr>
          <w:rFonts w:hint="eastAsia" w:ascii="宋体" w:hAnsi="宋体" w:eastAsia="宋体" w:cs="宋体"/>
          <w:b/>
          <w:bCs/>
          <w:sz w:val="44"/>
          <w:szCs w:val="44"/>
          <w:lang w:val="en-US" w:eastAsia="zh-CN"/>
        </w:rPr>
      </w:pPr>
    </w:p>
    <w:p>
      <w:pPr>
        <w:pStyle w:val="2"/>
        <w:rPr>
          <w:rFonts w:hint="eastAsia"/>
          <w:lang w:val="en-US" w:eastAsia="zh-CN"/>
        </w:rPr>
      </w:pPr>
      <w:r>
        <w:rPr>
          <w:rFonts w:hint="eastAsia" w:ascii="宋体" w:hAnsi="宋体" w:eastAsia="宋体" w:cs="宋体"/>
          <w:b/>
          <w:bCs/>
          <w:sz w:val="44"/>
          <w:szCs w:val="44"/>
          <w:lang w:val="en-US" w:eastAsia="zh-CN"/>
        </w:rPr>
        <w:drawing>
          <wp:anchor distT="0" distB="0" distL="114300" distR="114300" simplePos="0" relativeHeight="251660288" behindDoc="0" locked="0" layoutInCell="1" allowOverlap="1">
            <wp:simplePos x="0" y="0"/>
            <wp:positionH relativeFrom="column">
              <wp:posOffset>-503555</wp:posOffset>
            </wp:positionH>
            <wp:positionV relativeFrom="paragraph">
              <wp:posOffset>120650</wp:posOffset>
            </wp:positionV>
            <wp:extent cx="6645275" cy="8749030"/>
            <wp:effectExtent l="0" t="0" r="3175" b="13970"/>
            <wp:wrapSquare wrapText="bothSides"/>
            <wp:docPr id="5" name="图片 5" descr="2a70b1b3b7cbe12a27375c856fd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a70b1b3b7cbe12a27375c856fd0919"/>
                    <pic:cNvPicPr>
                      <a:picLocks noChangeAspect="1"/>
                    </pic:cNvPicPr>
                  </pic:nvPicPr>
                  <pic:blipFill>
                    <a:blip r:embed="rId7"/>
                    <a:stretch>
                      <a:fillRect/>
                    </a:stretch>
                  </pic:blipFill>
                  <pic:spPr>
                    <a:xfrm>
                      <a:off x="0" y="0"/>
                      <a:ext cx="6645275" cy="8749030"/>
                    </a:xfrm>
                    <a:prstGeom prst="rect">
                      <a:avLst/>
                    </a:prstGeom>
                  </pic:spPr>
                </pic:pic>
              </a:graphicData>
            </a:graphic>
          </wp:anchor>
        </w:drawing>
      </w:r>
    </w:p>
    <w:p>
      <w:pPr>
        <w:spacing w:line="360" w:lineRule="auto"/>
        <w:ind w:firstLine="883" w:firstLineChars="200"/>
        <w:rPr>
          <w:rFonts w:hint="eastAsia" w:ascii="宋体" w:hAnsi="宋体" w:eastAsia="宋体" w:cs="宋体"/>
          <w:bCs/>
          <w:sz w:val="24"/>
          <w:szCs w:val="24"/>
          <w:lang w:eastAsia="zh-CN"/>
        </w:rPr>
      </w:pPr>
      <w:r>
        <w:rPr>
          <w:rFonts w:hint="eastAsia" w:ascii="宋体" w:hAnsi="宋体" w:eastAsia="宋体" w:cs="宋体"/>
          <w:b/>
          <w:bCs/>
          <w:sz w:val="44"/>
          <w:szCs w:val="44"/>
          <w:lang w:val="en-US" w:eastAsia="zh-CN"/>
        </w:rPr>
        <w:drawing>
          <wp:anchor distT="0" distB="0" distL="114300" distR="114300" simplePos="0" relativeHeight="251661312" behindDoc="0" locked="0" layoutInCell="1" allowOverlap="1">
            <wp:simplePos x="0" y="0"/>
            <wp:positionH relativeFrom="column">
              <wp:posOffset>-201295</wp:posOffset>
            </wp:positionH>
            <wp:positionV relativeFrom="paragraph">
              <wp:posOffset>172720</wp:posOffset>
            </wp:positionV>
            <wp:extent cx="5943600" cy="8515350"/>
            <wp:effectExtent l="0" t="0" r="0" b="0"/>
            <wp:wrapTopAndBottom/>
            <wp:docPr id="6" name="图片 6" descr="73c4bfbfdc2ea33e9e0950ff7eeb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3c4bfbfdc2ea33e9e0950ff7eebb92"/>
                    <pic:cNvPicPr>
                      <a:picLocks noChangeAspect="1"/>
                    </pic:cNvPicPr>
                  </pic:nvPicPr>
                  <pic:blipFill>
                    <a:blip r:embed="rId8"/>
                    <a:stretch>
                      <a:fillRect/>
                    </a:stretch>
                  </pic:blipFill>
                  <pic:spPr>
                    <a:xfrm>
                      <a:off x="0" y="0"/>
                      <a:ext cx="5943600" cy="8515350"/>
                    </a:xfrm>
                    <a:prstGeom prst="rect">
                      <a:avLst/>
                    </a:prstGeom>
                  </pic:spPr>
                </pic:pic>
              </a:graphicData>
            </a:graphic>
          </wp:anchor>
        </w:drawing>
      </w:r>
    </w:p>
    <w:p>
      <w:pPr>
        <w:spacing w:line="360" w:lineRule="auto"/>
        <w:ind w:firstLine="480" w:firstLineChars="200"/>
        <w:rPr>
          <w:rFonts w:hint="eastAsia" w:ascii="宋体" w:hAnsi="宋体" w:eastAsia="宋体" w:cs="宋体"/>
          <w:bCs/>
          <w:sz w:val="24"/>
          <w:szCs w:val="24"/>
          <w:lang w:eastAsia="zh-CN"/>
        </w:rPr>
      </w:pP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eastAsia="zh-CN"/>
        </w:rPr>
        <w:drawing>
          <wp:anchor distT="0" distB="0" distL="114300" distR="114300" simplePos="0" relativeHeight="251659264" behindDoc="0" locked="0" layoutInCell="1" allowOverlap="1">
            <wp:simplePos x="0" y="0"/>
            <wp:positionH relativeFrom="column">
              <wp:posOffset>-184150</wp:posOffset>
            </wp:positionH>
            <wp:positionV relativeFrom="paragraph">
              <wp:posOffset>143510</wp:posOffset>
            </wp:positionV>
            <wp:extent cx="5939790" cy="8443595"/>
            <wp:effectExtent l="0" t="0" r="3810" b="14605"/>
            <wp:wrapTopAndBottom/>
            <wp:docPr id="3" name="图片 3" descr="81d0531d339dad1fa52dcefff8d2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d0531d339dad1fa52dcefff8d2fe0"/>
                    <pic:cNvPicPr>
                      <a:picLocks noChangeAspect="1"/>
                    </pic:cNvPicPr>
                  </pic:nvPicPr>
                  <pic:blipFill>
                    <a:blip r:embed="rId9"/>
                    <a:stretch>
                      <a:fillRect/>
                    </a:stretch>
                  </pic:blipFill>
                  <pic:spPr>
                    <a:xfrm>
                      <a:off x="0" y="0"/>
                      <a:ext cx="5939790" cy="8443595"/>
                    </a:xfrm>
                    <a:prstGeom prst="rect">
                      <a:avLst/>
                    </a:prstGeom>
                  </pic:spPr>
                </pic:pic>
              </a:graphicData>
            </a:graphic>
          </wp:anchor>
        </w:drawing>
      </w:r>
    </w:p>
    <w:p>
      <w:pPr>
        <w:spacing w:line="360" w:lineRule="auto"/>
        <w:ind w:firstLine="480" w:firstLineChars="200"/>
        <w:rPr>
          <w:rFonts w:hint="eastAsia" w:ascii="宋体" w:hAnsi="宋体" w:eastAsia="宋体" w:cs="宋体"/>
          <w:bCs/>
          <w:sz w:val="24"/>
          <w:szCs w:val="24"/>
          <w:lang w:eastAsia="zh-CN"/>
        </w:rPr>
      </w:pPr>
    </w:p>
    <w:p>
      <w:pPr>
        <w:spacing w:line="360" w:lineRule="auto"/>
        <w:ind w:firstLine="480" w:firstLineChars="200"/>
        <w:rPr>
          <w:rFonts w:hint="eastAsia" w:ascii="宋体" w:hAnsi="宋体" w:eastAsia="宋体" w:cs="宋体"/>
          <w:bCs/>
          <w:sz w:val="24"/>
          <w:szCs w:val="24"/>
          <w:lang w:eastAsia="zh-CN"/>
        </w:rPr>
      </w:pPr>
    </w:p>
    <w:p>
      <w:pPr>
        <w:spacing w:line="360" w:lineRule="auto"/>
        <w:ind w:firstLine="480" w:firstLineChars="200"/>
        <w:rPr>
          <w:rFonts w:hint="eastAsia" w:ascii="宋体" w:hAnsi="宋体" w:eastAsia="宋体" w:cs="宋体"/>
          <w:bCs/>
          <w:sz w:val="24"/>
          <w:szCs w:val="24"/>
          <w:lang w:eastAsia="zh-CN"/>
        </w:rPr>
      </w:pPr>
    </w:p>
    <w:p>
      <w:pPr>
        <w:pStyle w:val="2"/>
        <w:rPr>
          <w:rFonts w:hint="eastAsia"/>
          <w:lang w:eastAsia="zh-CN"/>
        </w:rPr>
      </w:pPr>
      <w:r>
        <w:rPr>
          <w:rFonts w:hint="eastAsia"/>
          <w:lang w:eastAsia="zh-CN"/>
        </w:rPr>
        <w:drawing>
          <wp:inline distT="0" distB="0" distL="114300" distR="114300">
            <wp:extent cx="5946775" cy="8543925"/>
            <wp:effectExtent l="0" t="0" r="15875" b="9525"/>
            <wp:docPr id="7" name="图片 7" descr="df2921940355efdc5854dfd4de03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f2921940355efdc5854dfd4de03e15"/>
                    <pic:cNvPicPr>
                      <a:picLocks noChangeAspect="1"/>
                    </pic:cNvPicPr>
                  </pic:nvPicPr>
                  <pic:blipFill>
                    <a:blip r:embed="rId10"/>
                    <a:stretch>
                      <a:fillRect/>
                    </a:stretch>
                  </pic:blipFill>
                  <pic:spPr>
                    <a:xfrm>
                      <a:off x="0" y="0"/>
                      <a:ext cx="5946775" cy="8543925"/>
                    </a:xfrm>
                    <a:prstGeom prst="rect">
                      <a:avLst/>
                    </a:prstGeom>
                  </pic:spPr>
                </pic:pic>
              </a:graphicData>
            </a:graphic>
          </wp:inline>
        </w:drawing>
      </w:r>
    </w:p>
    <w:p>
      <w:pPr>
        <w:spacing w:line="360" w:lineRule="auto"/>
        <w:ind w:firstLine="480" w:firstLineChars="200"/>
        <w:rPr>
          <w:rFonts w:hint="eastAsia" w:ascii="宋体" w:hAnsi="宋体" w:eastAsia="宋体" w:cs="宋体"/>
          <w:bCs/>
          <w:sz w:val="24"/>
          <w:szCs w:val="24"/>
          <w:lang w:eastAsia="zh-CN"/>
        </w:rPr>
      </w:pPr>
    </w:p>
    <w:p>
      <w:pPr>
        <w:spacing w:line="360" w:lineRule="auto"/>
        <w:jc w:val="center"/>
        <w:outlineLvl w:val="0"/>
        <w:rPr>
          <w:rFonts w:hint="eastAsia" w:ascii="宋体" w:hAnsi="宋体" w:eastAsia="宋体" w:cs="宋体"/>
          <w:b/>
          <w:kern w:val="44"/>
          <w:sz w:val="24"/>
          <w:szCs w:val="24"/>
        </w:rPr>
      </w:pPr>
      <w:bookmarkStart w:id="0" w:name="_Toc7144_WPSOffice_Level2"/>
      <w:bookmarkStart w:id="1" w:name="_Toc476044493"/>
      <w:bookmarkStart w:id="2" w:name="_Toc20936"/>
      <w:bookmarkStart w:id="3" w:name="_Toc17709"/>
      <w:bookmarkStart w:id="4" w:name="_Toc22441"/>
      <w:r>
        <w:rPr>
          <w:rFonts w:hint="eastAsia" w:ascii="宋体" w:hAnsi="宋体" w:eastAsia="宋体" w:cs="宋体"/>
          <w:b/>
          <w:kern w:val="44"/>
          <w:sz w:val="24"/>
          <w:szCs w:val="24"/>
        </w:rPr>
        <w:t>第三部分 专用合同条款</w:t>
      </w:r>
      <w:bookmarkEnd w:id="0"/>
      <w:bookmarkEnd w:id="1"/>
      <w:bookmarkEnd w:id="2"/>
      <w:bookmarkEnd w:id="3"/>
      <w:bookmarkEnd w:id="4"/>
    </w:p>
    <w:p>
      <w:pPr>
        <w:spacing w:line="360" w:lineRule="auto"/>
        <w:jc w:val="left"/>
        <w:outlineLvl w:val="1"/>
        <w:rPr>
          <w:rFonts w:hint="eastAsia" w:ascii="宋体" w:hAnsi="宋体" w:eastAsia="宋体" w:cs="宋体"/>
          <w:bCs/>
          <w:kern w:val="44"/>
          <w:sz w:val="24"/>
          <w:szCs w:val="24"/>
        </w:rPr>
      </w:pPr>
      <w:bookmarkStart w:id="5" w:name="_Toc351203633"/>
      <w:bookmarkStart w:id="6" w:name="_Toc26095_WPSOffice_Level2"/>
      <w:bookmarkStart w:id="7" w:name="_Toc30859"/>
      <w:r>
        <w:rPr>
          <w:rFonts w:hint="eastAsia" w:ascii="宋体" w:hAnsi="宋体" w:eastAsia="宋体" w:cs="宋体"/>
          <w:b/>
          <w:bCs w:val="0"/>
          <w:kern w:val="44"/>
          <w:sz w:val="24"/>
          <w:szCs w:val="24"/>
        </w:rPr>
        <w:t>1</w:t>
      </w:r>
      <w:bookmarkStart w:id="8" w:name="_Toc297120456"/>
      <w:bookmarkStart w:id="9" w:name="_Toc296503156"/>
      <w:bookmarkStart w:id="10" w:name="_Toc296347155"/>
      <w:bookmarkStart w:id="11" w:name="_Toc296890984"/>
      <w:bookmarkStart w:id="12" w:name="_Toc297048342"/>
      <w:bookmarkStart w:id="13" w:name="_Toc296944495"/>
      <w:bookmarkStart w:id="14" w:name="_Toc292559361"/>
      <w:bookmarkStart w:id="15" w:name="_Toc296346657"/>
      <w:bookmarkStart w:id="16" w:name="_Toc296891196"/>
      <w:bookmarkStart w:id="17" w:name="_Toc292559866"/>
      <w:r>
        <w:rPr>
          <w:rFonts w:hint="eastAsia" w:ascii="宋体" w:hAnsi="宋体" w:eastAsia="宋体" w:cs="宋体"/>
          <w:b/>
          <w:bCs w:val="0"/>
          <w:kern w:val="44"/>
          <w:sz w:val="24"/>
          <w:szCs w:val="24"/>
        </w:rPr>
        <w:t>. 一般约定</w:t>
      </w:r>
      <w:bookmarkEnd w:id="5"/>
      <w:bookmarkEnd w:id="6"/>
      <w:bookmarkEnd w:id="7"/>
    </w:p>
    <w:bookmarkEnd w:id="8"/>
    <w:bookmarkEnd w:id="9"/>
    <w:bookmarkEnd w:id="10"/>
    <w:bookmarkEnd w:id="11"/>
    <w:bookmarkEnd w:id="12"/>
    <w:bookmarkEnd w:id="13"/>
    <w:bookmarkEnd w:id="14"/>
    <w:bookmarkEnd w:id="15"/>
    <w:bookmarkEnd w:id="16"/>
    <w:bookmarkEnd w:id="17"/>
    <w:p>
      <w:pPr>
        <w:spacing w:line="360" w:lineRule="auto"/>
        <w:jc w:val="left"/>
        <w:rPr>
          <w:rFonts w:hint="eastAsia" w:ascii="宋体" w:hAnsi="宋体" w:eastAsia="宋体" w:cs="宋体"/>
          <w:bCs/>
          <w:kern w:val="44"/>
          <w:sz w:val="24"/>
          <w:szCs w:val="24"/>
        </w:rPr>
      </w:pPr>
      <w:bookmarkStart w:id="18" w:name="_Toc10752"/>
      <w:bookmarkStart w:id="19" w:name="_Toc30909"/>
      <w:bookmarkStart w:id="20" w:name="_Toc23505"/>
      <w:r>
        <w:rPr>
          <w:rFonts w:hint="eastAsia" w:ascii="宋体" w:hAnsi="宋体" w:eastAsia="宋体" w:cs="宋体"/>
          <w:bCs/>
          <w:kern w:val="44"/>
          <w:sz w:val="24"/>
          <w:szCs w:val="24"/>
        </w:rPr>
        <w:t>1.1 词语定义</w:t>
      </w:r>
      <w:bookmarkEnd w:id="18"/>
      <w:bookmarkEnd w:id="19"/>
      <w:bookmarkEnd w:id="20"/>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1.1.1合同</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1.1.1.10其他合同文件包括：招标文件（如招标答疑等）、招标工程量清单（包含项目特征描述）、中标通知书、投标文件及其附录、技术标准和要求、图纸、已标价工程量清单或预算书、其他合同文件及双方代表或工地代表人书面确认的对合同内容有实质性影响的会议纪要、签证、技术核定单、设计变更等资料视为本合同的组成部分（未加盖双方印章无效）；监理人发布的经发包人签字、盖章认可的变更指示、工程签证。</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1.1.2 合同当事人及其他相关方</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1.1.2.4监理人：</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名    称：</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资质类别和等级：</w:t>
      </w:r>
      <w:r>
        <w:rPr>
          <w:rFonts w:hint="eastAsia" w:ascii="宋体" w:hAnsi="宋体" w:eastAsia="宋体" w:cs="宋体"/>
          <w:bCs/>
          <w:kern w:val="44"/>
          <w:sz w:val="24"/>
          <w:szCs w:val="24"/>
          <w:u w:val="single"/>
        </w:rPr>
        <w:t>/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联系电话：</w:t>
      </w:r>
      <w:r>
        <w:rPr>
          <w:rFonts w:hint="eastAsia" w:ascii="宋体" w:hAnsi="宋体" w:eastAsia="宋体" w:cs="宋体"/>
          <w:bCs/>
          <w:kern w:val="44"/>
          <w:sz w:val="24"/>
          <w:szCs w:val="24"/>
          <w:u w:val="single"/>
        </w:rPr>
        <w:t>/                  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电子信箱（传真）：</w:t>
      </w:r>
      <w:r>
        <w:rPr>
          <w:rFonts w:hint="eastAsia" w:ascii="宋体" w:hAnsi="宋体" w:eastAsia="宋体" w:cs="宋体"/>
          <w:bCs/>
          <w:kern w:val="44"/>
          <w:sz w:val="24"/>
          <w:szCs w:val="24"/>
          <w:u w:val="single"/>
        </w:rPr>
        <w:t>/     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通信地址：</w:t>
      </w:r>
      <w:r>
        <w:rPr>
          <w:rFonts w:hint="eastAsia" w:ascii="宋体" w:hAnsi="宋体" w:eastAsia="宋体" w:cs="宋体"/>
          <w:bCs/>
          <w:kern w:val="44"/>
          <w:sz w:val="24"/>
          <w:szCs w:val="24"/>
          <w:u w:val="single"/>
        </w:rPr>
        <w:t>/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1.1.2.5 设计人：</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名    称：</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资质类别和等级：</w:t>
      </w:r>
      <w:r>
        <w:rPr>
          <w:rFonts w:hint="eastAsia" w:ascii="宋体" w:hAnsi="宋体" w:eastAsia="宋体" w:cs="宋体"/>
          <w:bCs/>
          <w:kern w:val="44"/>
          <w:sz w:val="24"/>
          <w:szCs w:val="24"/>
          <w:u w:val="single"/>
        </w:rPr>
        <w:t xml:space="preserve">             /       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联系电话：</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电子信箱：</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通信地址：</w:t>
      </w:r>
      <w:r>
        <w:rPr>
          <w:rFonts w:hint="eastAsia" w:ascii="宋体" w:hAnsi="宋体" w:eastAsia="宋体" w:cs="宋体"/>
          <w:bCs/>
          <w:kern w:val="44"/>
          <w:sz w:val="24"/>
          <w:szCs w:val="24"/>
          <w:u w:val="single"/>
        </w:rPr>
        <w:t>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1.1.3 工程和设备</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1.1.3.1 作为施工现场组成部分的其他场所包括：符合通用条款规定施工场地材料堆场、施工现场 、办公室、会议室、食堂、宿舍、临时水电设施等。</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1.1.3.2 永久占地包括：</w:t>
      </w:r>
      <w:r>
        <w:rPr>
          <w:rFonts w:hint="eastAsia" w:ascii="宋体" w:hAnsi="宋体" w:eastAsia="宋体" w:cs="宋体"/>
          <w:bCs/>
          <w:kern w:val="44"/>
          <w:sz w:val="24"/>
          <w:szCs w:val="24"/>
          <w:u w:val="single"/>
        </w:rPr>
        <w:t xml:space="preserve">          /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1.1.3.13 临时占地包括：施工合同实施过程中双方认可的材料、工器具临时存放地 施工及管理人员临时休息处所。</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 xml:space="preserve">1.3法律 </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适用于合同的其他规范性文件：当地政府发布的施工当期有关工程建设及管理的相关文件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1.4 标准和规范</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1.4.1适用于工程的标准规范包括：《中华人民共和国建筑法》、《中华人民共和国合同法》、《中华人民共和国招标投标法》、《工程建设标准强制性标准条文》、《建设工程质量管理条例》、《建设工程安全生产管理条例》《房屋建筑工程质量保修办法》、FIDIC条款《施工合同条件》、河南省及郑州市相关的法规、条例和行政规范性文件等。</w:t>
      </w:r>
    </w:p>
    <w:p>
      <w:pPr>
        <w:spacing w:line="360" w:lineRule="auto"/>
        <w:jc w:val="left"/>
        <w:rPr>
          <w:rFonts w:hint="eastAsia" w:ascii="宋体" w:hAnsi="宋体" w:eastAsia="宋体" w:cs="宋体"/>
          <w:bCs/>
          <w:kern w:val="44"/>
          <w:sz w:val="24"/>
          <w:szCs w:val="24"/>
        </w:rPr>
      </w:pPr>
      <w:bookmarkStart w:id="21" w:name="_Toc24649"/>
      <w:bookmarkStart w:id="22" w:name="_Toc21887"/>
      <w:bookmarkStart w:id="23" w:name="_Toc1034"/>
      <w:r>
        <w:rPr>
          <w:rFonts w:hint="eastAsia" w:ascii="宋体" w:hAnsi="宋体" w:eastAsia="宋体" w:cs="宋体"/>
          <w:bCs/>
          <w:kern w:val="44"/>
          <w:sz w:val="24"/>
          <w:szCs w:val="24"/>
        </w:rPr>
        <w:t>1.4.2 发包人提供国外标准、规范的名称：</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bookmarkEnd w:id="21"/>
      <w:bookmarkEnd w:id="22"/>
      <w:bookmarkEnd w:id="23"/>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发包人提供国外标准、规范的份数：</w:t>
      </w:r>
      <w:r>
        <w:rPr>
          <w:rFonts w:hint="eastAsia" w:ascii="宋体" w:hAnsi="宋体" w:eastAsia="宋体" w:cs="宋体"/>
          <w:bCs/>
          <w:kern w:val="44"/>
          <w:sz w:val="24"/>
          <w:szCs w:val="24"/>
          <w:u w:val="single"/>
        </w:rPr>
        <w:t xml:space="preserve"> 不提供，承包人自备标准、规范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发包人提供国外标准、规范的名称：</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1.4.3发包人对工程的技术标准和功能要求的特殊要求：</w:t>
      </w:r>
      <w:r>
        <w:rPr>
          <w:rFonts w:hint="eastAsia" w:ascii="宋体" w:hAnsi="宋体" w:eastAsia="宋体" w:cs="宋体"/>
          <w:bCs/>
          <w:kern w:val="44"/>
          <w:sz w:val="24"/>
          <w:szCs w:val="24"/>
          <w:u w:val="single"/>
        </w:rPr>
        <w:t>无</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24" w:name="_Toc30152"/>
      <w:bookmarkStart w:id="25" w:name="_Toc17478"/>
      <w:bookmarkStart w:id="26" w:name="_Toc13404"/>
      <w:r>
        <w:rPr>
          <w:rFonts w:hint="eastAsia" w:ascii="宋体" w:hAnsi="宋体" w:eastAsia="宋体" w:cs="宋体"/>
          <w:bCs/>
          <w:kern w:val="44"/>
          <w:sz w:val="24"/>
          <w:szCs w:val="24"/>
        </w:rPr>
        <w:t>1.5 合同文件的优先顺序</w:t>
      </w:r>
      <w:bookmarkEnd w:id="24"/>
      <w:bookmarkEnd w:id="25"/>
      <w:bookmarkEnd w:id="26"/>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合同文件组成及优先顺序为：（1）本合同协议书（包括补充协议书，如果有）（2）中标通知书（如果有）；（3）招标文件及答疑书、招标过程中所发函件；（4）施工图纸（招标时包含审图修改通知单及设计院根据审图结果出具的设计修改文件）；（5）招标经双方核对确认的预算书（含编制说明）（6）专用合同条款及其附件；（7）通用合同条款；（8）技术标准和要求；（9）已标价工程量清单或预算书；（10）投标文件及投标过程中的承诺及澄清文件；（11）质保期内的维修协议及其他合同文件。</w:t>
      </w:r>
    </w:p>
    <w:p>
      <w:pPr>
        <w:spacing w:line="360" w:lineRule="auto"/>
        <w:jc w:val="left"/>
        <w:rPr>
          <w:rFonts w:hint="eastAsia" w:ascii="宋体" w:hAnsi="宋体" w:eastAsia="宋体" w:cs="宋体"/>
          <w:bCs/>
          <w:kern w:val="44"/>
          <w:sz w:val="24"/>
          <w:szCs w:val="24"/>
        </w:rPr>
      </w:pPr>
      <w:bookmarkStart w:id="27" w:name="_Toc26897"/>
      <w:bookmarkStart w:id="28" w:name="_Toc3787"/>
      <w:bookmarkStart w:id="29" w:name="_Toc26410"/>
      <w:r>
        <w:rPr>
          <w:rFonts w:hint="eastAsia" w:ascii="宋体" w:hAnsi="宋体" w:eastAsia="宋体" w:cs="宋体"/>
          <w:bCs/>
          <w:kern w:val="44"/>
          <w:sz w:val="24"/>
          <w:szCs w:val="24"/>
        </w:rPr>
        <w:t>1.6 图纸和承包人文件</w:t>
      </w:r>
      <w:bookmarkEnd w:id="27"/>
      <w:bookmarkEnd w:id="28"/>
      <w:bookmarkEnd w:id="29"/>
      <w:r>
        <w:rPr>
          <w:rFonts w:hint="eastAsia" w:ascii="宋体" w:hAnsi="宋体" w:eastAsia="宋体" w:cs="宋体"/>
          <w:bCs/>
          <w:kern w:val="44"/>
          <w:sz w:val="24"/>
          <w:szCs w:val="24"/>
        </w:rPr>
        <w:tab/>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1.6.1 图纸的提供</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发包人向承包人提供图纸的期限：</w:t>
      </w:r>
      <w:r>
        <w:rPr>
          <w:rFonts w:hint="eastAsia" w:ascii="宋体" w:hAnsi="宋体" w:eastAsia="宋体" w:cs="宋体"/>
          <w:bCs/>
          <w:kern w:val="44"/>
          <w:sz w:val="24"/>
          <w:szCs w:val="24"/>
          <w:u w:val="single"/>
        </w:rPr>
        <w:t>合同签订后5日内</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发包人向承包人提供图纸的数量：</w:t>
      </w:r>
      <w:r>
        <w:rPr>
          <w:rFonts w:hint="eastAsia" w:ascii="宋体" w:hAnsi="宋体" w:eastAsia="宋体" w:cs="宋体"/>
          <w:bCs/>
          <w:kern w:val="44"/>
          <w:sz w:val="24"/>
          <w:szCs w:val="24"/>
          <w:u w:val="single"/>
        </w:rPr>
        <w:t>4套</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发包人向承包人提供图纸的内容：</w:t>
      </w:r>
      <w:r>
        <w:rPr>
          <w:rFonts w:hint="eastAsia" w:ascii="宋体" w:hAnsi="宋体" w:eastAsia="宋体" w:cs="宋体"/>
          <w:bCs/>
          <w:kern w:val="44"/>
          <w:sz w:val="24"/>
          <w:szCs w:val="24"/>
          <w:u w:val="single"/>
        </w:rPr>
        <w:t>施工蓝图及因报建、报批、报审需要修改的开标之前设计院已出具的设计修改文件</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1.6.4 承包人文件</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需要由承包人提供的文件，包括：</w:t>
      </w:r>
      <w:r>
        <w:rPr>
          <w:rFonts w:hint="eastAsia" w:ascii="宋体" w:hAnsi="宋体" w:eastAsia="宋体" w:cs="宋体"/>
          <w:bCs/>
          <w:kern w:val="44"/>
          <w:sz w:val="24"/>
          <w:szCs w:val="24"/>
          <w:u w:val="single"/>
        </w:rPr>
        <w:t xml:space="preserve">施工组织设计等与本工程施工有关的文件（包含承包人出具的项目经理总工及商务经理、生产经理的正式任命函）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承包人提供的文件的期限为：</w:t>
      </w:r>
      <w:r>
        <w:rPr>
          <w:rFonts w:hint="eastAsia" w:ascii="宋体" w:hAnsi="宋体" w:eastAsia="宋体" w:cs="宋体"/>
          <w:bCs/>
          <w:kern w:val="44"/>
          <w:sz w:val="24"/>
          <w:szCs w:val="24"/>
          <w:u w:val="single"/>
        </w:rPr>
        <w:t>本工程合同签订后14天内及本工程开工前7天内</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承包人提供的文件的数量为：</w:t>
      </w:r>
      <w:r>
        <w:rPr>
          <w:rFonts w:hint="eastAsia" w:ascii="宋体" w:hAnsi="宋体" w:eastAsia="宋体" w:cs="宋体"/>
          <w:bCs/>
          <w:kern w:val="44"/>
          <w:sz w:val="24"/>
          <w:szCs w:val="24"/>
          <w:u w:val="single"/>
        </w:rPr>
        <w:t>一式六份</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承包人提供的文件的形式为：</w:t>
      </w:r>
      <w:r>
        <w:rPr>
          <w:rFonts w:hint="eastAsia" w:ascii="宋体" w:hAnsi="宋体" w:eastAsia="宋体" w:cs="宋体"/>
          <w:bCs/>
          <w:kern w:val="44"/>
          <w:sz w:val="24"/>
          <w:szCs w:val="24"/>
          <w:u w:val="single"/>
        </w:rPr>
        <w:t>纸质文件五份，电子文件一份</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发包人审批承包人文件的期限：</w:t>
      </w:r>
      <w:r>
        <w:rPr>
          <w:rFonts w:hint="eastAsia" w:ascii="宋体" w:hAnsi="宋体" w:eastAsia="宋体" w:cs="宋体"/>
          <w:bCs/>
          <w:kern w:val="44"/>
          <w:sz w:val="24"/>
          <w:szCs w:val="24"/>
          <w:u w:val="single"/>
        </w:rPr>
        <w:t>收到承包人文件后7天</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1.6.5 现场图纸准备</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关于现场图纸准备的约定：</w:t>
      </w:r>
      <w:r>
        <w:rPr>
          <w:rFonts w:hint="eastAsia" w:ascii="宋体" w:hAnsi="宋体" w:eastAsia="宋体" w:cs="宋体"/>
          <w:bCs/>
          <w:kern w:val="44"/>
          <w:sz w:val="24"/>
          <w:szCs w:val="24"/>
          <w:u w:val="single"/>
        </w:rPr>
        <w:t>按通用合同条款执行</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30" w:name="_Toc11424"/>
      <w:bookmarkStart w:id="31" w:name="_Toc22938"/>
      <w:bookmarkStart w:id="32" w:name="_Toc22295"/>
      <w:r>
        <w:rPr>
          <w:rFonts w:hint="eastAsia" w:ascii="宋体" w:hAnsi="宋体" w:eastAsia="宋体" w:cs="宋体"/>
          <w:bCs/>
          <w:kern w:val="44"/>
          <w:sz w:val="24"/>
          <w:szCs w:val="24"/>
        </w:rPr>
        <w:t>1.7 联络</w:t>
      </w:r>
      <w:bookmarkEnd w:id="30"/>
      <w:bookmarkEnd w:id="31"/>
      <w:bookmarkEnd w:id="32"/>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1.7.1发包人和承包人应当在</w:t>
      </w:r>
      <w:r>
        <w:rPr>
          <w:rFonts w:hint="eastAsia" w:ascii="宋体" w:hAnsi="宋体" w:eastAsia="宋体" w:cs="宋体"/>
          <w:bCs/>
          <w:kern w:val="44"/>
          <w:sz w:val="24"/>
          <w:szCs w:val="24"/>
          <w:u w:val="single"/>
        </w:rPr>
        <w:t xml:space="preserve">5 </w:t>
      </w:r>
      <w:r>
        <w:rPr>
          <w:rFonts w:hint="eastAsia" w:ascii="宋体" w:hAnsi="宋体" w:eastAsia="宋体" w:cs="宋体"/>
          <w:bCs/>
          <w:kern w:val="44"/>
          <w:sz w:val="24"/>
          <w:szCs w:val="24"/>
        </w:rPr>
        <w:t>天内将与合同有关的通知、批准、证明、证书、指示、指令、要求、请求、同意、意见、确定和决定等书面函件送达对方当事人。</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1.7.2 发包人接收文件的地点：</w:t>
      </w:r>
      <w:r>
        <w:rPr>
          <w:rFonts w:hint="eastAsia" w:ascii="宋体" w:hAnsi="宋体" w:eastAsia="宋体" w:cs="宋体"/>
          <w:bCs/>
          <w:kern w:val="44"/>
          <w:sz w:val="24"/>
          <w:szCs w:val="24"/>
          <w:u w:val="single"/>
        </w:rPr>
        <w:t>发包人办公地点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发包人指定的接收人为：</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u w:val="single"/>
          <w:lang w:val="en-US" w:eastAsia="zh-CN"/>
        </w:rPr>
        <w:t>黄保富</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承包人接收文件的地点：</w:t>
      </w:r>
      <w:r>
        <w:rPr>
          <w:rFonts w:hint="eastAsia" w:ascii="宋体" w:hAnsi="宋体" w:eastAsia="宋体" w:cs="宋体"/>
          <w:bCs/>
          <w:kern w:val="44"/>
          <w:sz w:val="24"/>
          <w:szCs w:val="24"/>
          <w:u w:val="single"/>
        </w:rPr>
        <w:t>施工现场承包人办公地点</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承包人指定的接收人为：</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监理人接收文件的地点：</w:t>
      </w:r>
      <w:r>
        <w:rPr>
          <w:rFonts w:hint="eastAsia" w:ascii="宋体" w:hAnsi="宋体" w:eastAsia="宋体" w:cs="宋体"/>
          <w:bCs/>
          <w:kern w:val="44"/>
          <w:sz w:val="24"/>
          <w:szCs w:val="24"/>
          <w:u w:val="single"/>
        </w:rPr>
        <w:t>施工现场监理人办公地点</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监理人指定的接收人为：</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u w:val="single"/>
          <w:lang w:val="en-US" w:eastAsia="zh-CN"/>
        </w:rPr>
        <w:t>李文帅</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33" w:name="_Toc342"/>
      <w:bookmarkStart w:id="34" w:name="_Toc14262"/>
      <w:bookmarkStart w:id="35" w:name="_Toc1823"/>
      <w:r>
        <w:rPr>
          <w:rFonts w:hint="eastAsia" w:ascii="宋体" w:hAnsi="宋体" w:eastAsia="宋体" w:cs="宋体"/>
          <w:bCs/>
          <w:kern w:val="44"/>
          <w:sz w:val="24"/>
          <w:szCs w:val="24"/>
        </w:rPr>
        <w:t>1.10 交通运输</w:t>
      </w:r>
      <w:bookmarkEnd w:id="33"/>
      <w:bookmarkEnd w:id="34"/>
      <w:bookmarkEnd w:id="35"/>
    </w:p>
    <w:p>
      <w:pPr>
        <w:spacing w:line="360" w:lineRule="auto"/>
        <w:jc w:val="left"/>
        <w:rPr>
          <w:rFonts w:hint="eastAsia" w:ascii="宋体" w:hAnsi="宋体" w:eastAsia="宋体" w:cs="宋体"/>
          <w:bCs/>
          <w:kern w:val="44"/>
          <w:sz w:val="24"/>
          <w:szCs w:val="24"/>
        </w:rPr>
      </w:pPr>
      <w:bookmarkStart w:id="36" w:name="_Toc7009"/>
      <w:bookmarkStart w:id="37" w:name="_Toc20460"/>
      <w:bookmarkStart w:id="38" w:name="_Toc26860"/>
      <w:r>
        <w:rPr>
          <w:rFonts w:hint="eastAsia" w:ascii="宋体" w:hAnsi="宋体" w:eastAsia="宋体" w:cs="宋体"/>
          <w:bCs/>
          <w:kern w:val="44"/>
          <w:sz w:val="24"/>
          <w:szCs w:val="24"/>
        </w:rPr>
        <w:t>1</w:t>
      </w:r>
      <w:bookmarkStart w:id="39" w:name="_Toc304295521"/>
      <w:bookmarkStart w:id="40" w:name="_Toc318581155"/>
      <w:bookmarkStart w:id="41" w:name="_Toc303539100"/>
      <w:bookmarkStart w:id="42" w:name="_Toc312677986"/>
      <w:bookmarkStart w:id="43" w:name="_Toc300934943"/>
      <w:r>
        <w:rPr>
          <w:rFonts w:hint="eastAsia" w:ascii="宋体" w:hAnsi="宋体" w:eastAsia="宋体" w:cs="宋体"/>
          <w:bCs/>
          <w:kern w:val="44"/>
          <w:sz w:val="24"/>
          <w:szCs w:val="24"/>
        </w:rPr>
        <w:t>.10.1 出入现场的权利</w:t>
      </w:r>
      <w:bookmarkEnd w:id="36"/>
      <w:bookmarkEnd w:id="37"/>
      <w:bookmarkEnd w:id="38"/>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关于出入现场的权利的约定：</w:t>
      </w:r>
      <w:r>
        <w:rPr>
          <w:rFonts w:hint="eastAsia" w:ascii="宋体" w:hAnsi="宋体" w:eastAsia="宋体" w:cs="宋体"/>
          <w:bCs/>
          <w:kern w:val="44"/>
          <w:sz w:val="24"/>
          <w:szCs w:val="24"/>
          <w:u w:val="single"/>
        </w:rPr>
        <w:t>按通用合同条款执行 </w:t>
      </w:r>
      <w:r>
        <w:rPr>
          <w:rFonts w:hint="eastAsia" w:ascii="宋体" w:hAnsi="宋体" w:eastAsia="宋体" w:cs="宋体"/>
          <w:bCs/>
          <w:kern w:val="44"/>
          <w:sz w:val="24"/>
          <w:szCs w:val="24"/>
        </w:rPr>
        <w:t>。</w:t>
      </w:r>
    </w:p>
    <w:bookmarkEnd w:id="39"/>
    <w:bookmarkEnd w:id="40"/>
    <w:bookmarkEnd w:id="41"/>
    <w:bookmarkEnd w:id="42"/>
    <w:bookmarkEnd w:id="43"/>
    <w:p>
      <w:pPr>
        <w:spacing w:line="360" w:lineRule="auto"/>
        <w:jc w:val="left"/>
        <w:rPr>
          <w:rFonts w:hint="eastAsia" w:ascii="宋体" w:hAnsi="宋体" w:eastAsia="宋体" w:cs="宋体"/>
          <w:bCs/>
          <w:kern w:val="44"/>
          <w:sz w:val="24"/>
          <w:szCs w:val="24"/>
        </w:rPr>
      </w:pPr>
      <w:bookmarkStart w:id="44" w:name="_Toc8660"/>
      <w:bookmarkStart w:id="45" w:name="_Toc23642"/>
      <w:bookmarkStart w:id="46" w:name="_Toc8857"/>
      <w:r>
        <w:rPr>
          <w:rFonts w:hint="eastAsia" w:ascii="宋体" w:hAnsi="宋体" w:eastAsia="宋体" w:cs="宋体"/>
          <w:bCs/>
          <w:kern w:val="44"/>
          <w:sz w:val="24"/>
          <w:szCs w:val="24"/>
        </w:rPr>
        <w:t>1</w:t>
      </w:r>
      <w:bookmarkStart w:id="47" w:name="_Toc303539101"/>
      <w:bookmarkStart w:id="48" w:name="_Toc304295522"/>
      <w:bookmarkStart w:id="49" w:name="_Toc318581156"/>
      <w:bookmarkStart w:id="50" w:name="_Toc300934944"/>
      <w:bookmarkStart w:id="51" w:name="_Toc312677987"/>
      <w:r>
        <w:rPr>
          <w:rFonts w:hint="eastAsia" w:ascii="宋体" w:hAnsi="宋体" w:eastAsia="宋体" w:cs="宋体"/>
          <w:bCs/>
          <w:kern w:val="44"/>
          <w:sz w:val="24"/>
          <w:szCs w:val="24"/>
        </w:rPr>
        <w:t>.10.2 场内交通</w:t>
      </w:r>
      <w:bookmarkEnd w:id="44"/>
      <w:bookmarkEnd w:id="45"/>
      <w:bookmarkEnd w:id="46"/>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关于场外交通和场内交通的边界的约定：</w:t>
      </w:r>
      <w:r>
        <w:rPr>
          <w:rFonts w:hint="eastAsia" w:ascii="宋体" w:hAnsi="宋体" w:eastAsia="宋体" w:cs="宋体"/>
          <w:bCs/>
          <w:kern w:val="44"/>
          <w:sz w:val="24"/>
          <w:szCs w:val="24"/>
          <w:u w:val="single"/>
        </w:rPr>
        <w:t xml:space="preserve">以施工现场封闭围挡为界，发包人校园内因承包人施工车辆通过造成的路面污染在保洁完毕移交给发包人前扔属于承包人的城内交通道路，因承包人使用，确需要保洁道路造成的费用支出由承包人承担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关于发包人向承包人免费提供满足工程施工需要的场内道路和交通设施的约定：</w:t>
      </w:r>
      <w:r>
        <w:rPr>
          <w:rFonts w:hint="eastAsia" w:ascii="宋体" w:hAnsi="宋体" w:eastAsia="宋体" w:cs="宋体"/>
          <w:bCs/>
          <w:kern w:val="44"/>
          <w:sz w:val="24"/>
          <w:szCs w:val="24"/>
          <w:u w:val="single"/>
        </w:rPr>
        <w:t xml:space="preserve">  按发包人项目现状所在地，现状提供 ，因场地需要清理等发生费用由承包人承担   </w:t>
      </w:r>
      <w:r>
        <w:rPr>
          <w:rFonts w:hint="eastAsia" w:ascii="宋体" w:hAnsi="宋体" w:eastAsia="宋体" w:cs="宋体"/>
          <w:bCs/>
          <w:kern w:val="44"/>
          <w:sz w:val="24"/>
          <w:szCs w:val="24"/>
        </w:rPr>
        <w:t>。</w:t>
      </w:r>
      <w:bookmarkEnd w:id="47"/>
      <w:bookmarkEnd w:id="48"/>
      <w:bookmarkEnd w:id="49"/>
      <w:bookmarkEnd w:id="50"/>
      <w:bookmarkEnd w:id="51"/>
      <w:r>
        <w:rPr>
          <w:rFonts w:hint="eastAsia" w:ascii="宋体" w:hAnsi="宋体" w:eastAsia="宋体" w:cs="宋体"/>
          <w:bCs/>
          <w:kern w:val="44"/>
          <w:sz w:val="24"/>
          <w:szCs w:val="24"/>
        </w:rPr>
        <w:t xml:space="preserve">  </w:t>
      </w:r>
      <w:bookmarkStart w:id="52" w:name="_Toc318581157"/>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1.10.3超大件和超重件的运输</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运输超大件或超重件所需的道路和桥梁临时加固改造费用和其他有关费用由</w:t>
      </w:r>
      <w:r>
        <w:rPr>
          <w:rFonts w:hint="eastAsia" w:ascii="宋体" w:hAnsi="宋体" w:eastAsia="宋体" w:cs="宋体"/>
          <w:bCs/>
          <w:kern w:val="44"/>
          <w:sz w:val="24"/>
          <w:szCs w:val="24"/>
          <w:u w:val="single"/>
        </w:rPr>
        <w:t>承包人</w:t>
      </w:r>
      <w:r>
        <w:rPr>
          <w:rFonts w:hint="eastAsia" w:ascii="宋体" w:hAnsi="宋体" w:eastAsia="宋体" w:cs="宋体"/>
          <w:bCs/>
          <w:kern w:val="44"/>
          <w:sz w:val="24"/>
          <w:szCs w:val="24"/>
        </w:rPr>
        <w:t>承担。</w:t>
      </w:r>
    </w:p>
    <w:bookmarkEnd w:id="52"/>
    <w:p>
      <w:pPr>
        <w:spacing w:line="360" w:lineRule="auto"/>
        <w:jc w:val="left"/>
        <w:rPr>
          <w:rFonts w:hint="eastAsia" w:ascii="宋体" w:hAnsi="宋体" w:eastAsia="宋体" w:cs="宋体"/>
          <w:bCs/>
          <w:kern w:val="44"/>
          <w:sz w:val="24"/>
          <w:szCs w:val="24"/>
        </w:rPr>
      </w:pPr>
      <w:bookmarkStart w:id="53" w:name="_Toc18341"/>
      <w:bookmarkStart w:id="54" w:name="_Toc8147"/>
      <w:bookmarkStart w:id="55" w:name="_Toc15829"/>
      <w:r>
        <w:rPr>
          <w:rFonts w:hint="eastAsia" w:ascii="宋体" w:hAnsi="宋体" w:eastAsia="宋体" w:cs="宋体"/>
          <w:bCs/>
          <w:kern w:val="44"/>
          <w:sz w:val="24"/>
          <w:szCs w:val="24"/>
        </w:rPr>
        <w:t>1.11 知识产权</w:t>
      </w:r>
      <w:bookmarkEnd w:id="53"/>
      <w:bookmarkEnd w:id="54"/>
      <w:bookmarkEnd w:id="55"/>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bCs/>
          <w:kern w:val="44"/>
          <w:sz w:val="24"/>
          <w:szCs w:val="24"/>
          <w:u w:val="single"/>
        </w:rPr>
        <w:t xml:space="preserve">归发包人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关于发包人提供的上述文件的使用限制的要求：</w:t>
      </w:r>
      <w:r>
        <w:rPr>
          <w:rFonts w:hint="eastAsia" w:ascii="宋体" w:hAnsi="宋体" w:eastAsia="宋体" w:cs="宋体"/>
          <w:bCs/>
          <w:kern w:val="44"/>
          <w:sz w:val="24"/>
          <w:szCs w:val="24"/>
          <w:u w:val="single"/>
        </w:rPr>
        <w:t xml:space="preserve"> 承包人未经发包人同意，不得使用上述文件申报奖项或者公开推广宣传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56" w:name="_Toc25161"/>
      <w:bookmarkStart w:id="57" w:name="_Toc26409"/>
      <w:r>
        <w:rPr>
          <w:rFonts w:hint="eastAsia" w:ascii="宋体" w:hAnsi="宋体" w:eastAsia="宋体" w:cs="宋体"/>
          <w:bCs/>
          <w:kern w:val="44"/>
          <w:sz w:val="24"/>
          <w:szCs w:val="24"/>
        </w:rPr>
        <w:t>1.11.2 关于承包人为实施工程所编制文件的著作权的归属：</w:t>
      </w:r>
      <w:r>
        <w:rPr>
          <w:rFonts w:hint="eastAsia" w:ascii="宋体" w:hAnsi="宋体" w:eastAsia="宋体" w:cs="宋体"/>
          <w:bCs/>
          <w:kern w:val="44"/>
          <w:sz w:val="24"/>
          <w:szCs w:val="24"/>
          <w:u w:val="single"/>
        </w:rPr>
        <w:t xml:space="preserve"> 除署名权以外，承包人对于上述文件享有修改权和保护作品完整的权利  </w:t>
      </w:r>
      <w:r>
        <w:rPr>
          <w:rFonts w:hint="eastAsia" w:ascii="宋体" w:hAnsi="宋体" w:eastAsia="宋体" w:cs="宋体"/>
          <w:bCs/>
          <w:kern w:val="44"/>
          <w:sz w:val="24"/>
          <w:szCs w:val="24"/>
        </w:rPr>
        <w:t>。</w:t>
      </w:r>
      <w:bookmarkEnd w:id="56"/>
      <w:bookmarkEnd w:id="57"/>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关于承包人提供的上述文件的使用限制的要求：</w:t>
      </w:r>
      <w:r>
        <w:rPr>
          <w:rFonts w:hint="eastAsia" w:ascii="宋体" w:hAnsi="宋体" w:eastAsia="宋体" w:cs="宋体"/>
          <w:bCs/>
          <w:kern w:val="44"/>
          <w:sz w:val="24"/>
          <w:szCs w:val="24"/>
          <w:u w:val="single"/>
        </w:rPr>
        <w:t xml:space="preserve"> 承包人未经发包人同意，不得使用上述文件申报奖项或者公开推广宣传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58" w:name="_Toc25034"/>
      <w:bookmarkStart w:id="59" w:name="_Toc11536"/>
      <w:bookmarkStart w:id="60" w:name="_Toc4612"/>
      <w:r>
        <w:rPr>
          <w:rFonts w:hint="eastAsia" w:ascii="宋体" w:hAnsi="宋体" w:eastAsia="宋体" w:cs="宋体"/>
          <w:bCs/>
          <w:kern w:val="44"/>
          <w:sz w:val="24"/>
          <w:szCs w:val="24"/>
        </w:rPr>
        <w:t>1.11.3 承包人在施工过程中所采用的专利、专有技术、技术秘密的使用费的承担方式：</w:t>
      </w:r>
      <w:r>
        <w:rPr>
          <w:rFonts w:hint="eastAsia" w:ascii="宋体" w:hAnsi="宋体" w:eastAsia="宋体" w:cs="宋体"/>
          <w:bCs/>
          <w:kern w:val="44"/>
          <w:sz w:val="24"/>
          <w:szCs w:val="24"/>
          <w:u w:val="single"/>
        </w:rPr>
        <w:t xml:space="preserve"> 包含在签约合同价中 </w:t>
      </w:r>
      <w:r>
        <w:rPr>
          <w:rFonts w:hint="eastAsia" w:ascii="宋体" w:hAnsi="宋体" w:eastAsia="宋体" w:cs="宋体"/>
          <w:bCs/>
          <w:kern w:val="44"/>
          <w:sz w:val="24"/>
          <w:szCs w:val="24"/>
        </w:rPr>
        <w:t>。</w:t>
      </w:r>
      <w:bookmarkEnd w:id="58"/>
      <w:bookmarkEnd w:id="59"/>
      <w:bookmarkEnd w:id="60"/>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1.13工程量清单错误的修正</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出现工程量清单错误时，是否调整合同价格：</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允许调整合同价格的工程量偏差范围：</w:t>
      </w:r>
      <w:r>
        <w:rPr>
          <w:rFonts w:hint="eastAsia" w:ascii="宋体" w:hAnsi="宋体" w:eastAsia="宋体" w:cs="宋体"/>
          <w:bCs/>
          <w:kern w:val="44"/>
          <w:sz w:val="24"/>
          <w:szCs w:val="24"/>
          <w:u w:val="single"/>
        </w:rPr>
        <w:t xml:space="preserve">±15%以外 </w:t>
      </w:r>
      <w:r>
        <w:rPr>
          <w:rFonts w:hint="eastAsia" w:ascii="宋体" w:hAnsi="宋体" w:eastAsia="宋体" w:cs="宋体"/>
          <w:bCs/>
          <w:kern w:val="44"/>
          <w:sz w:val="24"/>
          <w:szCs w:val="24"/>
        </w:rPr>
        <w:t>。</w:t>
      </w:r>
    </w:p>
    <w:p>
      <w:pPr>
        <w:spacing w:line="360" w:lineRule="auto"/>
        <w:jc w:val="left"/>
        <w:outlineLvl w:val="1"/>
        <w:rPr>
          <w:rFonts w:hint="eastAsia" w:ascii="宋体" w:hAnsi="宋体" w:eastAsia="宋体" w:cs="宋体"/>
          <w:bCs/>
          <w:kern w:val="44"/>
          <w:sz w:val="24"/>
          <w:szCs w:val="24"/>
        </w:rPr>
      </w:pPr>
      <w:bookmarkStart w:id="61" w:name="_Toc30159"/>
      <w:bookmarkStart w:id="62" w:name="_Toc27025_WPSOffice_Level2"/>
      <w:bookmarkStart w:id="63" w:name="_Toc351203634"/>
      <w:r>
        <w:rPr>
          <w:rFonts w:hint="eastAsia" w:ascii="宋体" w:hAnsi="宋体" w:eastAsia="宋体" w:cs="宋体"/>
          <w:b/>
          <w:bCs w:val="0"/>
          <w:kern w:val="44"/>
          <w:sz w:val="24"/>
          <w:szCs w:val="24"/>
        </w:rPr>
        <w:t>2</w:t>
      </w:r>
      <w:bookmarkStart w:id="64" w:name="_Toc296347156"/>
      <w:bookmarkStart w:id="65" w:name="_Toc296346658"/>
      <w:bookmarkStart w:id="66" w:name="_Toc292559867"/>
      <w:bookmarkStart w:id="67" w:name="_Toc296503157"/>
      <w:bookmarkStart w:id="68" w:name="_Toc297048343"/>
      <w:bookmarkStart w:id="69" w:name="_Toc296891197"/>
      <w:bookmarkStart w:id="70" w:name="_Toc292559362"/>
      <w:bookmarkStart w:id="71" w:name="_Toc296944496"/>
      <w:bookmarkStart w:id="72" w:name="_Toc296890985"/>
      <w:bookmarkStart w:id="73" w:name="_Toc297120457"/>
      <w:r>
        <w:rPr>
          <w:rFonts w:hint="eastAsia" w:ascii="宋体" w:hAnsi="宋体" w:eastAsia="宋体" w:cs="宋体"/>
          <w:b/>
          <w:bCs w:val="0"/>
          <w:kern w:val="44"/>
          <w:sz w:val="24"/>
          <w:szCs w:val="24"/>
        </w:rPr>
        <w:t>. 发包人</w:t>
      </w:r>
      <w:bookmarkEnd w:id="61"/>
      <w:bookmarkEnd w:id="62"/>
      <w:bookmarkEnd w:id="63"/>
    </w:p>
    <w:bookmarkEnd w:id="64"/>
    <w:bookmarkEnd w:id="65"/>
    <w:bookmarkEnd w:id="66"/>
    <w:bookmarkEnd w:id="67"/>
    <w:bookmarkEnd w:id="68"/>
    <w:bookmarkEnd w:id="69"/>
    <w:bookmarkEnd w:id="70"/>
    <w:bookmarkEnd w:id="71"/>
    <w:bookmarkEnd w:id="72"/>
    <w:bookmarkEnd w:id="73"/>
    <w:p>
      <w:pPr>
        <w:spacing w:line="360" w:lineRule="auto"/>
        <w:jc w:val="left"/>
        <w:rPr>
          <w:rFonts w:hint="eastAsia" w:ascii="宋体" w:hAnsi="宋体" w:eastAsia="宋体" w:cs="宋体"/>
          <w:bCs/>
          <w:kern w:val="44"/>
          <w:sz w:val="24"/>
          <w:szCs w:val="24"/>
        </w:rPr>
      </w:pPr>
      <w:bookmarkStart w:id="74" w:name="_Toc22542"/>
      <w:bookmarkStart w:id="75" w:name="_Toc21522"/>
      <w:bookmarkStart w:id="76" w:name="_Toc9785"/>
      <w:r>
        <w:rPr>
          <w:rFonts w:hint="eastAsia" w:ascii="宋体" w:hAnsi="宋体" w:eastAsia="宋体" w:cs="宋体"/>
          <w:bCs/>
          <w:kern w:val="44"/>
          <w:sz w:val="24"/>
          <w:szCs w:val="24"/>
        </w:rPr>
        <w:t>2.2 发包人代表</w:t>
      </w:r>
      <w:bookmarkEnd w:id="74"/>
      <w:bookmarkEnd w:id="75"/>
      <w:bookmarkEnd w:id="76"/>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发包人代表：</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姓    名：</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u w:val="single"/>
          <w:lang w:val="en-US" w:eastAsia="zh-CN"/>
        </w:rPr>
        <w:t xml:space="preserve">黄保富 </w:t>
      </w:r>
      <w:r>
        <w:rPr>
          <w:rFonts w:hint="eastAsia" w:ascii="宋体" w:hAnsi="宋体" w:eastAsia="宋体" w:cs="宋体"/>
          <w:bCs/>
          <w:kern w:val="44"/>
          <w:sz w:val="24"/>
          <w:szCs w:val="24"/>
          <w:u w:val="single"/>
        </w:rPr>
        <w:t>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身份证号：</w:t>
      </w:r>
      <w:r>
        <w:rPr>
          <w:rFonts w:hint="eastAsia" w:ascii="宋体" w:hAnsi="宋体" w:eastAsia="宋体" w:cs="宋体"/>
          <w:bCs/>
          <w:kern w:val="44"/>
          <w:sz w:val="24"/>
          <w:szCs w:val="24"/>
          <w:u w:val="single"/>
          <w:lang w:val="en-US" w:eastAsia="zh-CN"/>
        </w:rPr>
        <w:t>412828198311234598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职    务：</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u w:val="single"/>
          <w:lang w:val="en-US" w:eastAsia="zh-CN"/>
        </w:rPr>
        <w:t xml:space="preserve">  基础建设管理科科长</w:t>
      </w:r>
      <w:r>
        <w:rPr>
          <w:rFonts w:hint="eastAsia" w:ascii="宋体" w:hAnsi="宋体" w:eastAsia="宋体" w:cs="宋体"/>
          <w:bCs/>
          <w:kern w:val="44"/>
          <w:sz w:val="24"/>
          <w:szCs w:val="24"/>
          <w:u w:val="single"/>
          <w:lang w:eastAsia="zh-CN"/>
        </w:rPr>
        <w:t xml:space="preserve"> </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联系电话：</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u w:val="single"/>
          <w:lang w:val="en-US" w:eastAsia="zh-CN"/>
        </w:rPr>
        <w:t>0371-67875086    </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电子信箱：</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u w:val="single"/>
          <w:lang w:val="en-US" w:eastAsia="zh-CN"/>
        </w:rPr>
        <w:t xml:space="preserve">       </w:t>
      </w:r>
      <w:r>
        <w:rPr>
          <w:rFonts w:hint="eastAsia" w:ascii="宋体" w:hAnsi="宋体" w:eastAsia="宋体" w:cs="宋体"/>
          <w:bCs/>
          <w:kern w:val="44"/>
          <w:sz w:val="24"/>
          <w:szCs w:val="24"/>
          <w:u w:val="single"/>
        </w:rPr>
        <w:t>/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通信地址：</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u w:val="single"/>
          <w:lang w:val="en-US" w:eastAsia="zh-CN"/>
        </w:rPr>
        <w:t>河南建筑职业技术学院图书信息楼705室</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发包人对发包人代表的授权及各项权利特别约定如下：</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1、负责合同约定施工范围的工程管理，各方协调、施工现场问题的解决、监督施工工序及验收，指令或者法律文书签收和发送；</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2、合同的履行，代表发包人处理与本工程建设相关的事宜，对施工组织设计、质量监督、工程量签认、进出厂材料、设备检验和使用进行审核并协调加盖发包人签章认可，但涉及工程变更、工程量确认、工程造价确认、工期顺延等事项的最终审核权由发包人行使，相应的签证、变更必须加盖发包人印章方为有效。</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3、但发包人授权代表无权变更、解除、转让合同，无权作出任何处分、放弃、减损发包人合同权利的行为；非经发包人依据其内部管理程序确认，发包人授权代表无权认可事实。发包人授权代表行使权力时，其签名应当与发包人签章同时使用方为有效，否则，对双方均不具有拘束力。</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4、发包人授权代表对于承包人的请示（指令、通知、信函、证明、证书、请求／要求）等确认行为都必须同时具有该代表的亲笔签字和相应的发包人签章方可视为有效。承包人应审查发包人代表的签（章）行为，未能履行审查行为不能成为承包人免责的理由。</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5、监理工程师授权与发包人代表授权冲突时的约定：监理工程师授权之外，基于发包人的合同权利以及为履行合同所应当赋予发包人的管理权利均由发包人的授权代表行使，本合同有特殊约定的除外。</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6、发包人签章仅用于文件资料的接受和发送，禁止其他用途；发包人签章必须与发包人授权代表的签名同时使用才有效力。</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特别说明：发包人结合工程实际需要保留随时修改上述授权范围的权力同时发包人有权根据合同任命任何称职的人员担任发包人授权代表，并授予其履行本协议所需要的全部权力，除非授权文件另有约定。</w:t>
      </w:r>
      <w:bookmarkStart w:id="77" w:name="_Toc18864"/>
      <w:bookmarkStart w:id="78" w:name="_Toc13194"/>
      <w:bookmarkStart w:id="79" w:name="_Toc20376"/>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2.4 施工现场、施工条件和基础资料的提供</w:t>
      </w:r>
      <w:bookmarkEnd w:id="77"/>
      <w:bookmarkEnd w:id="78"/>
      <w:bookmarkEnd w:id="79"/>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2.4.1 提供施工现场</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关于发包人移交施工现场的期限要求：</w:t>
      </w:r>
      <w:r>
        <w:rPr>
          <w:rFonts w:hint="eastAsia" w:ascii="宋体" w:hAnsi="宋体" w:eastAsia="宋体" w:cs="宋体"/>
          <w:bCs/>
          <w:kern w:val="44"/>
          <w:sz w:val="24"/>
          <w:szCs w:val="24"/>
          <w:u w:val="single"/>
        </w:rPr>
        <w:t xml:space="preserve">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2.4.2 提供施工条件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关于发包人应负责提供施工所需要的条件，包括：</w:t>
      </w:r>
      <w:r>
        <w:rPr>
          <w:rFonts w:hint="eastAsia" w:ascii="宋体" w:hAnsi="宋体" w:eastAsia="宋体" w:cs="宋体"/>
          <w:bCs/>
          <w:kern w:val="44"/>
          <w:sz w:val="24"/>
          <w:szCs w:val="24"/>
          <w:u w:val="single"/>
        </w:rPr>
        <w:t xml:space="preserve"> 已具备施工条件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80" w:name="_Toc15189"/>
      <w:bookmarkStart w:id="81" w:name="_Toc7991"/>
      <w:bookmarkStart w:id="82" w:name="_Toc32301"/>
      <w:r>
        <w:rPr>
          <w:rFonts w:hint="eastAsia" w:ascii="宋体" w:hAnsi="宋体" w:eastAsia="宋体" w:cs="宋体"/>
          <w:bCs/>
          <w:kern w:val="44"/>
          <w:sz w:val="24"/>
          <w:szCs w:val="24"/>
        </w:rPr>
        <w:t>2.5 资金来源证明及支付担保</w:t>
      </w:r>
      <w:bookmarkEnd w:id="80"/>
      <w:bookmarkEnd w:id="81"/>
      <w:bookmarkEnd w:id="82"/>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发包人提供资金来源证明的期限要求：</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发包人是否提供支付担保：</w:t>
      </w:r>
      <w:r>
        <w:rPr>
          <w:rFonts w:hint="eastAsia" w:ascii="宋体" w:hAnsi="宋体" w:eastAsia="宋体" w:cs="宋体"/>
          <w:bCs/>
          <w:kern w:val="44"/>
          <w:sz w:val="24"/>
          <w:szCs w:val="24"/>
          <w:u w:val="single"/>
        </w:rPr>
        <w:t xml:space="preserve">   否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发包人提供支付担保的形式：</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outlineLvl w:val="1"/>
        <w:rPr>
          <w:rFonts w:hint="eastAsia" w:ascii="宋体" w:hAnsi="宋体" w:eastAsia="宋体" w:cs="宋体"/>
          <w:bCs/>
          <w:kern w:val="44"/>
          <w:sz w:val="24"/>
          <w:szCs w:val="24"/>
        </w:rPr>
      </w:pPr>
      <w:bookmarkStart w:id="83" w:name="_Toc14058_WPSOffice_Level2"/>
      <w:bookmarkStart w:id="84" w:name="_Toc351203635"/>
      <w:bookmarkStart w:id="85" w:name="_Toc16280"/>
      <w:r>
        <w:rPr>
          <w:rFonts w:hint="eastAsia" w:ascii="宋体" w:hAnsi="宋体" w:eastAsia="宋体" w:cs="宋体"/>
          <w:b/>
          <w:bCs w:val="0"/>
          <w:kern w:val="44"/>
          <w:sz w:val="24"/>
          <w:szCs w:val="24"/>
        </w:rPr>
        <w:t>3</w:t>
      </w:r>
      <w:bookmarkStart w:id="86" w:name="_Toc296346659"/>
      <w:bookmarkStart w:id="87" w:name="_Toc292559868"/>
      <w:bookmarkStart w:id="88" w:name="_Toc296944497"/>
      <w:bookmarkStart w:id="89" w:name="_Toc296503158"/>
      <w:bookmarkStart w:id="90" w:name="_Toc292559363"/>
      <w:bookmarkStart w:id="91" w:name="_Toc296347157"/>
      <w:bookmarkStart w:id="92" w:name="_Toc296890986"/>
      <w:bookmarkStart w:id="93" w:name="_Toc297120458"/>
      <w:bookmarkStart w:id="94" w:name="_Toc297048344"/>
      <w:bookmarkStart w:id="95" w:name="_Toc296891198"/>
      <w:r>
        <w:rPr>
          <w:rFonts w:hint="eastAsia" w:ascii="宋体" w:hAnsi="宋体" w:eastAsia="宋体" w:cs="宋体"/>
          <w:b/>
          <w:bCs w:val="0"/>
          <w:kern w:val="44"/>
          <w:sz w:val="24"/>
          <w:szCs w:val="24"/>
        </w:rPr>
        <w:t>. 承包人</w:t>
      </w:r>
      <w:bookmarkEnd w:id="83"/>
      <w:bookmarkEnd w:id="84"/>
      <w:bookmarkEnd w:id="85"/>
    </w:p>
    <w:bookmarkEnd w:id="86"/>
    <w:bookmarkEnd w:id="87"/>
    <w:bookmarkEnd w:id="88"/>
    <w:bookmarkEnd w:id="89"/>
    <w:bookmarkEnd w:id="90"/>
    <w:bookmarkEnd w:id="91"/>
    <w:bookmarkEnd w:id="92"/>
    <w:bookmarkEnd w:id="93"/>
    <w:bookmarkEnd w:id="94"/>
    <w:bookmarkEnd w:id="95"/>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3.1 承包人的一般义务</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（9）承包人提交的竣工资料的内容：</w:t>
      </w:r>
      <w:r>
        <w:rPr>
          <w:rFonts w:hint="eastAsia" w:ascii="宋体" w:hAnsi="宋体" w:eastAsia="宋体" w:cs="宋体"/>
          <w:bCs/>
          <w:kern w:val="44"/>
          <w:sz w:val="24"/>
          <w:szCs w:val="24"/>
          <w:u w:val="single"/>
        </w:rPr>
        <w:t xml:space="preserve"> 按国家、省、市相关规定和监理人的要求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承包人需要提交的竣工资料套数：</w:t>
      </w:r>
      <w:r>
        <w:rPr>
          <w:rFonts w:hint="eastAsia" w:ascii="宋体" w:hAnsi="宋体" w:eastAsia="宋体" w:cs="宋体"/>
          <w:bCs/>
          <w:kern w:val="44"/>
          <w:sz w:val="24"/>
          <w:szCs w:val="24"/>
          <w:u w:val="single"/>
        </w:rPr>
        <w:t xml:space="preserve">  竣工资料4套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承包人提交的竣工资料的费用承担：</w:t>
      </w:r>
      <w:r>
        <w:rPr>
          <w:rFonts w:hint="eastAsia" w:ascii="宋体" w:hAnsi="宋体" w:eastAsia="宋体" w:cs="宋体"/>
          <w:bCs/>
          <w:kern w:val="44"/>
          <w:sz w:val="24"/>
          <w:szCs w:val="24"/>
          <w:u w:val="single"/>
        </w:rPr>
        <w:t xml:space="preserve"> 由承包人承担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承包人提交的竣工资料移交时间：</w:t>
      </w:r>
      <w:r>
        <w:rPr>
          <w:rFonts w:hint="eastAsia" w:ascii="宋体" w:hAnsi="宋体" w:eastAsia="宋体" w:cs="宋体"/>
          <w:bCs/>
          <w:kern w:val="44"/>
          <w:sz w:val="24"/>
          <w:szCs w:val="24"/>
          <w:u w:val="single"/>
        </w:rPr>
        <w:t>竣工后28天内提供</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承包人提交的竣工资料形式要求：</w:t>
      </w:r>
      <w:r>
        <w:rPr>
          <w:rFonts w:hint="eastAsia" w:ascii="宋体" w:hAnsi="宋体" w:eastAsia="宋体" w:cs="宋体"/>
          <w:bCs/>
          <w:kern w:val="44"/>
          <w:sz w:val="24"/>
          <w:szCs w:val="24"/>
          <w:u w:val="single"/>
        </w:rPr>
        <w:t xml:space="preserve">  按相关规定和监理人的要求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rPr>
        <w:t>（10）承包人应履行的其他义务：</w:t>
      </w:r>
      <w:r>
        <w:rPr>
          <w:rFonts w:hint="eastAsia" w:ascii="宋体" w:hAnsi="宋体" w:eastAsia="宋体" w:cs="宋体"/>
          <w:bCs/>
          <w:kern w:val="44"/>
          <w:sz w:val="24"/>
          <w:szCs w:val="24"/>
          <w:u w:val="single"/>
        </w:rPr>
        <w:t>a.施工场地周围地下管线和邻近建筑物、构筑物（含文物保护建筑）、古树名木的保护要求及费用承担：由承包人按照相关规定予以保护，所需费用已经包含在合同价款内，发包人不再另行支付。若由于承包人原因发生事故，则一切责任及经济损失由承包人承担，工期不予顺延。因施工不当等承包人原因，发生的法律责任和经济损失由承包人承担。</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b.施工场地清洁卫生的要求：承包人应保证施工场地清洁符合环境卫生管理的有关规定，并做到工完场清，即建筑垃圾须及时清运出场，否则发包人有权另行委托他人清理，发生的费用由承包人承担，若因违反有关规定被罚款的，罚款由承包人承担。承包人应在施工场地内设置垃圾集中堆放场地（具体位置由发包人指定）。</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c.在本合同约定范围内，建设单位按照本合同约定的付款方式付款的情况下，承包人必须保证农民工工资的足额按时发放。若因承包人原因不按时足额支付农民工工资，造成农民工堵门、闹事、上访等事件发生或者可能发生的。每发生一次上述事件，经建设、监理单位确认无误后，无论承包人是否认可，均视为承包人违反施工合同约定，发包人可不经承包人签字、盖章认可的情况下，扣除承包人签约合同价款的3%最为最终结算依据。若因承包人原因给发包人和社会造成不良影响的，由承包人承担全部责任并赔偿给发包人造成的一切直接和间接损失，发包人有权直接解除合同。</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d.承担施工安全保卫工作及夜间施工照明的责任和要求：承包人应提供场区的安全保卫及交通、巡查之必要的照明、危险物的警示等，并负责施工现场的防火、防盗及施工安全保卫工作并承担由此产生的费用。</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e.需承包人办理的有关施工场地交通、环卫和施工噪音管理等手续：按照国家、河南省、郑州市有关规定执行，并承担由此产生的费用。</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f.己完工程成品保护的特殊要求及费用承担：承包人必须做好成品保护工作，对发包人分包工程，承包人均需协助做好成品保护工作。如因承包人原因造成的损失，由承包人照价赔偿。保护责任期限至工程全部通过竣工验收并移交给发包人为止。</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u w:val="single"/>
        </w:rPr>
        <w:t>g.无论何种原因（政府管控、不可抗力除外），承包人不得擅自或变相停工，如承包人未经发包人书面确认擅自或变相停工，一经发现，发包人有权要求承包人承担违约责任，并有权单方解除合同。所造成的一切责任均由承包人自行承担（包括但不限于工期违约责任、费用、处罚等</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3.2 项目经理</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3.2.1 项目经理：</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姓    名：</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u w:val="single"/>
          <w:lang w:val="en-US" w:eastAsia="zh-CN"/>
        </w:rPr>
        <w:t>白旭</w:t>
      </w:r>
      <w:r>
        <w:rPr>
          <w:rFonts w:hint="eastAsia" w:ascii="宋体" w:hAnsi="宋体" w:eastAsia="宋体" w:cs="宋体"/>
          <w:bCs/>
          <w:kern w:val="44"/>
          <w:sz w:val="24"/>
          <w:szCs w:val="24"/>
          <w:u w:val="single"/>
        </w:rPr>
        <w:t>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身份证号：</w:t>
      </w:r>
      <w:r>
        <w:rPr>
          <w:rFonts w:hint="eastAsia" w:ascii="宋体" w:hAnsi="宋体" w:eastAsia="宋体" w:cs="宋体"/>
          <w:bCs/>
          <w:kern w:val="44"/>
          <w:sz w:val="24"/>
          <w:szCs w:val="24"/>
          <w:u w:val="single"/>
        </w:rPr>
        <w:t>411302199208153418</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建造师执业资格等级：</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u w:val="single"/>
          <w:lang w:val="en-US" w:eastAsia="zh-CN"/>
        </w:rPr>
        <w:t>市政公用工程二级</w:t>
      </w:r>
      <w:r>
        <w:rPr>
          <w:rFonts w:hint="eastAsia" w:ascii="宋体" w:hAnsi="宋体" w:eastAsia="宋体" w:cs="宋体"/>
          <w:bCs/>
          <w:kern w:val="44"/>
          <w:sz w:val="24"/>
          <w:szCs w:val="24"/>
          <w:u w:val="single"/>
        </w:rPr>
        <w:t>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建造师注册证书号：</w:t>
      </w:r>
      <w:r>
        <w:rPr>
          <w:rFonts w:hint="eastAsia" w:ascii="宋体" w:hAnsi="宋体" w:eastAsia="宋体" w:cs="宋体"/>
          <w:bCs/>
          <w:kern w:val="44"/>
          <w:sz w:val="24"/>
          <w:szCs w:val="24"/>
          <w:u w:val="single"/>
        </w:rPr>
        <w:t>豫2412023202401115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建造师执业印章号：</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安全生产考核合格证书号：</w:t>
      </w:r>
      <w:r>
        <w:rPr>
          <w:rFonts w:hint="eastAsia" w:ascii="宋体" w:hAnsi="宋体" w:eastAsia="宋体" w:cs="宋体"/>
          <w:bCs/>
          <w:kern w:val="44"/>
          <w:sz w:val="24"/>
          <w:szCs w:val="24"/>
          <w:u w:val="single"/>
        </w:rPr>
        <w:t>/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联系电话：</w:t>
      </w:r>
      <w:r>
        <w:rPr>
          <w:rFonts w:hint="eastAsia" w:ascii="宋体" w:hAnsi="宋体" w:eastAsia="宋体" w:cs="宋体"/>
          <w:bCs/>
          <w:kern w:val="44"/>
          <w:sz w:val="24"/>
          <w:szCs w:val="24"/>
          <w:u w:val="single"/>
        </w:rPr>
        <w:t xml:space="preserve">  /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电子信箱：</w:t>
      </w:r>
      <w:r>
        <w:rPr>
          <w:rFonts w:hint="eastAsia" w:ascii="宋体" w:hAnsi="宋体" w:eastAsia="宋体" w:cs="宋体"/>
          <w:bCs/>
          <w:kern w:val="44"/>
          <w:sz w:val="24"/>
          <w:szCs w:val="24"/>
          <w:u w:val="single"/>
        </w:rPr>
        <w:t>  /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通信地址：</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承包人对项目经理的授权范围如下：</w:t>
      </w:r>
      <w:r>
        <w:rPr>
          <w:rFonts w:hint="eastAsia" w:ascii="宋体" w:hAnsi="宋体" w:eastAsia="宋体" w:cs="宋体"/>
          <w:bCs/>
          <w:kern w:val="44"/>
          <w:sz w:val="24"/>
          <w:szCs w:val="24"/>
          <w:u w:val="single"/>
        </w:rPr>
        <w:t>项目经理经承包人授权后代表承包人负责履行合同，包括与本工程相关的任何补充协议的签订；与本工程相关的任何采购合同、聘任合同的签订；同意涉及合同价款变化或合同工期变化的变更指示；进度款支付申请；竣工验收申请；最终结清申请单</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关于项目经理每月在施工现场的时间要求：</w:t>
      </w:r>
      <w:r>
        <w:rPr>
          <w:rFonts w:hint="eastAsia" w:ascii="宋体" w:hAnsi="宋体" w:eastAsia="宋体" w:cs="宋体"/>
          <w:bCs/>
          <w:kern w:val="44"/>
          <w:sz w:val="24"/>
          <w:szCs w:val="24"/>
          <w:u w:val="single"/>
        </w:rPr>
        <w:t xml:space="preserve">每周不少于5天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承包人未提交劳动合同，以及没有为项目经理缴纳社会保险证明的违约责任：</w:t>
      </w:r>
      <w:r>
        <w:rPr>
          <w:rFonts w:hint="eastAsia" w:ascii="宋体" w:hAnsi="宋体" w:eastAsia="宋体" w:cs="宋体"/>
          <w:bCs/>
          <w:kern w:val="44"/>
          <w:sz w:val="24"/>
          <w:szCs w:val="24"/>
          <w:u w:val="single"/>
        </w:rPr>
        <w:t xml:space="preserve">  监理人限期承包人在收到提交要求后3日内补交，并承担违约金5000元；3日内不能补交的，视为转包工程，除向发包人支付合同总价款5%的违约金外，发包人还有权解除合同 </w:t>
      </w:r>
      <w:r>
        <w:rPr>
          <w:rFonts w:hint="eastAsia" w:ascii="宋体" w:hAnsi="宋体" w:eastAsia="宋体" w:cs="宋体"/>
          <w:bCs/>
          <w:kern w:val="44"/>
          <w:sz w:val="24"/>
          <w:szCs w:val="24"/>
        </w:rPr>
        <w:t>。项目经理未经批准，擅自离开施工现场的违约责任：</w:t>
      </w:r>
      <w:r>
        <w:rPr>
          <w:rFonts w:hint="eastAsia" w:ascii="宋体" w:hAnsi="宋体" w:eastAsia="宋体" w:cs="宋体"/>
          <w:bCs/>
          <w:kern w:val="44"/>
          <w:sz w:val="24"/>
          <w:szCs w:val="24"/>
          <w:u w:val="single"/>
        </w:rPr>
        <w:t xml:space="preserve"> 擅自离场的，承包人应支付违约金每天1000元；擅自离场＞15天的，发包人有权解除合同，并支付违约金10万元。由此增加的费用和（或）延误的工期由承包人承担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3.2.3 承包人擅自更换项目经理的违约责任：</w:t>
      </w:r>
      <w:r>
        <w:rPr>
          <w:rFonts w:hint="eastAsia" w:ascii="宋体" w:hAnsi="宋体" w:eastAsia="宋体" w:cs="宋体"/>
          <w:bCs/>
          <w:kern w:val="44"/>
          <w:sz w:val="24"/>
          <w:szCs w:val="24"/>
          <w:u w:val="single"/>
        </w:rPr>
        <w:t xml:space="preserve"> 原项目经理如能够继续履行职责的，监理人应责令承包人撤销其更换决定，承包人应支付违约金5万元；如原项目经理客观上已经无法继续履行职责的，发包人有权要求审核确认承包人更换项目经理，承包人应承担违约金10万元。由此增加的费用和（或）延误的工期由承包人承担。若发包人不同意更换，但承包人坚持更换的，按上述标准加倍承担违约金，同时，发包人有权解除合同，并要求承包人支付合同总价款20%的违约金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 xml:space="preserve">    </w:t>
      </w:r>
      <w:bookmarkStart w:id="96" w:name="_Toc32336"/>
      <w:bookmarkStart w:id="97" w:name="_Toc3427"/>
      <w:bookmarkStart w:id="98" w:name="_Toc32560"/>
      <w:r>
        <w:rPr>
          <w:rFonts w:hint="eastAsia" w:ascii="宋体" w:hAnsi="宋体" w:eastAsia="宋体" w:cs="宋体"/>
          <w:bCs/>
          <w:kern w:val="44"/>
          <w:sz w:val="24"/>
          <w:szCs w:val="24"/>
        </w:rPr>
        <w:t>3.2.4 承包人无正当理由拒绝更换项目经理的违约责任：</w:t>
      </w:r>
      <w:r>
        <w:rPr>
          <w:rFonts w:hint="eastAsia" w:ascii="宋体" w:hAnsi="宋体" w:eastAsia="宋体" w:cs="宋体"/>
          <w:bCs/>
          <w:kern w:val="44"/>
          <w:sz w:val="24"/>
          <w:szCs w:val="24"/>
          <w:u w:val="single"/>
        </w:rPr>
        <w:t xml:space="preserve"> 逾期超过7天未更换符合发包人要求的项目经理的，除立即更换外，还应当支付违约金10万元，同时，发包人有权解除合同，并要求承包人支付合同总价款20%的违约金 </w:t>
      </w:r>
      <w:r>
        <w:rPr>
          <w:rFonts w:hint="eastAsia" w:ascii="宋体" w:hAnsi="宋体" w:eastAsia="宋体" w:cs="宋体"/>
          <w:bCs/>
          <w:kern w:val="44"/>
          <w:sz w:val="24"/>
          <w:szCs w:val="24"/>
        </w:rPr>
        <w:t>。</w:t>
      </w:r>
      <w:bookmarkEnd w:id="96"/>
      <w:bookmarkEnd w:id="97"/>
      <w:bookmarkEnd w:id="98"/>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3.3 承包人人员</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3.3.1 承包人提交项目管理机构及施工现场管理人员安排报告的期限：</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3.3.3 承包人无正当理由拒绝撤换主要施工管理人员的违约责任：</w:t>
      </w:r>
      <w:r>
        <w:rPr>
          <w:rFonts w:hint="eastAsia" w:ascii="宋体" w:hAnsi="宋体" w:eastAsia="宋体" w:cs="宋体"/>
          <w:bCs/>
          <w:kern w:val="44"/>
          <w:sz w:val="24"/>
          <w:szCs w:val="24"/>
          <w:u w:val="single"/>
        </w:rPr>
        <w:t xml:space="preserve"> 自收到更换要求通知之日起，每逾期一天更换的，支付违约金5000元；若逾期超过7天仍未更换的，承包人除支付逾期更换的违约金外，发包人还有权解除合同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3.3.4 承包人主要施工管理人员离开施工现场的批准要求：</w:t>
      </w:r>
      <w:r>
        <w:rPr>
          <w:rFonts w:hint="eastAsia" w:ascii="宋体" w:hAnsi="宋体" w:eastAsia="宋体" w:cs="宋体"/>
          <w:bCs/>
          <w:kern w:val="44"/>
          <w:sz w:val="24"/>
          <w:szCs w:val="24"/>
          <w:u w:val="single"/>
        </w:rPr>
        <w:t xml:space="preserve"> 执行通用条款</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3.3.5承包人擅自更换主要施工管理人员的违约责任：</w:t>
      </w:r>
      <w:r>
        <w:rPr>
          <w:rFonts w:hint="eastAsia" w:ascii="宋体" w:hAnsi="宋体" w:eastAsia="宋体" w:cs="宋体"/>
          <w:bCs/>
          <w:kern w:val="44"/>
          <w:sz w:val="24"/>
          <w:szCs w:val="24"/>
          <w:u w:val="single"/>
        </w:rPr>
        <w:t xml:space="preserve"> 原管理人员如能够继续履行职责的，发包人有权要求承包人撤销其更换决定，承包人应支付违约金5000元；如原管理人员客观上已经无法继续履行职责的，发包人有权要求审核确认承包人更换管理人员，承包人应支付违约金1万元。由此增加的费用和（或）延误的工期由承包人承担。若发包人不同意更换，但承包人坚持更换的，按上述标准加倍承担违约金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承包人主要施工管理人员擅自离开施工现场的违约责任：</w:t>
      </w:r>
      <w:r>
        <w:rPr>
          <w:rFonts w:hint="eastAsia" w:ascii="宋体" w:hAnsi="宋体" w:eastAsia="宋体" w:cs="宋体"/>
          <w:bCs/>
          <w:kern w:val="44"/>
          <w:sz w:val="24"/>
          <w:szCs w:val="24"/>
          <w:u w:val="single"/>
        </w:rPr>
        <w:t xml:space="preserve">  擅自离场≤10天的，承包人应支付违约金每天500元；擅自离场＞10天的，发包人有权要求承包人更换该管理人员，并承担违约金1万元。由此增加的费用和（或）延误的工期由承包人承担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w:t>
      </w:r>
      <w:bookmarkStart w:id="99" w:name="_Toc297123492"/>
      <w:bookmarkStart w:id="100" w:name="_Toc296891199"/>
      <w:bookmarkStart w:id="101" w:name="_Toc292559364"/>
      <w:bookmarkStart w:id="102" w:name="_Toc300934945"/>
      <w:bookmarkStart w:id="103" w:name="_Toc296503159"/>
      <w:bookmarkStart w:id="104" w:name="_Toc312677988"/>
      <w:bookmarkStart w:id="105" w:name="_Toc304295523"/>
      <w:bookmarkStart w:id="106" w:name="_Toc297048345"/>
      <w:bookmarkStart w:id="107" w:name="_Toc297216151"/>
      <w:bookmarkStart w:id="108" w:name="_Toc296346660"/>
      <w:bookmarkStart w:id="109" w:name="_Toc292559869"/>
      <w:bookmarkStart w:id="110" w:name="_Toc296944498"/>
      <w:bookmarkStart w:id="111" w:name="_Toc296347158"/>
      <w:bookmarkStart w:id="112" w:name="_Toc303539102"/>
      <w:bookmarkStart w:id="113" w:name="_Toc297120459"/>
      <w:bookmarkStart w:id="114" w:name="_Toc296890987"/>
      <w:r>
        <w:rPr>
          <w:rFonts w:hint="eastAsia" w:ascii="宋体" w:hAnsi="宋体" w:eastAsia="宋体" w:cs="宋体"/>
          <w:bCs/>
          <w:kern w:val="44"/>
          <w:sz w:val="24"/>
          <w:szCs w:val="24"/>
        </w:rPr>
        <w:t>.5 分包</w:t>
      </w:r>
    </w:p>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w:t>
      </w:r>
      <w:bookmarkStart w:id="115" w:name="_Toc300934946"/>
      <w:bookmarkStart w:id="116" w:name="_Toc296944499"/>
      <w:bookmarkStart w:id="117" w:name="_Toc296891200"/>
      <w:bookmarkStart w:id="118" w:name="_Toc303539103"/>
      <w:bookmarkStart w:id="119" w:name="_Toc297216152"/>
      <w:bookmarkStart w:id="120" w:name="_Toc292559365"/>
      <w:bookmarkStart w:id="121" w:name="_Toc297123493"/>
      <w:bookmarkStart w:id="122" w:name="_Toc297048346"/>
      <w:bookmarkStart w:id="123" w:name="_Toc296347159"/>
      <w:bookmarkStart w:id="124" w:name="_Toc296346661"/>
      <w:bookmarkStart w:id="125" w:name="_Toc304295524"/>
      <w:bookmarkStart w:id="126" w:name="_Toc312677989"/>
      <w:bookmarkStart w:id="127" w:name="_Toc318581158"/>
      <w:bookmarkStart w:id="128" w:name="_Toc292559870"/>
      <w:bookmarkStart w:id="129" w:name="_Toc296890988"/>
      <w:bookmarkStart w:id="130" w:name="_Toc297120460"/>
      <w:bookmarkStart w:id="131" w:name="_Toc296503160"/>
      <w:r>
        <w:rPr>
          <w:rFonts w:hint="eastAsia" w:ascii="宋体" w:hAnsi="宋体" w:eastAsia="宋体" w:cs="宋体"/>
          <w:bCs/>
          <w:kern w:val="44"/>
          <w:sz w:val="24"/>
          <w:szCs w:val="24"/>
        </w:rPr>
        <w:t>.5.1 分包的一般约定</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禁止分包的工程包括：</w:t>
      </w:r>
      <w:r>
        <w:rPr>
          <w:rFonts w:hint="eastAsia" w:ascii="宋体" w:hAnsi="宋体" w:eastAsia="宋体" w:cs="宋体"/>
          <w:bCs/>
          <w:kern w:val="44"/>
          <w:sz w:val="24"/>
          <w:szCs w:val="24"/>
          <w:u w:val="single"/>
          <w:lang w:val="en-US" w:eastAsia="zh-CN"/>
        </w:rPr>
        <w:t xml:space="preserve">    /  </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 xml:space="preserve">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主体结构、关键性工作的范围：</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w:t>
      </w:r>
      <w:bookmarkStart w:id="132" w:name="_Toc312677990"/>
      <w:bookmarkStart w:id="133" w:name="_Toc318581159"/>
      <w:r>
        <w:rPr>
          <w:rFonts w:hint="eastAsia" w:ascii="宋体" w:hAnsi="宋体" w:eastAsia="宋体" w:cs="宋体"/>
          <w:bCs/>
          <w:kern w:val="44"/>
          <w:sz w:val="24"/>
          <w:szCs w:val="24"/>
        </w:rPr>
        <w:t>.5.2分包的确定</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允许分包的专业工程包括：</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其他关于分包的约定：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3.5.4 分包合同价款</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关于分包合同价款支付的约定：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3.5.5关于承包人内部分包的约定</w:t>
      </w:r>
      <w:bookmarkEnd w:id="132"/>
      <w:bookmarkEnd w:id="133"/>
      <w:r>
        <w:rPr>
          <w:rFonts w:hint="eastAsia" w:ascii="宋体" w:hAnsi="宋体" w:eastAsia="宋体" w:cs="宋体"/>
          <w:bCs/>
          <w:kern w:val="44"/>
          <w:sz w:val="24"/>
          <w:szCs w:val="24"/>
        </w:rPr>
        <w:t>（内部分包人=“分包人”）</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3.5.5.1 本工程施工过程中涉及的所有分项工程无论承包人是否承认，一经建设监理单位确认为分包，建设单位均有权要求承包人澄清，并要求承包人及 “分包人”提供免责承诺函件，同时监理人及发包人如果认为该非法 “分包人”有可能给建设单位带来不可预知的风险与责时任，可随时有权利让该 “分包人”退场，即使该“分包人”退场仍不免除承包人向“分包人”结算费用的权利。期间如发生“分包人”闹事、闹场、上访事件，每发生一次，经建设、监理单位确认无误后，承包人有权解除全部施工合同，同时发包人可不经承包人签字、盖章认可，只需建设、监理单位签字盖章后，即可直接扣除承包人签约合同价款的3%最为最终结算依据。</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3.5.5.2承包人内部分包时，分包人及承包人应就分包的本工程国家法律法规规定的可以进行内部分包的施工内容向发包人、监理人出具关于分包范围内的发包人免除任何责任的声明及承诺。</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3.5.5.3承包人为内部分包人付款：</w:t>
      </w:r>
      <w:r>
        <w:rPr>
          <w:rFonts w:hint="eastAsia" w:ascii="宋体" w:hAnsi="宋体" w:eastAsia="宋体" w:cs="宋体"/>
          <w:bCs/>
          <w:kern w:val="44"/>
          <w:sz w:val="24"/>
          <w:szCs w:val="24"/>
          <w:u w:val="single"/>
        </w:rPr>
        <w:t>承包人应当按照分包合同约定或者按照发包人认为合理的付款方式足额支付分包人的合同价款。发包人或者监理工程师在审查本次付款前有权要求承包人提供合理的证据以证明分包人已经收到上次付款中其应得到的付款</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3.5.5.4任何内部分包人不得越级向建设单位进行结算，建设单位除与承包人有合同关系外再无任何与本工程有关的合同责任，承包人应保证任何“分包人”（含本条3.5.5.5款劳务分包人，以下同）不会越过承包人要求发包人对其分包工程或者劳务进行结算。分包人采取司法行动或者行政行为要求发包人对其结算或者促成建设行政主管机关责令发包人对其支付或提前支付的极端情况发包人无法阻止必须履行时，则发包人有权自应支付给承包人的任何款项中叁倍扣减前述支付款项，因此发生的财务费用、支出和法律费用（含律师费用）由承包人叁倍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3.5.5.5劳务分包：</w:t>
      </w:r>
      <w:r>
        <w:rPr>
          <w:rFonts w:hint="eastAsia" w:ascii="宋体" w:hAnsi="宋体" w:eastAsia="宋体" w:cs="宋体"/>
          <w:bCs/>
          <w:kern w:val="44"/>
          <w:sz w:val="24"/>
          <w:szCs w:val="24"/>
          <w:u w:val="single"/>
        </w:rPr>
        <w:t>承包人如劳务分包，必须将劳务作业分包给有法定劳务资质的单位，劳务合同或劳动力招聘（含所有人员身份证件复印件）、劳务负责人电话等信息应当向发包人以及监理工程师备案、认可。发包人或者监理工程师有权随时抽查承包人的劳务分包情况及资金支付情况、承包人无条件配合，不得拒绝，否则发包人有权暂停支付进度款</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3.5.5.6任何劳务分包单位无权单独与发包人办理结算，承包人应当对其招聘人员和劳务分包单位实施有效管理，不得以集体或个人非正常的方式或渠道或威胁以给发包人造成某种伤害的行为，获取工程付款或者报酬。出现非法讨薪或者越级讨薪的，已经确认无误后发包人有权要求承包人承担所讨要薪酬总额双倍的违约金，该部分违约金可不经承包人签字、盖章认可只需建设、监理单位签字盖章后，直接扣除承包人签约合同价款的3%最为最终结算依据。</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3.5.5.7 共同行为：任何“分包人”或劳务承包人的非法、非理性行为将被视为承包人的共同行为。承包人对“分包人”（含劳务分包人）、或者其代理人、供应商、员工的不法行为或者违约，承担连带责任。承包人保证所有发包人终止合同的行为适用于分包人，发包人同时免除所有分包人的关于解除合同的责任。</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3.5.5.8纠正非法分包行为：</w:t>
      </w:r>
      <w:r>
        <w:rPr>
          <w:rFonts w:hint="eastAsia" w:ascii="宋体" w:hAnsi="宋体" w:eastAsia="宋体" w:cs="宋体"/>
          <w:bCs/>
          <w:kern w:val="44"/>
          <w:sz w:val="24"/>
          <w:szCs w:val="24"/>
          <w:u w:val="single"/>
        </w:rPr>
        <w:t>承包人违反本补充协议书约定分包工程的，发包人有权要求承包人纠正其不履约或者不正确履约的行为，并视承包人纠正的情况对承包人实施处罚或/和追究违约责任，承包人向发包人支付的违约金不低于分包合同价款的10%。该部分违约金可不经承包人签字、盖章认可；只需建设、监理单位确认无误后，签字盖章，直接扣除承包人签约合同价款的3%最为最终结算依据</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3.6 工程照管与成品、半成品保护</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承包人负责照管工程及工程相关的材料、工程设备的起始时间：</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3.7 履约担保</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承包人是否提供履约担保：</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u w:val="single"/>
          <w:lang w:val="en-US" w:eastAsia="zh-CN"/>
        </w:rPr>
        <w:t>否</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承包人提供履约担保的形式、金额及期限的：</w:t>
      </w:r>
      <w:r>
        <w:rPr>
          <w:rFonts w:hint="eastAsia" w:ascii="宋体" w:hAnsi="宋体" w:eastAsia="宋体" w:cs="宋体"/>
          <w:bCs/>
          <w:kern w:val="44"/>
          <w:sz w:val="24"/>
          <w:szCs w:val="24"/>
          <w:u w:val="single"/>
        </w:rPr>
        <w:t xml:space="preserve">（1）额度：为签约合同价5%；（2）形式：为保函形式，或者用电汇、或网银的形式，须由投标人基本账户汇出。履约担保待工程完成50%并收验收合格，10个工作日内一次性无息返还  </w:t>
      </w:r>
      <w:r>
        <w:rPr>
          <w:rFonts w:hint="eastAsia" w:ascii="宋体" w:hAnsi="宋体" w:eastAsia="宋体" w:cs="宋体"/>
          <w:bCs/>
          <w:kern w:val="44"/>
          <w:sz w:val="24"/>
          <w:szCs w:val="24"/>
        </w:rPr>
        <w:t>。</w:t>
      </w:r>
    </w:p>
    <w:p>
      <w:pPr>
        <w:spacing w:line="360" w:lineRule="auto"/>
        <w:jc w:val="left"/>
        <w:outlineLvl w:val="1"/>
        <w:rPr>
          <w:rFonts w:hint="eastAsia" w:ascii="宋体" w:hAnsi="宋体" w:eastAsia="宋体" w:cs="宋体"/>
          <w:bCs/>
          <w:kern w:val="44"/>
          <w:sz w:val="24"/>
          <w:szCs w:val="24"/>
        </w:rPr>
      </w:pPr>
      <w:bookmarkStart w:id="134" w:name="_Toc21911_WPSOffice_Level2"/>
      <w:bookmarkStart w:id="135" w:name="_Toc351203636"/>
      <w:bookmarkStart w:id="136" w:name="_Toc18028"/>
      <w:r>
        <w:rPr>
          <w:rFonts w:hint="eastAsia" w:ascii="宋体" w:hAnsi="宋体" w:eastAsia="宋体" w:cs="宋体"/>
          <w:b/>
          <w:bCs w:val="0"/>
          <w:kern w:val="44"/>
          <w:sz w:val="24"/>
          <w:szCs w:val="24"/>
        </w:rPr>
        <w:t>4</w:t>
      </w:r>
      <w:bookmarkStart w:id="137" w:name="_Toc296890990"/>
      <w:bookmarkStart w:id="138" w:name="_Toc267251413"/>
      <w:bookmarkStart w:id="139" w:name="_Toc297048348"/>
      <w:bookmarkStart w:id="140" w:name="_Toc296891202"/>
      <w:bookmarkStart w:id="141" w:name="_Toc296503162"/>
      <w:bookmarkStart w:id="142" w:name="_Toc296346663"/>
      <w:bookmarkStart w:id="143" w:name="_Toc297120462"/>
      <w:bookmarkStart w:id="144" w:name="_Toc292559871"/>
      <w:bookmarkStart w:id="145" w:name="_Toc296347161"/>
      <w:bookmarkStart w:id="146" w:name="_Toc296944501"/>
      <w:bookmarkStart w:id="147" w:name="_Toc292559366"/>
      <w:r>
        <w:rPr>
          <w:rFonts w:hint="eastAsia" w:ascii="宋体" w:hAnsi="宋体" w:eastAsia="宋体" w:cs="宋体"/>
          <w:b/>
          <w:bCs w:val="0"/>
          <w:kern w:val="44"/>
          <w:sz w:val="24"/>
          <w:szCs w:val="24"/>
        </w:rPr>
        <w:t>. 监</w:t>
      </w:r>
      <w:bookmarkEnd w:id="137"/>
      <w:bookmarkEnd w:id="138"/>
      <w:bookmarkEnd w:id="139"/>
      <w:bookmarkEnd w:id="140"/>
      <w:bookmarkEnd w:id="141"/>
      <w:bookmarkEnd w:id="142"/>
      <w:bookmarkEnd w:id="143"/>
      <w:bookmarkEnd w:id="144"/>
      <w:bookmarkEnd w:id="145"/>
      <w:bookmarkEnd w:id="146"/>
      <w:bookmarkEnd w:id="147"/>
      <w:r>
        <w:rPr>
          <w:rFonts w:hint="eastAsia" w:ascii="宋体" w:hAnsi="宋体" w:eastAsia="宋体" w:cs="宋体"/>
          <w:b/>
          <w:bCs w:val="0"/>
          <w:kern w:val="44"/>
          <w:sz w:val="24"/>
          <w:szCs w:val="24"/>
        </w:rPr>
        <w:t>理人</w:t>
      </w:r>
      <w:bookmarkEnd w:id="134"/>
      <w:bookmarkEnd w:id="135"/>
      <w:bookmarkEnd w:id="136"/>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4.1监理人的一般规定</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关于监理人的监理内容：</w:t>
      </w:r>
      <w:r>
        <w:rPr>
          <w:rFonts w:hint="eastAsia" w:ascii="宋体" w:hAnsi="宋体" w:eastAsia="宋体" w:cs="宋体"/>
          <w:bCs/>
          <w:kern w:val="44"/>
          <w:sz w:val="24"/>
          <w:szCs w:val="24"/>
          <w:u w:val="single"/>
        </w:rPr>
        <w:t xml:space="preserve"> 按发包人与监理单位签订的工程监理委托合同执行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关于监理人的监理权限：</w:t>
      </w:r>
      <w:r>
        <w:rPr>
          <w:rFonts w:hint="eastAsia" w:ascii="宋体" w:hAnsi="宋体" w:eastAsia="宋体" w:cs="宋体"/>
          <w:bCs/>
          <w:kern w:val="44"/>
          <w:sz w:val="24"/>
          <w:szCs w:val="24"/>
          <w:u w:val="single"/>
        </w:rPr>
        <w:t xml:space="preserve"> 按发包人与监理单位签订的工程监理委托合同执行 </w:t>
      </w:r>
      <w:r>
        <w:rPr>
          <w:rFonts w:hint="eastAsia" w:ascii="宋体" w:hAnsi="宋体" w:eastAsia="宋体" w:cs="宋体"/>
          <w:bCs/>
          <w:kern w:val="44"/>
          <w:sz w:val="24"/>
          <w:szCs w:val="24"/>
        </w:rPr>
        <w:t xml:space="preserve">。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关于监理人在施工现场的办公场所、生活场所的提供和费用承担的约定：</w:t>
      </w:r>
      <w:r>
        <w:rPr>
          <w:rFonts w:hint="eastAsia" w:ascii="宋体" w:hAnsi="宋体" w:eastAsia="宋体" w:cs="宋体"/>
          <w:bCs/>
          <w:kern w:val="44"/>
          <w:sz w:val="24"/>
          <w:szCs w:val="24"/>
          <w:u w:val="single"/>
        </w:rPr>
        <w:t xml:space="preserve">  不提供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4.2 监理人员</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总监理工程师：</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姓    名：</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职    务：</w:t>
      </w:r>
      <w:r>
        <w:rPr>
          <w:rFonts w:hint="eastAsia" w:ascii="宋体" w:hAnsi="宋体" w:eastAsia="宋体" w:cs="宋体"/>
          <w:bCs/>
          <w:kern w:val="44"/>
          <w:sz w:val="24"/>
          <w:szCs w:val="24"/>
          <w:u w:val="single"/>
        </w:rPr>
        <w:t>/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监理工程师执业资格证书号：</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联系电话：</w:t>
      </w:r>
      <w:r>
        <w:rPr>
          <w:rFonts w:hint="eastAsia" w:ascii="宋体" w:hAnsi="宋体" w:eastAsia="宋体" w:cs="宋体"/>
          <w:bCs/>
          <w:kern w:val="44"/>
          <w:sz w:val="24"/>
          <w:szCs w:val="24"/>
          <w:u w:val="single"/>
        </w:rPr>
        <w:t>/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电子信箱：</w:t>
      </w:r>
      <w:r>
        <w:rPr>
          <w:rFonts w:hint="eastAsia" w:ascii="宋体" w:hAnsi="宋体" w:eastAsia="宋体" w:cs="宋体"/>
          <w:bCs/>
          <w:kern w:val="44"/>
          <w:sz w:val="24"/>
          <w:szCs w:val="24"/>
          <w:u w:val="single"/>
        </w:rPr>
        <w:t>/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通信地址：</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关于监理人的其他约定：</w:t>
      </w:r>
      <w:r>
        <w:rPr>
          <w:rFonts w:hint="eastAsia" w:ascii="宋体" w:hAnsi="宋体" w:eastAsia="宋体" w:cs="宋体"/>
          <w:bCs/>
          <w:kern w:val="44"/>
          <w:sz w:val="24"/>
          <w:szCs w:val="24"/>
          <w:u w:val="single"/>
        </w:rPr>
        <w:t>详见专用条款关于监理工程师权利的约定</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监理人根据发包人委托，有权任命监理工程师，监理工程师仅应履行或者行使施工合同中授权给他的任务或者职权以及法律、行政法规以及监理合同赋予的职责。</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监理工程师的授权文件即《监理工程师授权通知书》，发包人应在本协议文件签署生效后的恰当时间内以书面授权通知的方式送达承包人项目经理或者授权代表签收。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4.3 监理工程师权力限制：下列权力监理工程师无权行使：</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u w:val="single"/>
        </w:rPr>
        <w:t>4.3.1超越监理工程师权限，需要取得授权方可行使的其他权力</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u w:val="single"/>
        </w:rPr>
        <w:t>4.3.2对承包人变更工程造价和工期顺延签证的最终确认权</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u w:val="single"/>
        </w:rPr>
        <w:t>4.3.3对承包人或者发包人索赔的最终确认权</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4.4监理工程师管理会议</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监理工程师应当按照合同授权或者根据管理需要在任何时间召开发包人授权代表和承包人项目经理参加的管理会议（或监理工程师例会，发、承包人其他管理人员亦应当参加例会）。管理会议所要求发包人、承包人采取的行动措施以及对现场管理所作出的决定（决议或者要求），应与监理工程师的职责、发包人的授权以及施工合同保持一致。</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监理工程师应当准确记载管理会议的决议事项和内容，向与会的发包人授权代表、承包人项目经理和其他与会人员提供副本，并保留完整的送达收据或者凭证。发包人授权代表和承包人的项目经理必须在监理工程师的管理文件回执上签字（或盖章）。</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4.5 商定或确定</w:t>
      </w:r>
    </w:p>
    <w:p>
      <w:pPr>
        <w:spacing w:line="360" w:lineRule="auto"/>
        <w:jc w:val="left"/>
        <w:rPr>
          <w:rFonts w:hint="eastAsia" w:ascii="宋体" w:hAnsi="宋体" w:eastAsia="宋体" w:cs="宋体"/>
          <w:bCs/>
          <w:kern w:val="44"/>
          <w:sz w:val="24"/>
          <w:szCs w:val="24"/>
        </w:rPr>
      </w:pPr>
      <w:bookmarkStart w:id="148" w:name="_Toc267251418"/>
      <w:r>
        <w:rPr>
          <w:rFonts w:hint="eastAsia" w:ascii="宋体" w:hAnsi="宋体" w:eastAsia="宋体" w:cs="宋体"/>
          <w:bCs/>
          <w:kern w:val="44"/>
          <w:sz w:val="24"/>
          <w:szCs w:val="24"/>
        </w:rPr>
        <w:t>在发包人和承包人不能通过协商达成一致意见时，发包人授权监理人对以下事项进行确定：</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w:t>
      </w:r>
      <w:r>
        <w:rPr>
          <w:rFonts w:hint="eastAsia" w:ascii="宋体" w:hAnsi="宋体" w:eastAsia="宋体" w:cs="宋体"/>
          <w:bCs/>
          <w:i/>
          <w:i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outlineLvl w:val="1"/>
        <w:rPr>
          <w:rFonts w:hint="eastAsia" w:ascii="宋体" w:hAnsi="宋体" w:eastAsia="宋体" w:cs="宋体"/>
          <w:b/>
          <w:bCs w:val="0"/>
          <w:kern w:val="44"/>
          <w:sz w:val="24"/>
          <w:szCs w:val="24"/>
        </w:rPr>
      </w:pPr>
      <w:bookmarkStart w:id="149" w:name="_Toc19091"/>
      <w:bookmarkStart w:id="150" w:name="_Toc351203637"/>
      <w:bookmarkStart w:id="151" w:name="_Toc30485_WPSOffice_Level2"/>
      <w:r>
        <w:rPr>
          <w:rFonts w:hint="eastAsia" w:ascii="宋体" w:hAnsi="宋体" w:eastAsia="宋体" w:cs="宋体"/>
          <w:b/>
          <w:bCs w:val="0"/>
          <w:kern w:val="44"/>
          <w:sz w:val="24"/>
          <w:szCs w:val="24"/>
        </w:rPr>
        <w:t>5</w:t>
      </w:r>
      <w:bookmarkEnd w:id="148"/>
      <w:bookmarkStart w:id="152" w:name="_Toc296891203"/>
      <w:bookmarkStart w:id="153" w:name="_Toc297048349"/>
      <w:bookmarkStart w:id="154" w:name="_Toc296346664"/>
      <w:bookmarkStart w:id="155" w:name="_Toc296890991"/>
      <w:bookmarkStart w:id="156" w:name="_Toc297120463"/>
      <w:bookmarkStart w:id="157" w:name="_Toc292559872"/>
      <w:bookmarkStart w:id="158" w:name="_Toc292559367"/>
      <w:bookmarkStart w:id="159" w:name="_Toc296503163"/>
      <w:bookmarkStart w:id="160" w:name="_Toc296347162"/>
      <w:bookmarkStart w:id="161" w:name="_Toc296944502"/>
      <w:r>
        <w:rPr>
          <w:rFonts w:hint="eastAsia" w:ascii="宋体" w:hAnsi="宋体" w:eastAsia="宋体" w:cs="宋体"/>
          <w:b/>
          <w:bCs w:val="0"/>
          <w:kern w:val="44"/>
          <w:sz w:val="24"/>
          <w:szCs w:val="24"/>
        </w:rPr>
        <w:t>. 工程质量</w:t>
      </w:r>
      <w:bookmarkEnd w:id="149"/>
      <w:bookmarkEnd w:id="150"/>
      <w:bookmarkEnd w:id="151"/>
    </w:p>
    <w:p>
      <w:pPr>
        <w:spacing w:line="360" w:lineRule="auto"/>
        <w:jc w:val="left"/>
        <w:rPr>
          <w:rFonts w:hint="eastAsia" w:ascii="宋体" w:hAnsi="宋体" w:eastAsia="宋体" w:cs="宋体"/>
          <w:bCs/>
          <w:kern w:val="44"/>
          <w:sz w:val="24"/>
          <w:szCs w:val="24"/>
        </w:rPr>
      </w:pPr>
      <w:bookmarkStart w:id="162" w:name="_Toc28499"/>
      <w:bookmarkStart w:id="163" w:name="_Toc25895"/>
      <w:bookmarkStart w:id="164" w:name="_Toc1753"/>
      <w:r>
        <w:rPr>
          <w:rFonts w:hint="eastAsia" w:ascii="宋体" w:hAnsi="宋体" w:eastAsia="宋体" w:cs="宋体"/>
          <w:bCs/>
          <w:kern w:val="44"/>
          <w:sz w:val="24"/>
          <w:szCs w:val="24"/>
        </w:rPr>
        <w:t>5.1 质量要求</w:t>
      </w:r>
      <w:bookmarkEnd w:id="162"/>
      <w:bookmarkEnd w:id="163"/>
      <w:bookmarkEnd w:id="164"/>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5</w:t>
      </w:r>
      <w:bookmarkStart w:id="165" w:name="_Toc303539106"/>
      <w:bookmarkStart w:id="166" w:name="_Toc300934949"/>
      <w:bookmarkStart w:id="167" w:name="_Toc318581164"/>
      <w:bookmarkStart w:id="168" w:name="_Toc304295527"/>
      <w:bookmarkStart w:id="169" w:name="_Toc297216155"/>
      <w:bookmarkStart w:id="170" w:name="_Toc312677997"/>
      <w:bookmarkStart w:id="171" w:name="_Toc297123496"/>
      <w:r>
        <w:rPr>
          <w:rFonts w:hint="eastAsia" w:ascii="宋体" w:hAnsi="宋体" w:eastAsia="宋体" w:cs="宋体"/>
          <w:bCs/>
          <w:kern w:val="44"/>
          <w:sz w:val="24"/>
          <w:szCs w:val="24"/>
        </w:rPr>
        <w:t>.1.1 特殊质量标准和要求：</w:t>
      </w:r>
      <w:r>
        <w:rPr>
          <w:rFonts w:hint="eastAsia" w:ascii="宋体" w:hAnsi="宋体" w:eastAsia="宋体" w:cs="宋体"/>
          <w:bCs/>
          <w:kern w:val="44"/>
          <w:sz w:val="24"/>
          <w:szCs w:val="24"/>
          <w:u w:val="single"/>
        </w:rPr>
        <w:t xml:space="preserve"> 按本招标文件相关规定执行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关于工程奖项的约定：</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u w:val="single"/>
          <w:lang w:val="en-US" w:eastAsia="zh-CN"/>
        </w:rPr>
        <w:t xml:space="preserve">   /   </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172" w:name="_Toc32069"/>
      <w:r>
        <w:rPr>
          <w:rFonts w:hint="eastAsia" w:ascii="宋体" w:hAnsi="宋体" w:eastAsia="宋体" w:cs="宋体"/>
          <w:bCs/>
          <w:kern w:val="44"/>
          <w:sz w:val="24"/>
          <w:szCs w:val="24"/>
        </w:rPr>
        <w:t>5.3 隐蔽工程检查</w:t>
      </w:r>
      <w:bookmarkEnd w:id="172"/>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5.3.2承包人提前通知监理人隐蔽工程检查的期限的约定：</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监理人不能按时进行检查时，应提前</w:t>
      </w:r>
      <w:r>
        <w:rPr>
          <w:rFonts w:hint="eastAsia" w:ascii="宋体" w:hAnsi="宋体" w:eastAsia="宋体" w:cs="宋体"/>
          <w:bCs/>
          <w:kern w:val="44"/>
          <w:sz w:val="24"/>
          <w:szCs w:val="24"/>
          <w:u w:val="single"/>
        </w:rPr>
        <w:t xml:space="preserve">  24  </w:t>
      </w:r>
      <w:r>
        <w:rPr>
          <w:rFonts w:hint="eastAsia" w:ascii="宋体" w:hAnsi="宋体" w:eastAsia="宋体" w:cs="宋体"/>
          <w:bCs/>
          <w:kern w:val="44"/>
          <w:sz w:val="24"/>
          <w:szCs w:val="24"/>
        </w:rPr>
        <w:t>小时提交书面延期要求。</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关于延期最长不得超过：</w:t>
      </w:r>
      <w:r>
        <w:rPr>
          <w:rFonts w:hint="eastAsia" w:ascii="宋体" w:hAnsi="宋体" w:eastAsia="宋体" w:cs="宋体"/>
          <w:bCs/>
          <w:kern w:val="44"/>
          <w:sz w:val="24"/>
          <w:szCs w:val="24"/>
          <w:u w:val="single"/>
        </w:rPr>
        <w:t xml:space="preserve">  48  </w:t>
      </w:r>
      <w:r>
        <w:rPr>
          <w:rFonts w:hint="eastAsia" w:ascii="宋体" w:hAnsi="宋体" w:eastAsia="宋体" w:cs="宋体"/>
          <w:bCs/>
          <w:kern w:val="44"/>
          <w:sz w:val="24"/>
          <w:szCs w:val="24"/>
        </w:rPr>
        <w:t>小时。</w:t>
      </w:r>
    </w:p>
    <w:p>
      <w:pPr>
        <w:spacing w:line="360" w:lineRule="auto"/>
        <w:jc w:val="left"/>
        <w:outlineLvl w:val="1"/>
        <w:rPr>
          <w:rFonts w:hint="eastAsia" w:ascii="宋体" w:hAnsi="宋体" w:eastAsia="宋体" w:cs="宋体"/>
          <w:bCs/>
          <w:kern w:val="44"/>
          <w:sz w:val="24"/>
          <w:szCs w:val="24"/>
        </w:rPr>
      </w:pPr>
      <w:bookmarkStart w:id="173" w:name="_Toc25771"/>
      <w:bookmarkStart w:id="174" w:name="_Toc351203638"/>
      <w:bookmarkStart w:id="175" w:name="_Toc9465_WPSOffice_Level2"/>
      <w:r>
        <w:rPr>
          <w:rFonts w:hint="eastAsia" w:ascii="宋体" w:hAnsi="宋体" w:eastAsia="宋体" w:cs="宋体"/>
          <w:b/>
          <w:bCs w:val="0"/>
          <w:kern w:val="44"/>
          <w:sz w:val="24"/>
          <w:szCs w:val="24"/>
        </w:rPr>
        <w:t>6. 安全文明施工与环境保护</w:t>
      </w:r>
      <w:bookmarkEnd w:id="173"/>
      <w:bookmarkEnd w:id="174"/>
      <w:bookmarkEnd w:id="175"/>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6.1安全文明施工</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6.1.1 项目安全生产的达标目标及相应事项的约定：承包人应在施工组织设计中针对工程特点，提出安全文明施工措施，保证安全施工。因施工引起的各类安全事故的全部责任和费用由承包人承担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（1）严格遵守国家有关安全生产的法律法规，认真执行工程承包合同中的有关安全要求。</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坚持“安全第一、预防为主”的方针和“管生产必须管安全”的原则，加强安全生产宣传教育，增强全员安全生产意识，建立健全各项安全生产的管理机构和安全生产管理制度，配备专职安全检查人员，有组织有领导地开展安全生产活动。各级工程技术人员、生产管理人员和具体操作人员，必须熟悉和遵守本条款的各项规定，做到生产与安全工作同时计划、布置、检查、总结和评比。按月对安全生产工作进行计划、布置、检查、总结和评比。</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建立健全安全生产责任制。项目经理亲自担任安全生产管理组长，从项目经理到生产工人（包括临时雇请的民工）的安全生产管理系统必须做到纵向到底，一环不漏；各职能部门、人员的安全生产责任制，做到横向到边，人人有责。项目经理是安全生产的第一责任人。现场设置的安全机构，应按《建筑施工企业安全生产管理机构设置及专职安全生产管理人员配备办法》配备安全员，专职负责所有员工的安全和治安保卫工作及预防事故的发生。安全机构人员，有权按有关规定发布指令，关键时有一票否决权，并采取保护措施防止事故发生。承包人应制定切实有效的规章制度，对安全生产进行有效管理，切实做到“安全才能生产，生产必须安全”，严禁发生重大安全生产事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（4）承包人在任何时候都应该采取各种合理的预防措施，防止其员工发生任何违法、违禁、暴力或妨碍治安的行为。</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焊接、等特殊工种的人员，须获得《安全操作合格证》后方准持证上岗。严禁无证上岗现象发生，施工现场如出现特种作业无证操作现象时，项目经理必须承担管理责任。</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（7）操作人员上岗，必须按规定穿戴防护用品。施工负责人和安全检查员应随时检查劳动防护用品的穿戴情况，不按规定穿戴防护用品的人员不得上岗。</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8）所有施工机具设备和高空作业的设备均应定期检查，并有安全员的签字记录，保证其经常处于完好状态；尤其是高空作业设备（如塔吊、提升架、吊车设备等）必须取得当地技术监督部门颁发的使用许可证，并且定期或者不定期进行跟踪检验。不合格的机具、设备和劳动保护用品严禁使用。</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（9）施工中采用新技术、新工艺、新设备、新材料时，必须制定相应的安全技术措施，施工现场必须具有相关的安全标志牌。</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10）承包人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（11）重要的安全设施必须坚持与主体工程“三同时”的原则，即：同时设计、审批，同时施工，同时验收，投入使用。严禁对重点、难点和存在安全问题的工程进行分包。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（12）在影响交通或者公共安全的现场必选在两端设立醒目的安全标志，夜晚时必须有灯光照明，安全标志应当设立在距离施工现场50米以外的位置，并且有专人负责管</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6.1.4 关于治安保卫的特别约定：</w:t>
      </w:r>
      <w:r>
        <w:rPr>
          <w:rFonts w:hint="eastAsia" w:ascii="宋体" w:hAnsi="宋体" w:eastAsia="宋体" w:cs="宋体"/>
          <w:bCs/>
          <w:kern w:val="44"/>
          <w:sz w:val="24"/>
          <w:szCs w:val="24"/>
          <w:u w:val="single"/>
        </w:rPr>
        <w:t xml:space="preserve">   无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关于编制施工场地治安管理计划的约定：</w:t>
      </w:r>
      <w:r>
        <w:rPr>
          <w:rFonts w:hint="eastAsia" w:ascii="宋体" w:hAnsi="宋体" w:eastAsia="宋体" w:cs="宋体"/>
          <w:bCs/>
          <w:kern w:val="44"/>
          <w:sz w:val="24"/>
          <w:szCs w:val="24"/>
          <w:u w:val="single"/>
        </w:rPr>
        <w:t>执行通用条款</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6.1.5 文明施工</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合同当事人对文明施工的要求：</w:t>
      </w:r>
      <w:r>
        <w:rPr>
          <w:rFonts w:hint="eastAsia" w:ascii="宋体" w:hAnsi="宋体" w:eastAsia="宋体" w:cs="宋体"/>
          <w:bCs/>
          <w:kern w:val="44"/>
          <w:sz w:val="24"/>
          <w:szCs w:val="24"/>
          <w:u w:val="single"/>
        </w:rPr>
        <w:t>按照相关文件和当地政府的规定执行该费用已包含在本工程施工合同内包干，不再另行增加或者补偿</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6.1.6 关于安全文明施工费支付比例和支付期限的约定：</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bookmarkEnd w:id="165"/>
    <w:bookmarkEnd w:id="166"/>
    <w:bookmarkEnd w:id="167"/>
    <w:bookmarkEnd w:id="168"/>
    <w:bookmarkEnd w:id="169"/>
    <w:bookmarkEnd w:id="170"/>
    <w:bookmarkEnd w:id="171"/>
    <w:p>
      <w:pPr>
        <w:spacing w:line="360" w:lineRule="auto"/>
        <w:jc w:val="left"/>
        <w:outlineLvl w:val="1"/>
        <w:rPr>
          <w:rFonts w:hint="eastAsia" w:ascii="宋体" w:hAnsi="宋体" w:eastAsia="宋体" w:cs="宋体"/>
          <w:bCs/>
          <w:kern w:val="44"/>
          <w:sz w:val="24"/>
          <w:szCs w:val="24"/>
        </w:rPr>
      </w:pPr>
      <w:bookmarkStart w:id="176" w:name="_Toc4462"/>
      <w:bookmarkStart w:id="177" w:name="_Toc867_WPSOffice_Level2"/>
      <w:bookmarkStart w:id="178" w:name="_Toc351203639"/>
      <w:r>
        <w:rPr>
          <w:rFonts w:hint="eastAsia" w:ascii="宋体" w:hAnsi="宋体" w:eastAsia="宋体" w:cs="宋体"/>
          <w:b/>
          <w:bCs w:val="0"/>
          <w:kern w:val="44"/>
          <w:sz w:val="24"/>
          <w:szCs w:val="24"/>
        </w:rPr>
        <w:t>7. 工期和进度</w:t>
      </w:r>
      <w:bookmarkEnd w:id="176"/>
      <w:bookmarkEnd w:id="177"/>
      <w:bookmarkEnd w:id="178"/>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7.1 施工组织设计</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7.1.1 合同当事人约定的施工组织设计应包括的其他内容：</w:t>
      </w:r>
      <w:r>
        <w:rPr>
          <w:rFonts w:hint="eastAsia" w:ascii="宋体" w:hAnsi="宋体" w:eastAsia="宋体" w:cs="宋体"/>
          <w:bCs/>
          <w:kern w:val="44"/>
          <w:sz w:val="24"/>
          <w:szCs w:val="24"/>
          <w:u w:val="single"/>
        </w:rPr>
        <w:t xml:space="preserve">  由发包人和监理人根据工程特点、施工现场条件等情况进行增减和调整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7.1.2 施工组织设计的提交和修改</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承包人提交详细施工组织设计的期限的约定：</w:t>
      </w:r>
      <w:r>
        <w:rPr>
          <w:rFonts w:hint="eastAsia" w:ascii="宋体" w:hAnsi="宋体" w:eastAsia="宋体" w:cs="宋体"/>
          <w:bCs/>
          <w:kern w:val="44"/>
          <w:sz w:val="24"/>
          <w:szCs w:val="24"/>
          <w:u w:val="single"/>
        </w:rPr>
        <w:t xml:space="preserve"> 承包人应根据发包人和监理人提出的意见，按要求修改施工组织设计和施工进度计划（包括施工进度网络计划、确定关键路线）。并于开工前7天内提供。每月25日前向发包人和监理人提供经三方确认的月完成工程量报表、月进度报表和下月（周）进度计划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发包人和监理人在收到详细的施工组织设计后确认或提出修改意见的期限：</w:t>
      </w:r>
      <w:r>
        <w:rPr>
          <w:rFonts w:hint="eastAsia" w:ascii="宋体" w:hAnsi="宋体" w:eastAsia="宋体" w:cs="宋体"/>
          <w:bCs/>
          <w:kern w:val="44"/>
          <w:sz w:val="24"/>
          <w:szCs w:val="24"/>
          <w:u w:val="single"/>
        </w:rPr>
        <w:t xml:space="preserve"> 收到后7天内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w:t>
      </w:r>
      <w:bookmarkStart w:id="179" w:name="_Toc297123514"/>
      <w:bookmarkStart w:id="180" w:name="_Toc297216173"/>
      <w:bookmarkStart w:id="181" w:name="_Toc300934966"/>
      <w:bookmarkStart w:id="182" w:name="_Toc304295541"/>
      <w:bookmarkStart w:id="183" w:name="_Toc312678005"/>
      <w:bookmarkStart w:id="184" w:name="_Toc312677479"/>
      <w:bookmarkStart w:id="185" w:name="_Toc303539123"/>
      <w:r>
        <w:rPr>
          <w:rFonts w:hint="eastAsia" w:ascii="宋体" w:hAnsi="宋体" w:eastAsia="宋体" w:cs="宋体"/>
          <w:bCs/>
          <w:kern w:val="44"/>
          <w:sz w:val="24"/>
          <w:szCs w:val="24"/>
        </w:rPr>
        <w:t>.2 施工进度计划</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7.2.2 施工进度计划的修订</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发包人和监理人在收到修订的施工进度计划后确认或提出修改意见的期限：</w:t>
      </w:r>
      <w:r>
        <w:rPr>
          <w:rFonts w:hint="eastAsia" w:ascii="宋体" w:hAnsi="宋体" w:eastAsia="宋体" w:cs="宋体"/>
          <w:bCs/>
          <w:kern w:val="44"/>
          <w:sz w:val="24"/>
          <w:szCs w:val="24"/>
          <w:u w:val="single"/>
        </w:rPr>
        <w:t xml:space="preserve">收到后7天内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7.3 开工</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7.3.1 开工准备</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关于承包人提交工程开工报审表的期限：</w:t>
      </w:r>
      <w:r>
        <w:rPr>
          <w:rFonts w:hint="eastAsia" w:ascii="宋体" w:hAnsi="宋体" w:eastAsia="宋体" w:cs="宋体"/>
          <w:bCs/>
          <w:kern w:val="44"/>
          <w:sz w:val="24"/>
          <w:szCs w:val="24"/>
          <w:u w:val="single"/>
        </w:rPr>
        <w:t>执行通用条款</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关于发包人应完成的其他开工准备工作及期限：</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关于承包人应完成的其他开工准备工作及期限：</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7.3.2开工通知</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因发包人原因造成监理人未能在计划开工日期之日起</w:t>
      </w:r>
      <w:r>
        <w:rPr>
          <w:rFonts w:hint="eastAsia" w:ascii="宋体" w:hAnsi="宋体" w:eastAsia="宋体" w:cs="宋体"/>
          <w:bCs/>
          <w:kern w:val="44"/>
          <w:sz w:val="24"/>
          <w:szCs w:val="24"/>
          <w:u w:val="single"/>
        </w:rPr>
        <w:t xml:space="preserve"> 90 </w:t>
      </w:r>
      <w:r>
        <w:rPr>
          <w:rFonts w:hint="eastAsia" w:ascii="宋体" w:hAnsi="宋体" w:eastAsia="宋体" w:cs="宋体"/>
          <w:bCs/>
          <w:kern w:val="44"/>
          <w:sz w:val="24"/>
          <w:szCs w:val="24"/>
        </w:rPr>
        <w:t>天内发出开工通知的，承包人有权提出价格调整要求，或者解除合同。</w:t>
      </w:r>
    </w:p>
    <w:bookmarkEnd w:id="179"/>
    <w:bookmarkEnd w:id="180"/>
    <w:bookmarkEnd w:id="181"/>
    <w:bookmarkEnd w:id="182"/>
    <w:bookmarkEnd w:id="183"/>
    <w:bookmarkEnd w:id="184"/>
    <w:bookmarkEnd w:id="185"/>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7.4 测量放线</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7.4.1发包人通过监理人向承包人提供测量基准点、基准线和水准点及其书面资料的期限：</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w:t>
      </w:r>
      <w:bookmarkStart w:id="186" w:name="_Toc312678010"/>
      <w:bookmarkStart w:id="187" w:name="_Toc297123516"/>
      <w:bookmarkStart w:id="188" w:name="_Toc297216175"/>
      <w:bookmarkStart w:id="189" w:name="_Toc304295546"/>
      <w:bookmarkStart w:id="190" w:name="_Toc312677484"/>
      <w:bookmarkStart w:id="191" w:name="_Toc303539125"/>
      <w:bookmarkStart w:id="192" w:name="_Toc300934968"/>
      <w:r>
        <w:rPr>
          <w:rFonts w:hint="eastAsia" w:ascii="宋体" w:hAnsi="宋体" w:eastAsia="宋体" w:cs="宋体"/>
          <w:bCs/>
          <w:kern w:val="44"/>
          <w:sz w:val="24"/>
          <w:szCs w:val="24"/>
        </w:rPr>
        <w:t>.5 工期延误</w:t>
      </w:r>
    </w:p>
    <w:bookmarkEnd w:id="186"/>
    <w:bookmarkEnd w:id="187"/>
    <w:bookmarkEnd w:id="188"/>
    <w:bookmarkEnd w:id="189"/>
    <w:bookmarkEnd w:id="190"/>
    <w:bookmarkEnd w:id="191"/>
    <w:bookmarkEnd w:id="192"/>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7.5.1 因发包人原因导致工期延误</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因发包人原因导致工期延误的其他情形：</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由政府及有关部门及垄断单位因发布条例、规定、文件及检修、维修等政策性原因或者不可抗拒的原因造成承包人停工、窝工时，工期予以顺延，除此以外不再做任何经济补偿。如承包人未在事件发生后的３日内提交报告，视为不需要顺延工期，发包人不再办理签证手续，工期不予顺延。发包人要求承包人节假日期间正常施工，并保证特殊季节（麦收及秋收）期间的施工正常进行。</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w:t>
      </w:r>
      <w:bookmarkStart w:id="193" w:name="_Toc312677486"/>
      <w:bookmarkStart w:id="194" w:name="_Toc312678012"/>
      <w:bookmarkStart w:id="195" w:name="_Toc318581169"/>
      <w:bookmarkStart w:id="196" w:name="_Toc304295548"/>
      <w:bookmarkStart w:id="197" w:name="_Toc297123518"/>
      <w:bookmarkStart w:id="198" w:name="_Toc303539127"/>
      <w:bookmarkStart w:id="199" w:name="_Toc297216177"/>
      <w:bookmarkStart w:id="200" w:name="_Toc300934970"/>
      <w:r>
        <w:rPr>
          <w:rFonts w:hint="eastAsia" w:ascii="宋体" w:hAnsi="宋体" w:eastAsia="宋体" w:cs="宋体"/>
          <w:bCs/>
          <w:kern w:val="44"/>
          <w:sz w:val="24"/>
          <w:szCs w:val="24"/>
        </w:rPr>
        <w:t>.5.2 因承包人原因导致工期延误</w:t>
      </w:r>
    </w:p>
    <w:bookmarkEnd w:id="193"/>
    <w:bookmarkEnd w:id="194"/>
    <w:bookmarkEnd w:id="195"/>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因</w:t>
      </w:r>
      <w:bookmarkStart w:id="201" w:name="_Toc318581170"/>
      <w:bookmarkStart w:id="202" w:name="_Toc312678013"/>
      <w:bookmarkStart w:id="203" w:name="_Toc312677487"/>
      <w:r>
        <w:rPr>
          <w:rFonts w:hint="eastAsia" w:ascii="宋体" w:hAnsi="宋体" w:eastAsia="宋体" w:cs="宋体"/>
          <w:bCs/>
          <w:kern w:val="44"/>
          <w:sz w:val="24"/>
          <w:szCs w:val="24"/>
        </w:rPr>
        <w:t>承包人原因造成工期延误，逾期竣工违约金的计算方法为：</w:t>
      </w:r>
      <w:r>
        <w:rPr>
          <w:rFonts w:hint="eastAsia" w:ascii="宋体" w:hAnsi="宋体" w:eastAsia="宋体" w:cs="宋体"/>
          <w:bCs/>
          <w:kern w:val="44"/>
          <w:sz w:val="24"/>
          <w:szCs w:val="24"/>
          <w:u w:val="single"/>
        </w:rPr>
        <w:t xml:space="preserve"> 逾期10天以内，按</w:t>
      </w:r>
      <w:r>
        <w:rPr>
          <w:rFonts w:hint="eastAsia" w:ascii="宋体" w:hAnsi="宋体" w:eastAsia="宋体" w:cs="宋体"/>
          <w:bCs/>
          <w:kern w:val="44"/>
          <w:sz w:val="24"/>
          <w:szCs w:val="24"/>
          <w:u w:val="single"/>
          <w:lang w:val="en-US" w:eastAsia="zh-CN"/>
        </w:rPr>
        <w:t>1</w:t>
      </w:r>
      <w:r>
        <w:rPr>
          <w:rFonts w:hint="eastAsia" w:ascii="宋体" w:hAnsi="宋体" w:eastAsia="宋体" w:cs="宋体"/>
          <w:bCs/>
          <w:kern w:val="44"/>
          <w:sz w:val="24"/>
          <w:szCs w:val="24"/>
          <w:u w:val="single"/>
        </w:rPr>
        <w:t>000元/天计算；超过10天，按</w:t>
      </w:r>
      <w:r>
        <w:rPr>
          <w:rFonts w:hint="eastAsia" w:ascii="宋体" w:hAnsi="宋体" w:eastAsia="宋体" w:cs="宋体"/>
          <w:bCs/>
          <w:kern w:val="44"/>
          <w:sz w:val="24"/>
          <w:szCs w:val="24"/>
          <w:u w:val="single"/>
          <w:lang w:val="en-US" w:eastAsia="zh-CN"/>
        </w:rPr>
        <w:t>2</w:t>
      </w:r>
      <w:r>
        <w:rPr>
          <w:rFonts w:hint="eastAsia" w:ascii="宋体" w:hAnsi="宋体" w:eastAsia="宋体" w:cs="宋体"/>
          <w:bCs/>
          <w:kern w:val="44"/>
          <w:sz w:val="24"/>
          <w:szCs w:val="24"/>
          <w:u w:val="single"/>
        </w:rPr>
        <w:t>000元/天计算；逾期超过</w:t>
      </w:r>
      <w:r>
        <w:rPr>
          <w:rFonts w:hint="eastAsia" w:ascii="宋体" w:hAnsi="宋体" w:eastAsia="宋体" w:cs="宋体"/>
          <w:bCs/>
          <w:kern w:val="44"/>
          <w:sz w:val="24"/>
          <w:szCs w:val="24"/>
          <w:u w:val="single"/>
          <w:lang w:val="en-US" w:eastAsia="zh-CN"/>
        </w:rPr>
        <w:t>2</w:t>
      </w:r>
      <w:r>
        <w:rPr>
          <w:rFonts w:hint="eastAsia" w:ascii="宋体" w:hAnsi="宋体" w:eastAsia="宋体" w:cs="宋体"/>
          <w:bCs/>
          <w:kern w:val="44"/>
          <w:sz w:val="24"/>
          <w:szCs w:val="24"/>
          <w:u w:val="single"/>
        </w:rPr>
        <w:t xml:space="preserve">0天，发包人有权解除合同 </w:t>
      </w:r>
      <w:r>
        <w:rPr>
          <w:rFonts w:hint="eastAsia" w:ascii="宋体" w:hAnsi="宋体" w:eastAsia="宋体" w:cs="宋体"/>
          <w:bCs/>
          <w:kern w:val="44"/>
          <w:sz w:val="24"/>
          <w:szCs w:val="24"/>
        </w:rPr>
        <w:t>。</w:t>
      </w:r>
      <w:bookmarkEnd w:id="196"/>
      <w:bookmarkEnd w:id="197"/>
      <w:bookmarkEnd w:id="198"/>
      <w:bookmarkEnd w:id="199"/>
      <w:bookmarkEnd w:id="200"/>
      <w:bookmarkEnd w:id="201"/>
      <w:bookmarkEnd w:id="202"/>
      <w:bookmarkEnd w:id="203"/>
      <w:r>
        <w:rPr>
          <w:rFonts w:hint="eastAsia" w:ascii="宋体" w:hAnsi="宋体" w:eastAsia="宋体" w:cs="宋体"/>
          <w:bCs/>
          <w:kern w:val="44"/>
          <w:sz w:val="24"/>
          <w:szCs w:val="24"/>
        </w:rPr>
        <w:t>因承包人原因造成工期延误，逾</w:t>
      </w:r>
      <w:bookmarkStart w:id="204" w:name="_Toc318581171"/>
      <w:bookmarkStart w:id="205" w:name="_Toc312678014"/>
      <w:r>
        <w:rPr>
          <w:rFonts w:hint="eastAsia" w:ascii="宋体" w:hAnsi="宋体" w:eastAsia="宋体" w:cs="宋体"/>
          <w:bCs/>
          <w:kern w:val="44"/>
          <w:sz w:val="24"/>
          <w:szCs w:val="24"/>
        </w:rPr>
        <w:t>期竣工违约金的上限：</w:t>
      </w:r>
      <w:r>
        <w:rPr>
          <w:rFonts w:hint="eastAsia" w:ascii="宋体" w:hAnsi="宋体" w:eastAsia="宋体" w:cs="宋体"/>
          <w:bCs/>
          <w:kern w:val="44"/>
          <w:sz w:val="24"/>
          <w:szCs w:val="24"/>
          <w:u w:val="single"/>
        </w:rPr>
        <w:t xml:space="preserve"> 不设上限 </w:t>
      </w:r>
      <w:r>
        <w:rPr>
          <w:rFonts w:hint="eastAsia" w:ascii="宋体" w:hAnsi="宋体" w:eastAsia="宋体" w:cs="宋体"/>
          <w:bCs/>
          <w:kern w:val="44"/>
          <w:sz w:val="24"/>
          <w:szCs w:val="24"/>
        </w:rPr>
        <w:t>。</w:t>
      </w:r>
    </w:p>
    <w:bookmarkEnd w:id="204"/>
    <w:bookmarkEnd w:id="205"/>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w:t>
      </w:r>
      <w:bookmarkStart w:id="206" w:name="_Toc303539128"/>
      <w:bookmarkStart w:id="207" w:name="_Toc304295549"/>
      <w:bookmarkStart w:id="208" w:name="_Toc300934971"/>
      <w:bookmarkStart w:id="209" w:name="_Toc297123519"/>
      <w:bookmarkStart w:id="210" w:name="_Toc297216178"/>
      <w:bookmarkStart w:id="211" w:name="_Toc312678015"/>
      <w:r>
        <w:rPr>
          <w:rFonts w:hint="eastAsia" w:ascii="宋体" w:hAnsi="宋体" w:eastAsia="宋体" w:cs="宋体"/>
          <w:bCs/>
          <w:kern w:val="44"/>
          <w:sz w:val="24"/>
          <w:szCs w:val="24"/>
        </w:rPr>
        <w:t>.6 不</w:t>
      </w:r>
      <w:bookmarkEnd w:id="206"/>
      <w:bookmarkEnd w:id="207"/>
      <w:bookmarkEnd w:id="208"/>
      <w:bookmarkEnd w:id="209"/>
      <w:bookmarkEnd w:id="210"/>
      <w:bookmarkEnd w:id="211"/>
      <w:r>
        <w:rPr>
          <w:rFonts w:hint="eastAsia" w:ascii="宋体" w:hAnsi="宋体" w:eastAsia="宋体" w:cs="宋体"/>
          <w:bCs/>
          <w:kern w:val="44"/>
          <w:sz w:val="24"/>
          <w:szCs w:val="24"/>
        </w:rPr>
        <w:t>利物质条件</w:t>
      </w:r>
    </w:p>
    <w:p>
      <w:pPr>
        <w:spacing w:line="360" w:lineRule="auto"/>
        <w:jc w:val="left"/>
        <w:rPr>
          <w:rFonts w:hint="eastAsia" w:ascii="宋体" w:hAnsi="宋体" w:eastAsia="宋体" w:cs="宋体"/>
          <w:bCs/>
          <w:kern w:val="44"/>
          <w:sz w:val="24"/>
          <w:szCs w:val="24"/>
        </w:rPr>
      </w:pPr>
      <w:bookmarkStart w:id="212" w:name="_Toc300934972"/>
      <w:bookmarkStart w:id="213" w:name="_Toc303539129"/>
      <w:bookmarkStart w:id="214" w:name="_Toc304295550"/>
      <w:bookmarkStart w:id="215" w:name="_Toc312678016"/>
      <w:bookmarkStart w:id="216" w:name="_Toc297216179"/>
      <w:bookmarkStart w:id="217" w:name="_Toc297123520"/>
      <w:bookmarkStart w:id="218" w:name="_Toc318581172"/>
      <w:r>
        <w:rPr>
          <w:rFonts w:hint="eastAsia" w:ascii="宋体" w:hAnsi="宋体" w:eastAsia="宋体" w:cs="宋体"/>
          <w:bCs/>
          <w:kern w:val="44"/>
          <w:sz w:val="24"/>
          <w:szCs w:val="24"/>
        </w:rPr>
        <w:t>不利物质条件的其他情形和有关约定：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bookmarkEnd w:id="212"/>
    <w:bookmarkEnd w:id="213"/>
    <w:bookmarkEnd w:id="214"/>
    <w:bookmarkEnd w:id="215"/>
    <w:bookmarkEnd w:id="216"/>
    <w:bookmarkEnd w:id="217"/>
    <w:bookmarkEnd w:id="218"/>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w:t>
      </w:r>
      <w:bookmarkStart w:id="219" w:name="_Toc297216180"/>
      <w:bookmarkStart w:id="220" w:name="_Toc297123521"/>
      <w:bookmarkStart w:id="221" w:name="_Toc300934973"/>
      <w:bookmarkStart w:id="222" w:name="_Toc303539130"/>
      <w:bookmarkStart w:id="223" w:name="_Toc312678017"/>
      <w:bookmarkStart w:id="224" w:name="_Toc304295551"/>
      <w:r>
        <w:rPr>
          <w:rFonts w:hint="eastAsia" w:ascii="宋体" w:hAnsi="宋体" w:eastAsia="宋体" w:cs="宋体"/>
          <w:bCs/>
          <w:kern w:val="44"/>
          <w:sz w:val="24"/>
          <w:szCs w:val="24"/>
        </w:rPr>
        <w:t>.7异常恶劣的气候条件</w:t>
      </w:r>
    </w:p>
    <w:bookmarkEnd w:id="219"/>
    <w:bookmarkEnd w:id="220"/>
    <w:bookmarkEnd w:id="221"/>
    <w:bookmarkEnd w:id="222"/>
    <w:bookmarkEnd w:id="223"/>
    <w:bookmarkEnd w:id="224"/>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发包人和承包人同意以下情形视为异常恶劣的气候条件：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w:t>
      </w:r>
      <w:r>
        <w:rPr>
          <w:rFonts w:hint="eastAsia" w:ascii="宋体" w:hAnsi="宋体" w:eastAsia="宋体" w:cs="宋体"/>
          <w:bCs/>
          <w:kern w:val="44"/>
          <w:sz w:val="24"/>
          <w:szCs w:val="24"/>
          <w:u w:val="single"/>
        </w:rPr>
        <w:t xml:space="preserve">  5年一遇的强降水</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w:t>
      </w:r>
      <w:r>
        <w:rPr>
          <w:rFonts w:hint="eastAsia" w:ascii="宋体" w:hAnsi="宋体" w:eastAsia="宋体" w:cs="宋体"/>
          <w:bCs/>
          <w:kern w:val="44"/>
          <w:sz w:val="24"/>
          <w:szCs w:val="24"/>
          <w:u w:val="single"/>
        </w:rPr>
        <w:t xml:space="preserve">  连续3天40摄氏度以上的高温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225" w:name="_Toc6326"/>
      <w:bookmarkStart w:id="226" w:name="_Toc7303"/>
      <w:bookmarkStart w:id="227" w:name="_Toc7703"/>
      <w:r>
        <w:rPr>
          <w:rFonts w:hint="eastAsia" w:ascii="宋体" w:hAnsi="宋体" w:eastAsia="宋体" w:cs="宋体"/>
          <w:bCs/>
          <w:kern w:val="44"/>
          <w:sz w:val="24"/>
          <w:szCs w:val="24"/>
        </w:rPr>
        <w:t>7.9 提前竣工的奖励</w:t>
      </w:r>
      <w:bookmarkEnd w:id="225"/>
      <w:bookmarkEnd w:id="226"/>
      <w:bookmarkEnd w:id="227"/>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7.9.2提前竣工的奖励：</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outlineLvl w:val="1"/>
        <w:rPr>
          <w:rFonts w:hint="eastAsia" w:ascii="宋体" w:hAnsi="宋体" w:eastAsia="宋体" w:cs="宋体"/>
          <w:bCs/>
          <w:kern w:val="44"/>
          <w:sz w:val="24"/>
          <w:szCs w:val="24"/>
        </w:rPr>
      </w:pPr>
      <w:bookmarkStart w:id="228" w:name="_Toc4691_WPSOffice_Level2"/>
      <w:bookmarkStart w:id="229" w:name="_Toc3569"/>
      <w:bookmarkStart w:id="230" w:name="_Toc351203640"/>
      <w:r>
        <w:rPr>
          <w:rFonts w:hint="eastAsia" w:ascii="宋体" w:hAnsi="宋体" w:eastAsia="宋体" w:cs="宋体"/>
          <w:b/>
          <w:bCs w:val="0"/>
          <w:kern w:val="44"/>
          <w:sz w:val="24"/>
          <w:szCs w:val="24"/>
        </w:rPr>
        <w:t>8. 材料与设备</w:t>
      </w:r>
      <w:bookmarkEnd w:id="228"/>
      <w:bookmarkEnd w:id="229"/>
      <w:bookmarkEnd w:id="230"/>
    </w:p>
    <w:bookmarkEnd w:id="152"/>
    <w:bookmarkEnd w:id="153"/>
    <w:bookmarkEnd w:id="154"/>
    <w:bookmarkEnd w:id="155"/>
    <w:bookmarkEnd w:id="156"/>
    <w:bookmarkEnd w:id="157"/>
    <w:bookmarkEnd w:id="158"/>
    <w:bookmarkEnd w:id="159"/>
    <w:bookmarkEnd w:id="160"/>
    <w:bookmarkEnd w:id="161"/>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8</w:t>
      </w:r>
      <w:bookmarkStart w:id="231" w:name="_Toc297216186"/>
      <w:bookmarkStart w:id="232" w:name="_Toc292559372"/>
      <w:bookmarkStart w:id="233" w:name="_Toc304295556"/>
      <w:bookmarkStart w:id="234" w:name="_Toc296346668"/>
      <w:bookmarkStart w:id="235" w:name="_Toc292559877"/>
      <w:bookmarkStart w:id="236" w:name="_Toc296891207"/>
      <w:bookmarkStart w:id="237" w:name="_Toc303539136"/>
      <w:bookmarkStart w:id="238" w:name="_Toc297048353"/>
      <w:bookmarkStart w:id="239" w:name="_Toc297123527"/>
      <w:bookmarkStart w:id="240" w:name="_Toc296890995"/>
      <w:bookmarkStart w:id="241" w:name="_Toc312678019"/>
      <w:bookmarkStart w:id="242" w:name="_Toc312677493"/>
      <w:bookmarkStart w:id="243" w:name="_Toc296944506"/>
      <w:bookmarkStart w:id="244" w:name="_Toc280868654"/>
      <w:bookmarkStart w:id="245" w:name="_Toc297120467"/>
      <w:bookmarkStart w:id="246" w:name="_Toc300934979"/>
      <w:bookmarkStart w:id="247" w:name="_Toc296347166"/>
      <w:bookmarkStart w:id="248" w:name="_Toc296503167"/>
      <w:bookmarkStart w:id="249" w:name="_Toc267251424"/>
      <w:bookmarkStart w:id="250" w:name="_Toc280868656"/>
      <w:bookmarkStart w:id="251" w:name="_Toc280868655"/>
      <w:r>
        <w:rPr>
          <w:rFonts w:hint="eastAsia" w:ascii="宋体" w:hAnsi="宋体" w:eastAsia="宋体" w:cs="宋体"/>
          <w:bCs/>
          <w:kern w:val="44"/>
          <w:sz w:val="24"/>
          <w:szCs w:val="24"/>
        </w:rPr>
        <w:t>.4材料与工程设备的保管与使用</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8</w:t>
      </w:r>
      <w:bookmarkStart w:id="252" w:name="_Toc292559373"/>
      <w:bookmarkStart w:id="253" w:name="_Toc292559878"/>
      <w:bookmarkStart w:id="254" w:name="_Toc297120468"/>
      <w:bookmarkStart w:id="255" w:name="_Toc312678020"/>
      <w:bookmarkStart w:id="256" w:name="_Toc296944507"/>
      <w:bookmarkStart w:id="257" w:name="_Toc296347167"/>
      <w:bookmarkStart w:id="258" w:name="_Toc318581173"/>
      <w:bookmarkStart w:id="259" w:name="_Toc303539137"/>
      <w:bookmarkStart w:id="260" w:name="_Toc312677494"/>
      <w:bookmarkStart w:id="261" w:name="_Toc296346669"/>
      <w:bookmarkStart w:id="262" w:name="_Toc296503168"/>
      <w:bookmarkStart w:id="263" w:name="_Toc297048354"/>
      <w:bookmarkStart w:id="264" w:name="_Toc297123528"/>
      <w:bookmarkStart w:id="265" w:name="_Toc296891208"/>
      <w:bookmarkStart w:id="266" w:name="_Toc296890996"/>
      <w:bookmarkStart w:id="267" w:name="_Toc304295557"/>
      <w:bookmarkStart w:id="268" w:name="_Toc297216187"/>
      <w:bookmarkStart w:id="269" w:name="_Toc300934980"/>
      <w:r>
        <w:rPr>
          <w:rFonts w:hint="eastAsia" w:ascii="宋体" w:hAnsi="宋体" w:eastAsia="宋体" w:cs="宋体"/>
          <w:bCs/>
          <w:kern w:val="44"/>
          <w:sz w:val="24"/>
          <w:szCs w:val="24"/>
        </w:rPr>
        <w:t>.4.1发包人供应的材料设备的保管费用的承担：</w:t>
      </w:r>
      <w:r>
        <w:rPr>
          <w:rFonts w:hint="eastAsia" w:ascii="宋体" w:hAnsi="宋体" w:eastAsia="宋体" w:cs="宋体"/>
          <w:bCs/>
          <w:kern w:val="44"/>
          <w:sz w:val="24"/>
          <w:szCs w:val="24"/>
          <w:u w:val="single"/>
        </w:rPr>
        <w:t xml:space="preserve">  由承包人承担  </w:t>
      </w:r>
      <w:r>
        <w:rPr>
          <w:rFonts w:hint="eastAsia" w:ascii="宋体" w:hAnsi="宋体" w:eastAsia="宋体" w:cs="宋体"/>
          <w:bCs/>
          <w:kern w:val="44"/>
          <w:sz w:val="24"/>
          <w:szCs w:val="24"/>
        </w:rPr>
        <w:t>。</w:t>
      </w:r>
      <w:bookmarkEnd w:id="252"/>
      <w:bookmarkEnd w:id="253"/>
    </w:p>
    <w:p>
      <w:pPr>
        <w:spacing w:line="360" w:lineRule="auto"/>
        <w:jc w:val="left"/>
        <w:rPr>
          <w:rFonts w:hint="eastAsia" w:ascii="宋体" w:hAnsi="宋体" w:eastAsia="宋体" w:cs="宋体"/>
          <w:bCs/>
          <w:kern w:val="44"/>
          <w:sz w:val="24"/>
          <w:szCs w:val="24"/>
        </w:rPr>
      </w:pPr>
      <w:bookmarkStart w:id="270" w:name="_Toc30302"/>
      <w:bookmarkStart w:id="271" w:name="_Toc11449"/>
      <w:bookmarkStart w:id="272" w:name="_Toc30798"/>
      <w:r>
        <w:rPr>
          <w:rFonts w:hint="eastAsia" w:ascii="宋体" w:hAnsi="宋体" w:eastAsia="宋体" w:cs="宋体"/>
          <w:bCs/>
          <w:kern w:val="44"/>
          <w:sz w:val="24"/>
          <w:szCs w:val="24"/>
        </w:rPr>
        <w:t>8.6 样品</w:t>
      </w:r>
      <w:bookmarkEnd w:id="270"/>
      <w:bookmarkEnd w:id="271"/>
      <w:bookmarkEnd w:id="272"/>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8.6.1</w:t>
      </w:r>
      <w:r>
        <w:rPr>
          <w:rFonts w:hint="eastAsia" w:ascii="宋体" w:hAnsi="宋体" w:eastAsia="宋体" w:cs="宋体"/>
          <w:bCs/>
          <w:kern w:val="44"/>
          <w:sz w:val="24"/>
          <w:szCs w:val="24"/>
        </w:rPr>
        <w:tab/>
      </w:r>
      <w:r>
        <w:rPr>
          <w:rFonts w:hint="eastAsia" w:ascii="宋体" w:hAnsi="宋体" w:eastAsia="宋体" w:cs="宋体"/>
          <w:bCs/>
          <w:kern w:val="44"/>
          <w:sz w:val="24"/>
          <w:szCs w:val="24"/>
        </w:rPr>
        <w:t>样品的报送与封存</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需要承包人报送样品的材料或工程设备，样品的种类、名称、规格、数量要求：</w:t>
      </w:r>
      <w:r>
        <w:rPr>
          <w:rFonts w:hint="eastAsia" w:ascii="宋体" w:hAnsi="宋体" w:eastAsia="宋体" w:cs="宋体"/>
          <w:bCs/>
          <w:kern w:val="44"/>
          <w:sz w:val="24"/>
          <w:szCs w:val="24"/>
          <w:u w:val="single"/>
        </w:rPr>
        <w:t xml:space="preserve">  按发包人书面通知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273" w:name="_Toc7587"/>
      <w:bookmarkStart w:id="274" w:name="_Toc18552"/>
      <w:bookmarkStart w:id="275" w:name="_Toc17519"/>
      <w:r>
        <w:rPr>
          <w:rFonts w:hint="eastAsia" w:ascii="宋体" w:hAnsi="宋体" w:eastAsia="宋体" w:cs="宋体"/>
          <w:bCs/>
          <w:kern w:val="44"/>
          <w:sz w:val="24"/>
          <w:szCs w:val="24"/>
        </w:rPr>
        <w:t>8.8 施工设备和临时设施</w:t>
      </w:r>
      <w:bookmarkEnd w:id="273"/>
      <w:bookmarkEnd w:id="274"/>
      <w:bookmarkEnd w:id="275"/>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8.8.1 承包人提供的施工设备和临时设施</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关于修建临时设施费用承担的约定：</w:t>
      </w:r>
      <w:r>
        <w:rPr>
          <w:rFonts w:hint="eastAsia" w:ascii="宋体" w:hAnsi="宋体" w:eastAsia="宋体" w:cs="宋体"/>
          <w:bCs/>
          <w:kern w:val="44"/>
          <w:sz w:val="24"/>
          <w:szCs w:val="24"/>
          <w:u w:val="single"/>
        </w:rPr>
        <w:t xml:space="preserve"> 由承包人承担 </w:t>
      </w:r>
      <w:r>
        <w:rPr>
          <w:rFonts w:hint="eastAsia" w:ascii="宋体" w:hAnsi="宋体" w:eastAsia="宋体" w:cs="宋体"/>
          <w:bCs/>
          <w:kern w:val="44"/>
          <w:sz w:val="24"/>
          <w:szCs w:val="24"/>
        </w:rPr>
        <w:t>。</w:t>
      </w:r>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Pr>
        <w:spacing w:line="360" w:lineRule="auto"/>
        <w:jc w:val="left"/>
        <w:outlineLvl w:val="1"/>
        <w:rPr>
          <w:rFonts w:hint="eastAsia" w:ascii="宋体" w:hAnsi="宋体" w:eastAsia="宋体" w:cs="宋体"/>
          <w:b/>
          <w:bCs w:val="0"/>
          <w:kern w:val="44"/>
          <w:sz w:val="24"/>
          <w:szCs w:val="24"/>
        </w:rPr>
      </w:pPr>
      <w:bookmarkStart w:id="276" w:name="_Toc32679_WPSOffice_Level2"/>
      <w:bookmarkStart w:id="277" w:name="_Toc29750"/>
      <w:bookmarkStart w:id="278" w:name="_Toc351203641"/>
      <w:r>
        <w:rPr>
          <w:rFonts w:hint="eastAsia" w:ascii="宋体" w:hAnsi="宋体" w:eastAsia="宋体" w:cs="宋体"/>
          <w:b/>
          <w:bCs w:val="0"/>
          <w:kern w:val="44"/>
          <w:sz w:val="24"/>
          <w:szCs w:val="24"/>
        </w:rPr>
        <w:t>9</w:t>
      </w:r>
      <w:bookmarkEnd w:id="249"/>
      <w:bookmarkEnd w:id="250"/>
      <w:bookmarkEnd w:id="251"/>
      <w:bookmarkStart w:id="279" w:name="_Toc312677495"/>
      <w:bookmarkStart w:id="280" w:name="_Toc312678021"/>
      <w:bookmarkStart w:id="281" w:name="_Toc297216192"/>
      <w:bookmarkStart w:id="282" w:name="_Toc303539139"/>
      <w:bookmarkStart w:id="283" w:name="_Toc300934982"/>
      <w:bookmarkStart w:id="284" w:name="_Toc297123533"/>
      <w:bookmarkStart w:id="285" w:name="_Toc304295559"/>
      <w:bookmarkStart w:id="286" w:name="_Toc297048359"/>
      <w:bookmarkStart w:id="287" w:name="_Toc296891213"/>
      <w:bookmarkStart w:id="288" w:name="_Toc296346674"/>
      <w:bookmarkStart w:id="289" w:name="_Toc296891001"/>
      <w:bookmarkStart w:id="290" w:name="_Toc296503173"/>
      <w:bookmarkStart w:id="291" w:name="_Toc267251428"/>
      <w:bookmarkStart w:id="292" w:name="_Toc292559378"/>
      <w:bookmarkStart w:id="293" w:name="_Toc297120473"/>
      <w:bookmarkStart w:id="294" w:name="_Toc267251427"/>
      <w:bookmarkStart w:id="295" w:name="_Toc296944512"/>
      <w:bookmarkStart w:id="296" w:name="_Toc296347172"/>
      <w:bookmarkStart w:id="297" w:name="_Toc292559883"/>
      <w:r>
        <w:rPr>
          <w:rFonts w:hint="eastAsia" w:ascii="宋体" w:hAnsi="宋体" w:eastAsia="宋体" w:cs="宋体"/>
          <w:b/>
          <w:bCs w:val="0"/>
          <w:kern w:val="44"/>
          <w:sz w:val="24"/>
          <w:szCs w:val="24"/>
        </w:rPr>
        <w:t>. 试验与检验</w:t>
      </w:r>
      <w:bookmarkEnd w:id="276"/>
      <w:bookmarkEnd w:id="277"/>
      <w:bookmarkEnd w:id="278"/>
    </w:p>
    <w:bookmarkEnd w:id="279"/>
    <w:bookmarkEnd w:id="280"/>
    <w:bookmarkEnd w:id="281"/>
    <w:bookmarkEnd w:id="282"/>
    <w:bookmarkEnd w:id="283"/>
    <w:bookmarkEnd w:id="284"/>
    <w:bookmarkEnd w:id="285"/>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9</w:t>
      </w:r>
      <w:bookmarkStart w:id="298" w:name="_Toc297216193"/>
      <w:bookmarkStart w:id="299" w:name="_Toc312678022"/>
      <w:bookmarkStart w:id="300" w:name="_Toc303539140"/>
      <w:bookmarkStart w:id="301" w:name="_Toc312677496"/>
      <w:bookmarkStart w:id="302" w:name="_Toc300934983"/>
      <w:bookmarkStart w:id="303" w:name="_Toc297123534"/>
      <w:bookmarkStart w:id="304" w:name="_Toc304295560"/>
      <w:r>
        <w:rPr>
          <w:rFonts w:hint="eastAsia" w:ascii="宋体" w:hAnsi="宋体" w:eastAsia="宋体" w:cs="宋体"/>
          <w:bCs/>
          <w:kern w:val="44"/>
          <w:sz w:val="24"/>
          <w:szCs w:val="24"/>
        </w:rPr>
        <w:t>.1试验设备与试验人员</w:t>
      </w:r>
    </w:p>
    <w:bookmarkEnd w:id="298"/>
    <w:bookmarkEnd w:id="299"/>
    <w:bookmarkEnd w:id="300"/>
    <w:bookmarkEnd w:id="301"/>
    <w:bookmarkEnd w:id="302"/>
    <w:bookmarkEnd w:id="303"/>
    <w:bookmarkEnd w:id="304"/>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9</w:t>
      </w:r>
      <w:bookmarkStart w:id="305" w:name="_Toc297123535"/>
      <w:bookmarkStart w:id="306" w:name="_Toc297216194"/>
      <w:bookmarkStart w:id="307" w:name="_Toc303539141"/>
      <w:bookmarkStart w:id="308" w:name="_Toc300934984"/>
      <w:bookmarkStart w:id="309" w:name="_Toc312678023"/>
      <w:bookmarkStart w:id="310" w:name="_Toc304295561"/>
      <w:bookmarkStart w:id="311" w:name="_Toc312677497"/>
      <w:bookmarkStart w:id="312" w:name="_Toc318581174"/>
      <w:r>
        <w:rPr>
          <w:rFonts w:hint="eastAsia" w:ascii="宋体" w:hAnsi="宋体" w:eastAsia="宋体" w:cs="宋体"/>
          <w:bCs/>
          <w:kern w:val="44"/>
          <w:sz w:val="24"/>
          <w:szCs w:val="24"/>
        </w:rPr>
        <w:t>.1.2 试验设备</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施工现场需要配置的试验场所：</w:t>
      </w:r>
      <w:bookmarkEnd w:id="305"/>
      <w:bookmarkEnd w:id="306"/>
      <w:bookmarkEnd w:id="307"/>
      <w:bookmarkEnd w:id="308"/>
      <w:bookmarkEnd w:id="309"/>
      <w:bookmarkEnd w:id="310"/>
      <w:bookmarkEnd w:id="311"/>
      <w:bookmarkStart w:id="313" w:name="_Toc312678024"/>
      <w:bookmarkStart w:id="314" w:name="_Toc303539142"/>
      <w:bookmarkStart w:id="315" w:name="_Toc300934985"/>
      <w:bookmarkStart w:id="316" w:name="_Toc312677498"/>
      <w:bookmarkStart w:id="317" w:name="_Toc297216195"/>
      <w:bookmarkStart w:id="318" w:name="_Toc297123536"/>
      <w:bookmarkStart w:id="319" w:name="_Toc304295562"/>
      <w:r>
        <w:rPr>
          <w:rFonts w:hint="eastAsia" w:ascii="宋体" w:hAnsi="宋体" w:eastAsia="宋体" w:cs="宋体"/>
          <w:bCs/>
          <w:kern w:val="44"/>
          <w:sz w:val="24"/>
          <w:szCs w:val="24"/>
          <w:u w:val="single"/>
        </w:rPr>
        <w:t xml:space="preserve">根据国家、省、市相关规定 </w:t>
      </w:r>
      <w:r>
        <w:rPr>
          <w:rFonts w:hint="eastAsia" w:ascii="宋体" w:hAnsi="宋体" w:eastAsia="宋体" w:cs="宋体"/>
          <w:bCs/>
          <w:kern w:val="44"/>
          <w:sz w:val="24"/>
          <w:szCs w:val="24"/>
        </w:rPr>
        <w:t xml:space="preserve">。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施工现场需要配备的试验设备：</w:t>
      </w:r>
      <w:r>
        <w:rPr>
          <w:rFonts w:hint="eastAsia" w:ascii="宋体" w:hAnsi="宋体" w:eastAsia="宋体" w:cs="宋体"/>
          <w:bCs/>
          <w:kern w:val="44"/>
          <w:sz w:val="24"/>
          <w:szCs w:val="24"/>
          <w:u w:val="single"/>
        </w:rPr>
        <w:t xml:space="preserve"> 根据国家、省、市相关规定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施工现场需要具备的其他试验条件：</w:t>
      </w:r>
      <w:r>
        <w:rPr>
          <w:rFonts w:hint="eastAsia" w:ascii="宋体" w:hAnsi="宋体" w:eastAsia="宋体" w:cs="宋体"/>
          <w:bCs/>
          <w:kern w:val="44"/>
          <w:sz w:val="24"/>
          <w:szCs w:val="24"/>
          <w:u w:val="single"/>
        </w:rPr>
        <w:t xml:space="preserve">  根据国家、省、市相关规定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320" w:name="_Toc42"/>
      <w:bookmarkStart w:id="321" w:name="_Toc32487"/>
      <w:bookmarkStart w:id="322" w:name="_Toc18259"/>
      <w:r>
        <w:rPr>
          <w:rFonts w:hint="eastAsia" w:ascii="宋体" w:hAnsi="宋体" w:eastAsia="宋体" w:cs="宋体"/>
          <w:bCs/>
          <w:kern w:val="44"/>
          <w:sz w:val="24"/>
          <w:szCs w:val="24"/>
        </w:rPr>
        <w:t>9.4 现场工艺试验</w:t>
      </w:r>
      <w:bookmarkEnd w:id="320"/>
      <w:bookmarkEnd w:id="321"/>
      <w:bookmarkEnd w:id="322"/>
      <w:r>
        <w:rPr>
          <w:rFonts w:hint="eastAsia" w:ascii="宋体" w:hAnsi="宋体" w:eastAsia="宋体" w:cs="宋体"/>
          <w:bCs/>
          <w:kern w:val="44"/>
          <w:sz w:val="24"/>
          <w:szCs w:val="24"/>
        </w:rPr>
        <w:t xml:space="preserve">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现场工艺试验的有关约定根据国家、省、市相关规定。</w:t>
      </w:r>
    </w:p>
    <w:bookmarkEnd w:id="312"/>
    <w:bookmarkEnd w:id="313"/>
    <w:bookmarkEnd w:id="314"/>
    <w:bookmarkEnd w:id="315"/>
    <w:bookmarkEnd w:id="316"/>
    <w:bookmarkEnd w:id="317"/>
    <w:bookmarkEnd w:id="318"/>
    <w:bookmarkEnd w:id="319"/>
    <w:p>
      <w:pPr>
        <w:spacing w:line="360" w:lineRule="auto"/>
        <w:jc w:val="left"/>
        <w:outlineLvl w:val="1"/>
        <w:rPr>
          <w:rFonts w:hint="eastAsia" w:ascii="宋体" w:hAnsi="宋体" w:eastAsia="宋体" w:cs="宋体"/>
          <w:b/>
          <w:bCs w:val="0"/>
          <w:kern w:val="44"/>
          <w:sz w:val="24"/>
          <w:szCs w:val="24"/>
        </w:rPr>
      </w:pPr>
      <w:bookmarkStart w:id="323" w:name="_Toc16748"/>
      <w:bookmarkStart w:id="324" w:name="_Toc24366_WPSOffice_Level2"/>
      <w:bookmarkStart w:id="325" w:name="_Toc351203642"/>
      <w:r>
        <w:rPr>
          <w:rFonts w:hint="eastAsia" w:ascii="宋体" w:hAnsi="宋体" w:eastAsia="宋体" w:cs="宋体"/>
          <w:b/>
          <w:bCs w:val="0"/>
          <w:kern w:val="44"/>
          <w:sz w:val="24"/>
          <w:szCs w:val="24"/>
        </w:rPr>
        <w:t>1</w:t>
      </w:r>
      <w:bookmarkEnd w:id="286"/>
      <w:bookmarkEnd w:id="287"/>
      <w:bookmarkEnd w:id="288"/>
      <w:bookmarkEnd w:id="289"/>
      <w:bookmarkEnd w:id="290"/>
      <w:bookmarkEnd w:id="291"/>
      <w:bookmarkEnd w:id="292"/>
      <w:bookmarkEnd w:id="293"/>
      <w:bookmarkEnd w:id="294"/>
      <w:bookmarkEnd w:id="295"/>
      <w:bookmarkEnd w:id="296"/>
      <w:bookmarkEnd w:id="297"/>
      <w:bookmarkStart w:id="326" w:name="_Toc292559903"/>
      <w:bookmarkStart w:id="327" w:name="_Toc297216199"/>
      <w:bookmarkStart w:id="328" w:name="_Toc297048379"/>
      <w:bookmarkStart w:id="329" w:name="_Toc300934989"/>
      <w:bookmarkStart w:id="330" w:name="_Toc292559398"/>
      <w:bookmarkStart w:id="331" w:name="_Toc297123540"/>
      <w:bookmarkStart w:id="332" w:name="_Toc304295566"/>
      <w:bookmarkStart w:id="333" w:name="_Toc296503193"/>
      <w:bookmarkStart w:id="334" w:name="_Toc296944532"/>
      <w:bookmarkStart w:id="335" w:name="_Toc296891021"/>
      <w:bookmarkStart w:id="336" w:name="_Toc296347192"/>
      <w:bookmarkStart w:id="337" w:name="_Toc297120493"/>
      <w:bookmarkStart w:id="338" w:name="_Toc303539146"/>
      <w:bookmarkStart w:id="339" w:name="_Toc296346694"/>
      <w:bookmarkStart w:id="340" w:name="_Toc296891233"/>
      <w:bookmarkStart w:id="341" w:name="_Toc312678025"/>
      <w:bookmarkStart w:id="342" w:name="_Toc312677499"/>
      <w:bookmarkStart w:id="343" w:name="_Toc267251433"/>
      <w:bookmarkStart w:id="344" w:name="_Toc267251441"/>
      <w:bookmarkStart w:id="345" w:name="_Toc267251437"/>
      <w:bookmarkStart w:id="346" w:name="_Toc267251439"/>
      <w:bookmarkStart w:id="347" w:name="_Toc267251435"/>
      <w:bookmarkStart w:id="348" w:name="_Toc267251440"/>
      <w:bookmarkStart w:id="349" w:name="_Toc267251442"/>
      <w:r>
        <w:rPr>
          <w:rFonts w:hint="eastAsia" w:ascii="宋体" w:hAnsi="宋体" w:eastAsia="宋体" w:cs="宋体"/>
          <w:b/>
          <w:bCs w:val="0"/>
          <w:kern w:val="44"/>
          <w:sz w:val="24"/>
          <w:szCs w:val="24"/>
        </w:rPr>
        <w:t>0. 变更</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bookmarkEnd w:id="341"/>
    <w:bookmarkEnd w:id="342"/>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w:t>
      </w:r>
      <w:bookmarkStart w:id="350" w:name="_Toc297120494"/>
      <w:bookmarkStart w:id="351" w:name="_Toc297216200"/>
      <w:bookmarkStart w:id="352" w:name="_Toc303539147"/>
      <w:bookmarkStart w:id="353" w:name="_Toc300934990"/>
      <w:bookmarkStart w:id="354" w:name="_Toc312678026"/>
      <w:bookmarkStart w:id="355" w:name="_Toc297123541"/>
      <w:bookmarkStart w:id="356" w:name="_Toc296346695"/>
      <w:bookmarkStart w:id="357" w:name="_Toc312677500"/>
      <w:bookmarkStart w:id="358" w:name="_Toc296503194"/>
      <w:bookmarkStart w:id="359" w:name="_Toc292559399"/>
      <w:bookmarkStart w:id="360" w:name="_Toc296347193"/>
      <w:bookmarkStart w:id="361" w:name="_Toc304295567"/>
      <w:bookmarkStart w:id="362" w:name="_Toc292559904"/>
      <w:bookmarkStart w:id="363" w:name="_Toc296891022"/>
      <w:bookmarkStart w:id="364" w:name="_Toc297048380"/>
      <w:bookmarkStart w:id="365" w:name="_Toc296944533"/>
      <w:bookmarkStart w:id="366" w:name="_Toc296891234"/>
      <w:r>
        <w:rPr>
          <w:rFonts w:hint="eastAsia" w:ascii="宋体" w:hAnsi="宋体" w:eastAsia="宋体" w:cs="宋体"/>
          <w:bCs/>
          <w:kern w:val="44"/>
          <w:sz w:val="24"/>
          <w:szCs w:val="24"/>
        </w:rPr>
        <w:t>0.1变更的范围</w:t>
      </w:r>
    </w:p>
    <w:p>
      <w:pPr>
        <w:spacing w:line="360" w:lineRule="auto"/>
        <w:ind w:firstLine="480" w:firstLineChars="200"/>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rPr>
        <w:t>关于变更的范围的约定：</w:t>
      </w:r>
      <w:r>
        <w:rPr>
          <w:rFonts w:hint="eastAsia" w:ascii="宋体" w:hAnsi="宋体" w:eastAsia="宋体" w:cs="宋体"/>
          <w:bCs/>
          <w:kern w:val="44"/>
          <w:sz w:val="24"/>
          <w:szCs w:val="24"/>
          <w:u w:val="single"/>
        </w:rPr>
        <w:t xml:space="preserve"> 1、施工中发包人需对原工程设计变更，应提前7天以书面形式向承包人发出变更通知。变更超过原设计标准或批准的建设规模时，发包人应报有关部门重新审查批准，并由原设计单位提供变更的相应图纸和说明，承包人配合。承包人按照发包人发出的变更通知及有关要求，进行下列需要的变更：</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（1）更改工程有关部分的标高、基线、位置和尺寸；</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（2）增减合同中约定的工程量；</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（3）改变有关工程的施工时间和顺序；</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（4）其他有关工程变更需要的附加工作。</w:t>
      </w:r>
    </w:p>
    <w:p>
      <w:pPr>
        <w:spacing w:line="360" w:lineRule="auto"/>
        <w:ind w:firstLine="480" w:firstLineChars="200"/>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因变更导致延误工期的，经发包人与监理确认后工期相应顺延。变更通知必须由发包人代表签字确认并加盖发包人印章后方为有效，否则，不具有法律效力，结算时不予认可</w:t>
      </w:r>
      <w:r>
        <w:rPr>
          <w:rFonts w:hint="eastAsia" w:ascii="宋体" w:hAnsi="宋体" w:eastAsia="宋体" w:cs="宋体"/>
          <w:bCs/>
          <w:kern w:val="44"/>
          <w:sz w:val="24"/>
          <w:szCs w:val="24"/>
          <w:u w:val="none"/>
        </w:rPr>
        <w:t xml:space="preserve">。 </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2、施工中承包人不得对原工程设计进行变更。因承包人擅自变更设计发生的费用和由此导致发包人的损失，由承包人承担，延误的工期不予顺延。</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3、承包人在施工中提出的合理化建议涉及到对设计图纸或施工组织设计的更改及对材料、设备的换用，须经监理人、发包人同意。未经同意擅自更改或换用时，承包人承担由此发生的费用，并赔偿发包人的有关损失，延误的工期不予顺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u w:val="single"/>
        </w:rPr>
        <w:t>4、合同履行中发包人要求变更工程质量标准及发生其他实质性变更，由双方协商解决</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367" w:name="_Toc28964"/>
      <w:bookmarkStart w:id="368" w:name="_Toc2088"/>
      <w:bookmarkStart w:id="369" w:name="_Toc24515"/>
      <w:r>
        <w:rPr>
          <w:rFonts w:hint="eastAsia" w:ascii="宋体" w:hAnsi="宋体" w:eastAsia="宋体" w:cs="宋体"/>
          <w:bCs/>
          <w:kern w:val="44"/>
          <w:sz w:val="24"/>
          <w:szCs w:val="24"/>
        </w:rPr>
        <w:t>10.4 变更估价</w:t>
      </w:r>
      <w:bookmarkEnd w:id="367"/>
      <w:bookmarkEnd w:id="368"/>
      <w:bookmarkEnd w:id="369"/>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10.4.1 变更估价原则</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 xml:space="preserve">关于变更估价的约定: </w:t>
      </w:r>
      <w:r>
        <w:rPr>
          <w:rFonts w:hint="eastAsia" w:ascii="宋体" w:hAnsi="宋体" w:eastAsia="宋体" w:cs="宋体"/>
          <w:bCs/>
          <w:kern w:val="44"/>
          <w:sz w:val="24"/>
          <w:szCs w:val="24"/>
          <w:u w:val="single"/>
        </w:rPr>
        <w:t>（1）已标价工程量清单中有适用于变更工程项目的，应采用该项目的单价；但当工程变更导致该清单项目的工程数量发生变化，分部分项工程清单工程量增加或减少幅度在15%（含15%）以内，单价不予调整；减少幅度超出15%的，按投标人清单报价中的综合单价的103%计算调整；增加幅度超出15%，结算时，超出15%的部分单价，按投标人清单报价中的综合单价的97%计算</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（2）已标价工程量清单中没有适用但有类似于变更项目的，按照承包人报价浮动率提出变更工程项目的单价；其中承包人报价浮动率=（1-中标价/招标控制价）*100% （签订施工合同时明确）。</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u w:val="single"/>
        </w:rPr>
        <w:t>（3）已标价工程量清单中没有适用也没有类似于变更项目的，由承包人根据变更工程资料、计量规则和计价办法、施工当期郑州市工程造价管理机构发布的建设工程材料基准价格信息和承包人报价浮动率提出变更工程项目的单价，并报发包人和造价咨询人共同审核确认后进行调整；其中承包人报价浮动率=（1-中标价/招标控制价）*100%</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Start w:id="370" w:name="_Toc296346698"/>
      <w:bookmarkStart w:id="371" w:name="_Toc297120497"/>
      <w:bookmarkStart w:id="372" w:name="_Toc297048383"/>
      <w:bookmarkStart w:id="373" w:name="_Toc296891237"/>
      <w:bookmarkStart w:id="374" w:name="_Toc297216203"/>
      <w:bookmarkStart w:id="375" w:name="_Toc292559402"/>
      <w:bookmarkStart w:id="376" w:name="_Toc292559907"/>
      <w:bookmarkStart w:id="377" w:name="_Toc296944536"/>
      <w:bookmarkStart w:id="378" w:name="_Toc297123544"/>
      <w:bookmarkStart w:id="379" w:name="_Toc303539150"/>
      <w:bookmarkStart w:id="380" w:name="_Toc296891025"/>
      <w:bookmarkStart w:id="381" w:name="_Toc296347196"/>
      <w:bookmarkStart w:id="382" w:name="_Toc300934993"/>
      <w:bookmarkStart w:id="383" w:name="_Toc296503197"/>
      <w:bookmarkStart w:id="384" w:name="_Toc304295570"/>
      <w:bookmarkStart w:id="385" w:name="_Toc312677503"/>
      <w:bookmarkStart w:id="386" w:name="_Toc312678029"/>
      <w:r>
        <w:rPr>
          <w:rFonts w:hint="eastAsia" w:ascii="宋体" w:hAnsi="宋体" w:eastAsia="宋体" w:cs="宋体"/>
          <w:bCs/>
          <w:kern w:val="44"/>
          <w:sz w:val="24"/>
          <w:szCs w:val="24"/>
        </w:rPr>
        <w:t>0.5承</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Start w:id="387" w:name="_Toc292559913"/>
      <w:bookmarkStart w:id="388" w:name="_Toc296891031"/>
      <w:bookmarkStart w:id="389" w:name="_Toc303539151"/>
      <w:bookmarkStart w:id="390" w:name="_Toc296347202"/>
      <w:bookmarkStart w:id="391" w:name="_Toc297216204"/>
      <w:bookmarkStart w:id="392" w:name="_Toc300934994"/>
      <w:bookmarkStart w:id="393" w:name="_Toc296944542"/>
      <w:bookmarkStart w:id="394" w:name="_Toc297048389"/>
      <w:bookmarkStart w:id="395" w:name="_Toc292559408"/>
      <w:bookmarkStart w:id="396" w:name="_Toc296346704"/>
      <w:bookmarkStart w:id="397" w:name="_Toc296891243"/>
      <w:bookmarkStart w:id="398" w:name="_Toc297123545"/>
      <w:bookmarkStart w:id="399" w:name="_Toc297120503"/>
      <w:bookmarkStart w:id="400" w:name="_Toc296503203"/>
      <w:r>
        <w:rPr>
          <w:rFonts w:hint="eastAsia" w:ascii="宋体" w:hAnsi="宋体" w:eastAsia="宋体" w:cs="宋体"/>
          <w:bCs/>
          <w:kern w:val="44"/>
          <w:sz w:val="24"/>
          <w:szCs w:val="24"/>
        </w:rPr>
        <w:t>包人的合理化建议</w:t>
      </w: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监理人审查承包人合理化建议的期限：</w:t>
      </w:r>
      <w:r>
        <w:rPr>
          <w:rFonts w:hint="eastAsia" w:ascii="宋体" w:hAnsi="宋体" w:eastAsia="宋体" w:cs="宋体"/>
          <w:bCs/>
          <w:kern w:val="44"/>
          <w:sz w:val="24"/>
          <w:szCs w:val="24"/>
          <w:u w:val="single"/>
        </w:rPr>
        <w:t xml:space="preserve">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发包人审批承包人合理化建议的期限：</w:t>
      </w:r>
      <w:r>
        <w:rPr>
          <w:rFonts w:hint="eastAsia" w:ascii="宋体" w:hAnsi="宋体" w:eastAsia="宋体" w:cs="宋体"/>
          <w:bCs/>
          <w:kern w:val="44"/>
          <w:sz w:val="24"/>
          <w:szCs w:val="24"/>
          <w:u w:val="single"/>
        </w:rPr>
        <w:t xml:space="preserve">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w:t>
      </w:r>
      <w:bookmarkStart w:id="401" w:name="_Toc296891244"/>
      <w:bookmarkStart w:id="402" w:name="_Toc292559914"/>
      <w:bookmarkStart w:id="403" w:name="_Toc318581175"/>
      <w:bookmarkStart w:id="404" w:name="_Toc296944543"/>
      <w:bookmarkStart w:id="405" w:name="_Toc297216205"/>
      <w:bookmarkStart w:id="406" w:name="_Toc303539152"/>
      <w:bookmarkStart w:id="407" w:name="_Toc296346705"/>
      <w:bookmarkStart w:id="408" w:name="_Toc297120504"/>
      <w:bookmarkStart w:id="409" w:name="_Toc292559409"/>
      <w:bookmarkStart w:id="410" w:name="_Toc312678030"/>
      <w:bookmarkStart w:id="411" w:name="_Toc312677504"/>
      <w:bookmarkStart w:id="412" w:name="_Toc300934995"/>
      <w:bookmarkStart w:id="413" w:name="_Toc297048390"/>
      <w:bookmarkStart w:id="414" w:name="_Toc297123546"/>
      <w:bookmarkStart w:id="415" w:name="_Toc304295571"/>
      <w:bookmarkStart w:id="416" w:name="_Toc296347203"/>
      <w:bookmarkStart w:id="417" w:name="_Toc296503204"/>
      <w:bookmarkStart w:id="418" w:name="_Toc296891032"/>
      <w:r>
        <w:rPr>
          <w:rFonts w:hint="eastAsia" w:ascii="宋体" w:hAnsi="宋体" w:eastAsia="宋体" w:cs="宋体"/>
          <w:bCs/>
          <w:kern w:val="44"/>
          <w:sz w:val="24"/>
          <w:szCs w:val="24"/>
        </w:rPr>
        <w:t>包人提出的合理化建议降低了合同价格或者提高了工程经济效益的奖励的方法和金额为：</w:t>
      </w:r>
      <w:r>
        <w:rPr>
          <w:rFonts w:hint="eastAsia" w:ascii="宋体" w:hAnsi="宋体" w:eastAsia="宋体" w:cs="宋体"/>
          <w:bCs/>
          <w:kern w:val="44"/>
          <w:sz w:val="24"/>
          <w:szCs w:val="24"/>
          <w:u w:val="single"/>
        </w:rPr>
        <w:t xml:space="preserve">  </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Start w:id="419" w:name="_Toc12264"/>
      <w:bookmarkStart w:id="420" w:name="_Toc1516"/>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w:t>
      </w:r>
      <w:bookmarkStart w:id="421" w:name="_Toc297048385"/>
      <w:bookmarkStart w:id="422" w:name="_Toc297120499"/>
      <w:bookmarkStart w:id="423" w:name="_Toc304295574"/>
      <w:bookmarkStart w:id="424" w:name="_Toc296944538"/>
      <w:bookmarkStart w:id="425" w:name="_Toc300934997"/>
      <w:bookmarkStart w:id="426" w:name="_Toc296347198"/>
      <w:bookmarkStart w:id="427" w:name="_Toc296346700"/>
      <w:bookmarkStart w:id="428" w:name="_Toc296503199"/>
      <w:bookmarkStart w:id="429" w:name="_Toc297123548"/>
      <w:bookmarkStart w:id="430" w:name="_Toc296891027"/>
      <w:bookmarkStart w:id="431" w:name="_Toc292559404"/>
      <w:bookmarkStart w:id="432" w:name="_Toc312677507"/>
      <w:bookmarkStart w:id="433" w:name="_Toc303539154"/>
      <w:bookmarkStart w:id="434" w:name="_Toc312678033"/>
      <w:bookmarkStart w:id="435" w:name="_Toc297216207"/>
      <w:bookmarkStart w:id="436" w:name="_Toc292559909"/>
      <w:bookmarkStart w:id="437" w:name="_Toc296891239"/>
      <w:r>
        <w:rPr>
          <w:rFonts w:hint="eastAsia" w:ascii="宋体" w:hAnsi="宋体" w:eastAsia="宋体" w:cs="宋体"/>
          <w:bCs/>
          <w:kern w:val="44"/>
          <w:sz w:val="24"/>
          <w:szCs w:val="24"/>
        </w:rPr>
        <w:t>0.6 暂估价</w:t>
      </w:r>
      <w:bookmarkEnd w:id="419"/>
      <w:bookmarkEnd w:id="420"/>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暂</w:t>
      </w:r>
      <w:bookmarkStart w:id="438" w:name="_Toc312678034"/>
      <w:bookmarkStart w:id="439" w:name="_Toc312677508"/>
      <w:bookmarkStart w:id="440" w:name="_Toc318581176"/>
      <w:r>
        <w:rPr>
          <w:rFonts w:hint="eastAsia" w:ascii="宋体" w:hAnsi="宋体" w:eastAsia="宋体" w:cs="宋体"/>
          <w:bCs/>
          <w:kern w:val="44"/>
          <w:sz w:val="24"/>
          <w:szCs w:val="24"/>
        </w:rPr>
        <w:t>估价材料和工程设备的明细详见附件11：《暂估价一览表》，</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10.7暂估价材料设备、分项工程施工与计价</w:t>
      </w:r>
    </w:p>
    <w:bookmarkEnd w:id="438"/>
    <w:bookmarkEnd w:id="439"/>
    <w:bookmarkEnd w:id="440"/>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w:t>
      </w:r>
      <w:bookmarkStart w:id="441" w:name="_Toc312678035"/>
      <w:bookmarkStart w:id="442" w:name="_Toc318581177"/>
      <w:bookmarkStart w:id="443" w:name="_Toc312677509"/>
      <w:r>
        <w:rPr>
          <w:rFonts w:hint="eastAsia" w:ascii="宋体" w:hAnsi="宋体" w:eastAsia="宋体" w:cs="宋体"/>
          <w:bCs/>
          <w:kern w:val="44"/>
          <w:sz w:val="24"/>
          <w:szCs w:val="24"/>
        </w:rPr>
        <w:t>0.7.1 依法必须进行项目招标的暂估价项目</w:t>
      </w:r>
    </w:p>
    <w:bookmarkEnd w:id="441"/>
    <w:bookmarkEnd w:id="442"/>
    <w:bookmarkEnd w:id="443"/>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对于依法必须项目招标的暂估价项目，采取以下第</w:t>
      </w:r>
      <w:r>
        <w:rPr>
          <w:rFonts w:hint="eastAsia" w:ascii="宋体" w:hAnsi="宋体" w:eastAsia="宋体" w:cs="宋体"/>
          <w:bCs/>
          <w:kern w:val="44"/>
          <w:sz w:val="24"/>
          <w:szCs w:val="24"/>
          <w:u w:val="single"/>
        </w:rPr>
        <w:t>1</w:t>
      </w:r>
      <w:r>
        <w:rPr>
          <w:rFonts w:hint="eastAsia" w:ascii="宋体" w:hAnsi="宋体" w:eastAsia="宋体" w:cs="宋体"/>
          <w:bCs/>
          <w:kern w:val="44"/>
          <w:sz w:val="24"/>
          <w:szCs w:val="24"/>
        </w:rPr>
        <w:t>种方式确定。</w:t>
      </w:r>
    </w:p>
    <w:p>
      <w:pPr>
        <w:spacing w:line="360" w:lineRule="auto"/>
        <w:ind w:firstLine="240" w:firstLineChars="100"/>
        <w:jc w:val="left"/>
        <w:rPr>
          <w:rFonts w:hint="eastAsia" w:ascii="宋体" w:hAnsi="宋体" w:eastAsia="宋体" w:cs="宋体"/>
          <w:bCs/>
          <w:kern w:val="44"/>
          <w:sz w:val="24"/>
          <w:szCs w:val="24"/>
        </w:rPr>
      </w:pPr>
      <w:r>
        <w:rPr>
          <w:rFonts w:hint="eastAsia" w:ascii="宋体" w:hAnsi="宋体" w:eastAsia="宋体" w:cs="宋体"/>
          <w:bCs/>
          <w:kern w:val="44"/>
          <w:sz w:val="24"/>
          <w:szCs w:val="24"/>
        </w:rPr>
        <w:t>第1种方式：对于依法必须招标的暂估价工程、服务、材料和设备，对该暂估价项目的厂家、品牌、价格、服务进行确认和批准的按照以流程下约定执行：</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承包人应当根据施工进度计划，提前28天上报需求计划，发包人应当在收到计划后14</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组织建设、监理及施工单位共同进行暂估价项目的项目考察、评比、确认工作。</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 xml:space="preserve">（2）发包人有权确定暂估价项目的招标控制价并按照法律规定参加评标（评比）。暂估价项目的价格、品牌、服务等经项目招标均确认后，由监理人进行汇总并经建设单位、监理单位、承包人相关负责人确认后存档、备案；经确认的暂估价材料直接计入本工程结算造价。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 xml:space="preserve">  （3）承包人与供应商、分包人在签订暂估价合同前，应当提前7天将确定的中标候选供应商或中标候选分包人的资料报送发包人，发包人应在收到资料后3天内与承包人共同确定中标人；未经承包人、建设单位书面认可的供应商，其服务将不被认可。承包人应当在签订合同后7天内，将暂估价合同副本报送发包人留存。</w:t>
      </w:r>
    </w:p>
    <w:p>
      <w:pPr>
        <w:spacing w:line="360" w:lineRule="auto"/>
        <w:ind w:firstLine="240" w:firstLineChars="100"/>
        <w:jc w:val="left"/>
        <w:rPr>
          <w:rFonts w:hint="eastAsia" w:ascii="宋体" w:hAnsi="宋体" w:eastAsia="宋体" w:cs="宋体"/>
          <w:bCs/>
          <w:kern w:val="44"/>
          <w:sz w:val="24"/>
          <w:szCs w:val="24"/>
        </w:rPr>
      </w:pPr>
      <w:r>
        <w:rPr>
          <w:rFonts w:hint="eastAsia" w:ascii="宋体" w:hAnsi="宋体" w:eastAsia="宋体" w:cs="宋体"/>
          <w:bCs/>
          <w:kern w:val="44"/>
          <w:sz w:val="24"/>
          <w:szCs w:val="24"/>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承包人与中标人共同签订暂估价合同，发包人对暂估价项目的履行情况进行监督并随时抽查。</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10.7.2不属于依法必须招标的暂估价项目</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对于不属于依法必须招标的暂估价项目，采取以下第</w:t>
      </w:r>
      <w:r>
        <w:rPr>
          <w:rFonts w:hint="eastAsia" w:ascii="宋体" w:hAnsi="宋体" w:eastAsia="宋体" w:cs="宋体"/>
          <w:bCs/>
          <w:kern w:val="44"/>
          <w:sz w:val="24"/>
          <w:szCs w:val="24"/>
          <w:u w:val="single"/>
        </w:rPr>
        <w:t>2</w:t>
      </w:r>
      <w:r>
        <w:rPr>
          <w:rFonts w:hint="eastAsia" w:ascii="宋体" w:hAnsi="宋体" w:eastAsia="宋体" w:cs="宋体"/>
          <w:bCs/>
          <w:kern w:val="44"/>
          <w:sz w:val="24"/>
          <w:szCs w:val="24"/>
        </w:rPr>
        <w:t xml:space="preserve">种方式确定：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第1种方式：对于不属于依法必须招标的暂估价项目，按本项约定确认和批准：</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承包人应根据施工进度计划，在确定暂估价项目的供应商前28天向监理人提出书面的关于供应商选择方案的申请。监理人应当在收到申请后3天内报送发包人，发包人应当在收到申请后14天内给予批准或提出修改意见，发包人逾期未予批准或提出修改意见的，视为该书面申请已获得同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（2）发包人认为承包人确定的供应商、分包人无法满足工程质量或合同要求的，发包人可以要求承包人重新确定暂估价项目的供应商、分包人，也可以三方共同确认供应商;</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（3）承包人应当在签订暂估价合同后7天内，将暂估价合同副本报送发包人留存。</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第2种方式：承包人按照第10.7.1项〔依法必须招标的暂估价项目〕约定的第1种方式确定暂估价项目。</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第3种方式：承包人直接实施的暂估价项目</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承包人具备实施暂估价项目的资格和条件的，经发包人和承包人协商一致后，可由承包人自行实施暂估价项目，合同当事人可以在专用合同条款约定具体事项。</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承包人直接实施的暂估价项目的约定：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10.8 暂列金额</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合同当事人关于暂列金额使用的约定：</w:t>
      </w:r>
      <w:r>
        <w:rPr>
          <w:rFonts w:hint="eastAsia" w:ascii="宋体" w:hAnsi="宋体" w:eastAsia="宋体" w:cs="宋体"/>
          <w:bCs/>
          <w:kern w:val="44"/>
          <w:sz w:val="24"/>
          <w:szCs w:val="24"/>
          <w:u w:val="single"/>
        </w:rPr>
        <w:t xml:space="preserve"> 执行通用条款，同时须取得发包人的书面同意，未经发包人书面同意承包人不得使用暂列金  </w:t>
      </w:r>
      <w:r>
        <w:rPr>
          <w:rFonts w:hint="eastAsia" w:ascii="宋体" w:hAnsi="宋体" w:eastAsia="宋体" w:cs="宋体"/>
          <w:bCs/>
          <w:kern w:val="44"/>
          <w:sz w:val="24"/>
          <w:szCs w:val="24"/>
        </w:rPr>
        <w:t>。</w:t>
      </w:r>
    </w:p>
    <w:p>
      <w:pPr>
        <w:spacing w:line="360" w:lineRule="auto"/>
        <w:jc w:val="left"/>
        <w:outlineLvl w:val="1"/>
        <w:rPr>
          <w:rFonts w:hint="eastAsia" w:ascii="宋体" w:hAnsi="宋体" w:eastAsia="宋体" w:cs="宋体"/>
          <w:b/>
          <w:bCs w:val="0"/>
          <w:kern w:val="44"/>
          <w:sz w:val="24"/>
          <w:szCs w:val="24"/>
        </w:rPr>
      </w:pPr>
      <w:bookmarkStart w:id="444" w:name="_Toc24424"/>
      <w:bookmarkStart w:id="445" w:name="_Toc351203643"/>
      <w:bookmarkStart w:id="446" w:name="_Toc10307_WPSOffice_Level2"/>
      <w:r>
        <w:rPr>
          <w:rFonts w:hint="eastAsia" w:ascii="宋体" w:hAnsi="宋体" w:eastAsia="宋体" w:cs="宋体"/>
          <w:b/>
          <w:bCs w:val="0"/>
          <w:kern w:val="44"/>
          <w:sz w:val="24"/>
          <w:szCs w:val="24"/>
        </w:rPr>
        <w:t>11. 价格调整</w:t>
      </w:r>
      <w:bookmarkEnd w:id="444"/>
      <w:bookmarkEnd w:id="445"/>
      <w:bookmarkEnd w:id="446"/>
    </w:p>
    <w:p>
      <w:pPr>
        <w:spacing w:line="360" w:lineRule="auto"/>
        <w:jc w:val="left"/>
        <w:rPr>
          <w:rFonts w:hint="eastAsia" w:ascii="宋体" w:hAnsi="宋体" w:eastAsia="宋体" w:cs="宋体"/>
          <w:bCs/>
          <w:kern w:val="44"/>
          <w:sz w:val="24"/>
          <w:szCs w:val="24"/>
        </w:rPr>
      </w:pPr>
      <w:bookmarkStart w:id="447" w:name="_Toc296503201"/>
      <w:bookmarkStart w:id="448" w:name="_Toc312678039"/>
      <w:bookmarkStart w:id="449" w:name="_Toc297123550"/>
      <w:bookmarkStart w:id="450" w:name="_Toc297216209"/>
      <w:bookmarkStart w:id="451" w:name="_Toc292559911"/>
      <w:bookmarkStart w:id="452" w:name="_Toc300935000"/>
      <w:bookmarkStart w:id="453" w:name="_Toc297048387"/>
      <w:bookmarkStart w:id="454" w:name="_Toc296944540"/>
      <w:bookmarkStart w:id="455" w:name="_Toc304295577"/>
      <w:bookmarkStart w:id="456" w:name="_Toc296891029"/>
      <w:bookmarkStart w:id="457" w:name="_Toc303539157"/>
      <w:bookmarkStart w:id="458" w:name="_Toc296347200"/>
      <w:bookmarkStart w:id="459" w:name="_Toc297120501"/>
      <w:bookmarkStart w:id="460" w:name="_Toc292559406"/>
      <w:bookmarkStart w:id="461" w:name="_Toc296891241"/>
      <w:bookmarkStart w:id="462" w:name="_Toc296346702"/>
      <w:r>
        <w:rPr>
          <w:rFonts w:hint="eastAsia" w:ascii="宋体" w:hAnsi="宋体" w:eastAsia="宋体" w:cs="宋体"/>
          <w:bCs/>
          <w:kern w:val="44"/>
          <w:sz w:val="24"/>
          <w:szCs w:val="24"/>
        </w:rPr>
        <w:t>11.1 市场价格波动引起的调整</w:t>
      </w:r>
    </w:p>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市场价格波动是否调整合同价格的约定：</w:t>
      </w:r>
      <w:r>
        <w:rPr>
          <w:rFonts w:hint="eastAsia" w:ascii="宋体" w:hAnsi="宋体" w:eastAsia="宋体" w:cs="宋体"/>
          <w:bCs/>
          <w:kern w:val="44"/>
          <w:sz w:val="24"/>
          <w:szCs w:val="24"/>
          <w:u w:val="single"/>
        </w:rPr>
        <w:t xml:space="preserve">     是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因市场价格波动调整合同价格，采用以下第</w:t>
      </w:r>
      <w:r>
        <w:rPr>
          <w:rFonts w:hint="eastAsia" w:ascii="宋体" w:hAnsi="宋体" w:eastAsia="宋体" w:cs="宋体"/>
          <w:bCs/>
          <w:kern w:val="44"/>
          <w:sz w:val="24"/>
          <w:szCs w:val="24"/>
          <w:u w:val="single"/>
        </w:rPr>
        <w:t xml:space="preserve"> 2 </w:t>
      </w:r>
      <w:r>
        <w:rPr>
          <w:rFonts w:hint="eastAsia" w:ascii="宋体" w:hAnsi="宋体" w:eastAsia="宋体" w:cs="宋体"/>
          <w:bCs/>
          <w:kern w:val="44"/>
          <w:sz w:val="24"/>
          <w:szCs w:val="24"/>
        </w:rPr>
        <w:t>种方式对合同价格进行调整：</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第1种方式：采用价格指数进行价格调整。</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关于各可调因子、定值和变值权重，以及基本价格指数及其来源的约定：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第2种方式：采用造价信息进行价格调整。</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（2）关于基准价格的约定：投标当期政府部门公布的信息价（2023年第2季度）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专用合同条款：</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① 承包人在已标价工程量清单或预算书中载明的材料单价低于基准价格的：专用合同条款合同履行期间材料单价涨幅以基准价格为基础超过 6 %时，或材料单价跌幅以已标价工程量清单或预算书中载明材料单价为基础超过 6 %时，其超过部分据实调整。</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②承包人在已标价工程量清单或预算书中载明的材料单价高于基准价格的：专用合同条款合同履行期间材料单价跌幅以基准价格为基础超过</w:t>
      </w:r>
      <w:r>
        <w:rPr>
          <w:rFonts w:hint="eastAsia" w:ascii="宋体" w:hAnsi="宋体" w:eastAsia="宋体" w:cs="宋体"/>
          <w:bCs/>
          <w:kern w:val="44"/>
          <w:sz w:val="24"/>
          <w:szCs w:val="24"/>
          <w:u w:val="single"/>
        </w:rPr>
        <w:t xml:space="preserve"> 6 %</w:t>
      </w:r>
      <w:r>
        <w:rPr>
          <w:rFonts w:hint="eastAsia" w:ascii="宋体" w:hAnsi="宋体" w:eastAsia="宋体" w:cs="宋体"/>
          <w:bCs/>
          <w:kern w:val="44"/>
          <w:sz w:val="24"/>
          <w:szCs w:val="24"/>
        </w:rPr>
        <w:t>时，材料单价涨幅以已标价工程量清单或预算书中载明材料单价为基础超过 6 %时，其超过部分据实调整。</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③承包人在已标价工程量清单或预算书中载明的材料单价等于基准价格的：专用合同条款合同履行期间材料单价涨跌幅以基准单价为基础超过</w:t>
      </w:r>
      <w:r>
        <w:rPr>
          <w:rFonts w:hint="eastAsia" w:ascii="宋体" w:hAnsi="宋体" w:eastAsia="宋体" w:cs="宋体"/>
          <w:bCs/>
          <w:kern w:val="44"/>
          <w:sz w:val="24"/>
          <w:szCs w:val="24"/>
          <w:u w:val="single"/>
        </w:rPr>
        <w:t>± 6 %</w:t>
      </w:r>
      <w:r>
        <w:rPr>
          <w:rFonts w:hint="eastAsia" w:ascii="宋体" w:hAnsi="宋体" w:eastAsia="宋体" w:cs="宋体"/>
          <w:bCs/>
          <w:kern w:val="44"/>
          <w:sz w:val="24"/>
          <w:szCs w:val="24"/>
        </w:rPr>
        <w:t>时，其超过部分据实调整。</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④当招标工程量清单中的主要材料价跌幅超过</w:t>
      </w:r>
      <w:r>
        <w:rPr>
          <w:rFonts w:hint="eastAsia" w:ascii="宋体" w:hAnsi="宋体" w:eastAsia="宋体" w:cs="宋体"/>
          <w:bCs/>
          <w:kern w:val="44"/>
          <w:sz w:val="24"/>
          <w:szCs w:val="24"/>
          <w:u w:val="single"/>
        </w:rPr>
        <w:t>6%</w:t>
      </w:r>
      <w:r>
        <w:rPr>
          <w:rFonts w:hint="eastAsia" w:ascii="宋体" w:hAnsi="宋体" w:eastAsia="宋体" w:cs="宋体"/>
          <w:bCs/>
          <w:kern w:val="44"/>
          <w:sz w:val="24"/>
          <w:szCs w:val="24"/>
        </w:rPr>
        <w:t>时，发包人即使未出具调价文件，仍不免除承包人关于材料单价调整的权利；当期材料涨幅超过</w:t>
      </w:r>
      <w:r>
        <w:rPr>
          <w:rFonts w:hint="eastAsia" w:ascii="宋体" w:hAnsi="宋体" w:eastAsia="宋体" w:cs="宋体"/>
          <w:bCs/>
          <w:kern w:val="44"/>
          <w:sz w:val="24"/>
          <w:szCs w:val="24"/>
          <w:u w:val="single"/>
        </w:rPr>
        <w:t>6%</w:t>
      </w:r>
      <w:r>
        <w:rPr>
          <w:rFonts w:hint="eastAsia" w:ascii="宋体" w:hAnsi="宋体" w:eastAsia="宋体" w:cs="宋体"/>
          <w:bCs/>
          <w:kern w:val="44"/>
          <w:sz w:val="24"/>
          <w:szCs w:val="24"/>
        </w:rPr>
        <w:t>时，承包人仍未提交相关调价文件，超过该分项工程施工14天外，视为放弃调价。</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第3种方式：其他价格调整方式：</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bookmarkEnd w:id="343"/>
    <w:bookmarkEnd w:id="344"/>
    <w:bookmarkEnd w:id="345"/>
    <w:bookmarkEnd w:id="346"/>
    <w:bookmarkEnd w:id="347"/>
    <w:bookmarkEnd w:id="348"/>
    <w:p>
      <w:pPr>
        <w:spacing w:line="360" w:lineRule="auto"/>
        <w:jc w:val="left"/>
        <w:outlineLvl w:val="1"/>
        <w:rPr>
          <w:rFonts w:hint="eastAsia" w:ascii="宋体" w:hAnsi="宋体" w:eastAsia="宋体" w:cs="宋体"/>
          <w:b/>
          <w:bCs w:val="0"/>
          <w:kern w:val="44"/>
          <w:sz w:val="24"/>
          <w:szCs w:val="24"/>
        </w:rPr>
      </w:pPr>
      <w:bookmarkStart w:id="463" w:name="_Toc292559410"/>
      <w:bookmarkStart w:id="464" w:name="_Toc296347204"/>
      <w:bookmarkStart w:id="465" w:name="_Toc296891033"/>
      <w:bookmarkStart w:id="466" w:name="_Toc296891245"/>
      <w:bookmarkStart w:id="467" w:name="_Toc296503205"/>
      <w:bookmarkStart w:id="468" w:name="_Toc296346706"/>
      <w:bookmarkStart w:id="469" w:name="_Toc297120505"/>
      <w:bookmarkStart w:id="470" w:name="_Toc292559915"/>
      <w:bookmarkStart w:id="471" w:name="_Toc297048391"/>
      <w:bookmarkStart w:id="472" w:name="_Toc296944544"/>
      <w:bookmarkStart w:id="473" w:name="_Toc15221_WPSOffice_Level2"/>
      <w:bookmarkStart w:id="474" w:name="_Toc9097"/>
      <w:bookmarkStart w:id="475" w:name="_Toc351203644"/>
      <w:bookmarkStart w:id="476" w:name="_Toc297123552"/>
      <w:bookmarkStart w:id="477" w:name="_Toc297216211"/>
      <w:bookmarkStart w:id="478" w:name="_Toc303539159"/>
      <w:bookmarkStart w:id="479" w:name="_Toc304295579"/>
      <w:bookmarkStart w:id="480" w:name="_Toc300935002"/>
      <w:bookmarkStart w:id="481" w:name="_Toc312678040"/>
      <w:r>
        <w:rPr>
          <w:rFonts w:hint="eastAsia" w:ascii="宋体" w:hAnsi="宋体" w:eastAsia="宋体" w:cs="宋体"/>
          <w:b/>
          <w:bCs w:val="0"/>
          <w:kern w:val="44"/>
          <w:sz w:val="24"/>
          <w:szCs w:val="24"/>
        </w:rPr>
        <w:t xml:space="preserve">12. </w:t>
      </w:r>
      <w:bookmarkEnd w:id="463"/>
      <w:bookmarkEnd w:id="464"/>
      <w:bookmarkEnd w:id="465"/>
      <w:bookmarkEnd w:id="466"/>
      <w:bookmarkEnd w:id="467"/>
      <w:bookmarkEnd w:id="468"/>
      <w:bookmarkEnd w:id="469"/>
      <w:bookmarkEnd w:id="470"/>
      <w:bookmarkEnd w:id="471"/>
      <w:bookmarkEnd w:id="472"/>
      <w:r>
        <w:rPr>
          <w:rFonts w:hint="eastAsia" w:ascii="宋体" w:hAnsi="宋体" w:eastAsia="宋体" w:cs="宋体"/>
          <w:b/>
          <w:bCs w:val="0"/>
          <w:kern w:val="44"/>
          <w:sz w:val="24"/>
          <w:szCs w:val="24"/>
        </w:rPr>
        <w:t>合同价格、计量与支付</w:t>
      </w:r>
      <w:bookmarkEnd w:id="473"/>
      <w:bookmarkEnd w:id="474"/>
      <w:bookmarkEnd w:id="475"/>
    </w:p>
    <w:bookmarkEnd w:id="476"/>
    <w:bookmarkEnd w:id="477"/>
    <w:bookmarkEnd w:id="478"/>
    <w:bookmarkEnd w:id="479"/>
    <w:bookmarkEnd w:id="480"/>
    <w:bookmarkEnd w:id="481"/>
    <w:p>
      <w:pPr>
        <w:spacing w:line="360" w:lineRule="auto"/>
        <w:jc w:val="left"/>
        <w:rPr>
          <w:rFonts w:hint="eastAsia" w:ascii="宋体" w:hAnsi="宋体" w:eastAsia="宋体" w:cs="宋体"/>
          <w:bCs/>
          <w:kern w:val="44"/>
          <w:sz w:val="24"/>
          <w:szCs w:val="24"/>
        </w:rPr>
      </w:pPr>
      <w:bookmarkStart w:id="482" w:name="_Toc292559916"/>
      <w:bookmarkStart w:id="483" w:name="_Toc267251461"/>
      <w:bookmarkStart w:id="484" w:name="_Toc292559411"/>
      <w:bookmarkStart w:id="485" w:name="_Toc296503206"/>
      <w:bookmarkStart w:id="486" w:name="_Toc296891034"/>
      <w:bookmarkStart w:id="487" w:name="_Toc296944545"/>
      <w:bookmarkStart w:id="488" w:name="_Toc296891246"/>
      <w:bookmarkStart w:id="489" w:name="_Toc297120506"/>
      <w:bookmarkStart w:id="490" w:name="_Toc297048392"/>
      <w:bookmarkStart w:id="491" w:name="_Toc296346707"/>
      <w:bookmarkStart w:id="492" w:name="_Toc296347205"/>
      <w:bookmarkStart w:id="493" w:name="_Toc303539160"/>
      <w:bookmarkStart w:id="494" w:name="_Toc297216212"/>
      <w:bookmarkStart w:id="495" w:name="_Toc300935003"/>
      <w:bookmarkStart w:id="496" w:name="_Toc304295580"/>
      <w:bookmarkStart w:id="497" w:name="_Toc297123553"/>
      <w:bookmarkStart w:id="498" w:name="_Toc312678041"/>
      <w:r>
        <w:rPr>
          <w:rFonts w:hint="eastAsia" w:ascii="宋体" w:hAnsi="宋体" w:eastAsia="宋体" w:cs="宋体"/>
          <w:bCs/>
          <w:kern w:val="44"/>
          <w:sz w:val="24"/>
          <w:szCs w:val="24"/>
        </w:rPr>
        <w:t>12.1 合</w:t>
      </w:r>
      <w:bookmarkEnd w:id="482"/>
      <w:bookmarkEnd w:id="483"/>
      <w:bookmarkEnd w:id="484"/>
      <w:r>
        <w:rPr>
          <w:rFonts w:hint="eastAsia" w:ascii="宋体" w:hAnsi="宋体" w:eastAsia="宋体" w:cs="宋体"/>
          <w:bCs/>
          <w:kern w:val="44"/>
          <w:sz w:val="24"/>
          <w:szCs w:val="24"/>
        </w:rPr>
        <w:t>同价</w:t>
      </w:r>
      <w:bookmarkEnd w:id="485"/>
      <w:bookmarkEnd w:id="486"/>
      <w:bookmarkEnd w:id="487"/>
      <w:bookmarkEnd w:id="488"/>
      <w:bookmarkEnd w:id="489"/>
      <w:bookmarkEnd w:id="490"/>
      <w:bookmarkEnd w:id="491"/>
      <w:bookmarkEnd w:id="492"/>
      <w:r>
        <w:rPr>
          <w:rFonts w:hint="eastAsia" w:ascii="宋体" w:hAnsi="宋体" w:eastAsia="宋体" w:cs="宋体"/>
          <w:bCs/>
          <w:kern w:val="44"/>
          <w:sz w:val="24"/>
          <w:szCs w:val="24"/>
        </w:rPr>
        <w:t>格形式</w:t>
      </w:r>
    </w:p>
    <w:bookmarkEnd w:id="493"/>
    <w:bookmarkEnd w:id="494"/>
    <w:bookmarkEnd w:id="495"/>
    <w:bookmarkEnd w:id="496"/>
    <w:bookmarkEnd w:id="497"/>
    <w:bookmarkEnd w:id="498"/>
    <w:p>
      <w:pPr>
        <w:spacing w:line="360" w:lineRule="auto"/>
        <w:jc w:val="left"/>
        <w:outlineLvl w:val="1"/>
        <w:rPr>
          <w:rFonts w:hint="eastAsia" w:ascii="宋体" w:hAnsi="宋体" w:eastAsia="宋体" w:cs="宋体"/>
          <w:bCs/>
          <w:kern w:val="44"/>
          <w:sz w:val="24"/>
          <w:szCs w:val="24"/>
        </w:rPr>
      </w:pPr>
      <w:bookmarkStart w:id="499" w:name="_Toc12317"/>
      <w:r>
        <w:rPr>
          <w:rFonts w:hint="eastAsia" w:ascii="宋体" w:hAnsi="宋体" w:eastAsia="宋体" w:cs="宋体"/>
          <w:bCs/>
          <w:kern w:val="44"/>
          <w:sz w:val="24"/>
          <w:szCs w:val="24"/>
        </w:rPr>
        <w:t>1、单价合同。</w:t>
      </w:r>
      <w:bookmarkEnd w:id="499"/>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综合单价包含的风险范围：</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 xml:space="preserve"> a、主要材料、设备：主要材料其价格参照《郑州市建设工程材料基准价格信息》施工当期材料价格与投标当期材料基准价格信息（20</w:t>
      </w:r>
      <w:r>
        <w:rPr>
          <w:rFonts w:hint="eastAsia" w:ascii="宋体" w:hAnsi="宋体" w:eastAsia="宋体" w:cs="宋体"/>
          <w:bCs/>
          <w:kern w:val="44"/>
          <w:sz w:val="24"/>
          <w:szCs w:val="24"/>
          <w:lang w:val="en-US" w:eastAsia="zh-CN"/>
        </w:rPr>
        <w:t>24</w:t>
      </w:r>
      <w:r>
        <w:rPr>
          <w:rFonts w:hint="eastAsia" w:ascii="宋体" w:hAnsi="宋体" w:eastAsia="宋体" w:cs="宋体"/>
          <w:bCs/>
          <w:kern w:val="44"/>
          <w:sz w:val="24"/>
          <w:szCs w:val="24"/>
        </w:rPr>
        <w:t>年第2季度）对比，价格信息变动幅度在±6%以内（含6%）的不再调整，超出6%的，其超出部分据实调整；其他材料、设备均不调整；b、人工费价格在基准价±6%浮动之内不调整，单价超出浮动范围部分的价格按照施工期间的 装饰装修（指装饰工程开始时间至外架拆除时间））平均值调整； 安装工程不分节点以整个施工期间人工费指导价的平均价格进行调差；c、工程施工过程中可能存在工程价款不能按时付款及结算的风险； d、可能会存在一定的汇率风险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风险范围以外合同价格的调整方法： 依据第三部分专用合同条款“第10.4.1 关于变更估价的约定” 。</w:t>
      </w:r>
    </w:p>
    <w:p>
      <w:pPr>
        <w:spacing w:line="360" w:lineRule="auto"/>
        <w:jc w:val="left"/>
        <w:outlineLvl w:val="1"/>
        <w:rPr>
          <w:rFonts w:hint="eastAsia" w:ascii="宋体" w:hAnsi="宋体" w:eastAsia="宋体" w:cs="宋体"/>
          <w:bCs/>
          <w:kern w:val="44"/>
          <w:sz w:val="24"/>
          <w:szCs w:val="24"/>
        </w:rPr>
      </w:pPr>
      <w:bookmarkStart w:id="500" w:name="_Toc9707"/>
      <w:r>
        <w:rPr>
          <w:rFonts w:hint="eastAsia" w:ascii="宋体" w:hAnsi="宋体" w:eastAsia="宋体" w:cs="宋体"/>
          <w:bCs/>
          <w:kern w:val="44"/>
          <w:sz w:val="24"/>
          <w:szCs w:val="24"/>
        </w:rPr>
        <w:t>2、总价合同。</w:t>
      </w:r>
      <w:bookmarkEnd w:id="500"/>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总价包含的风险范围：</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风险费用的计算方法：</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风险范围以外合同价格的调整方法：</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outlineLvl w:val="1"/>
        <w:rPr>
          <w:rFonts w:hint="eastAsia" w:ascii="宋体" w:hAnsi="宋体" w:eastAsia="宋体" w:cs="宋体"/>
          <w:bCs/>
          <w:kern w:val="44"/>
          <w:sz w:val="24"/>
          <w:szCs w:val="24"/>
        </w:rPr>
      </w:pPr>
      <w:bookmarkStart w:id="501" w:name="_Toc16016"/>
      <w:r>
        <w:rPr>
          <w:rFonts w:hint="eastAsia" w:ascii="宋体" w:hAnsi="宋体" w:eastAsia="宋体" w:cs="宋体"/>
          <w:bCs/>
          <w:kern w:val="44"/>
          <w:sz w:val="24"/>
          <w:szCs w:val="24"/>
        </w:rPr>
        <w:t>3、其他价格方式：</w:t>
      </w:r>
      <w:r>
        <w:rPr>
          <w:rFonts w:hint="eastAsia" w:ascii="宋体" w:hAnsi="宋体" w:eastAsia="宋体" w:cs="宋体"/>
          <w:bCs/>
          <w:kern w:val="44"/>
          <w:sz w:val="24"/>
          <w:szCs w:val="24"/>
          <w:u w:val="single"/>
        </w:rPr>
        <w:t xml:space="preserve">   不适用  </w:t>
      </w:r>
      <w:r>
        <w:rPr>
          <w:rFonts w:hint="eastAsia" w:ascii="宋体" w:hAnsi="宋体" w:eastAsia="宋体" w:cs="宋体"/>
          <w:bCs/>
          <w:kern w:val="44"/>
          <w:sz w:val="24"/>
          <w:szCs w:val="24"/>
        </w:rPr>
        <w:t>。</w:t>
      </w:r>
      <w:bookmarkEnd w:id="501"/>
    </w:p>
    <w:p>
      <w:pPr>
        <w:spacing w:line="360" w:lineRule="auto"/>
        <w:jc w:val="left"/>
        <w:rPr>
          <w:rFonts w:hint="eastAsia" w:ascii="宋体" w:hAnsi="宋体" w:eastAsia="宋体" w:cs="宋体"/>
          <w:bCs/>
          <w:kern w:val="44"/>
          <w:sz w:val="24"/>
          <w:szCs w:val="24"/>
        </w:rPr>
      </w:pPr>
      <w:bookmarkStart w:id="502" w:name="_Toc300935004"/>
      <w:bookmarkStart w:id="503" w:name="_Toc304295581"/>
      <w:bookmarkStart w:id="504" w:name="_Toc303539161"/>
      <w:bookmarkStart w:id="505" w:name="_Toc297123554"/>
      <w:bookmarkStart w:id="506" w:name="_Toc297216213"/>
      <w:bookmarkStart w:id="507" w:name="_Toc312678042"/>
      <w:bookmarkStart w:id="508" w:name="_Toc296346708"/>
      <w:bookmarkStart w:id="509" w:name="_Toc296944546"/>
      <w:bookmarkStart w:id="510" w:name="_Toc296891035"/>
      <w:bookmarkStart w:id="511" w:name="_Toc297048393"/>
      <w:bookmarkStart w:id="512" w:name="_Toc296347206"/>
      <w:bookmarkStart w:id="513" w:name="_Toc292559412"/>
      <w:bookmarkStart w:id="514" w:name="_Toc296891247"/>
      <w:bookmarkStart w:id="515" w:name="_Toc296503207"/>
      <w:bookmarkStart w:id="516" w:name="_Toc297120507"/>
      <w:bookmarkStart w:id="517" w:name="_Toc292559917"/>
      <w:r>
        <w:rPr>
          <w:rFonts w:hint="eastAsia" w:ascii="宋体" w:hAnsi="宋体" w:eastAsia="宋体" w:cs="宋体"/>
          <w:bCs/>
          <w:kern w:val="44"/>
          <w:sz w:val="24"/>
          <w:szCs w:val="24"/>
        </w:rPr>
        <w:t>12.2 预付款</w:t>
      </w:r>
    </w:p>
    <w:bookmarkEnd w:id="502"/>
    <w:bookmarkEnd w:id="503"/>
    <w:bookmarkEnd w:id="504"/>
    <w:bookmarkEnd w:id="505"/>
    <w:bookmarkEnd w:id="506"/>
    <w:bookmarkEnd w:id="507"/>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12.2.1 预付款的支付</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预付款支付比例或金额：</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预付款支付期限：</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u w:val="single"/>
          <w:lang w:val="en-US" w:eastAsia="zh-CN"/>
        </w:rPr>
        <w:t>/</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预付款扣回的方式：</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u w:val="single"/>
          <w:lang w:val="en-US" w:eastAsia="zh-CN"/>
        </w:rPr>
        <w:t>/</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12.2.2 预付款担保</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承包人提交预付款担保的期限：</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u w:val="single"/>
          <w:lang w:val="en-US" w:eastAsia="zh-CN"/>
        </w:rPr>
        <w:t>/</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预付款担保的形式为：</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u w:val="single"/>
          <w:lang w:val="en-US" w:eastAsia="zh-CN"/>
        </w:rPr>
        <w:t>/</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bookmarkEnd w:id="508"/>
    <w:bookmarkEnd w:id="509"/>
    <w:bookmarkEnd w:id="510"/>
    <w:bookmarkEnd w:id="511"/>
    <w:bookmarkEnd w:id="512"/>
    <w:bookmarkEnd w:id="513"/>
    <w:bookmarkEnd w:id="514"/>
    <w:bookmarkEnd w:id="515"/>
    <w:bookmarkEnd w:id="516"/>
    <w:bookmarkEnd w:id="517"/>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 计量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12.3.1 计量原则</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工程量计算规则：</w:t>
      </w:r>
      <w:r>
        <w:rPr>
          <w:rFonts w:hint="eastAsia" w:ascii="宋体" w:hAnsi="宋体" w:eastAsia="宋体" w:cs="宋体"/>
          <w:bCs/>
          <w:kern w:val="44"/>
          <w:sz w:val="24"/>
          <w:szCs w:val="24"/>
          <w:u w:val="single"/>
        </w:rPr>
        <w:t xml:space="preserve"> 按国家建设工程工程量清单计价规范约定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12.3.2 计量周期</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关于计量周期的约定：</w:t>
      </w:r>
      <w:r>
        <w:rPr>
          <w:rFonts w:hint="eastAsia" w:ascii="宋体" w:hAnsi="宋体" w:eastAsia="宋体" w:cs="宋体"/>
          <w:bCs/>
          <w:kern w:val="44"/>
          <w:sz w:val="24"/>
          <w:szCs w:val="24"/>
          <w:u w:val="single"/>
        </w:rPr>
        <w:t xml:space="preserve"> 按付款节点提供已完工程量报告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12.3.3 单价合同的计量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关于单价合同计量的约定：</w:t>
      </w:r>
      <w:r>
        <w:rPr>
          <w:rFonts w:hint="eastAsia" w:ascii="宋体" w:hAnsi="宋体" w:eastAsia="宋体" w:cs="宋体"/>
          <w:bCs/>
          <w:kern w:val="44"/>
          <w:sz w:val="24"/>
          <w:szCs w:val="24"/>
          <w:u w:val="single"/>
        </w:rPr>
        <w:t xml:space="preserve"> 未经发包人和监理人确认的工程量，不得作为工程结算的依据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12.3.4 施工中水、电管理方法：</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12.3.4.1承包人自费设立施工专用电表，并接受发包人的管理和监督。承包人施工、生活用水电费用标准按项目所在地市级供电公司规定的价格结算（考虑损耗），电费计费办法为：（分表数额+总表损耗分摊数）×项目所在地现行收费单价。承包人未立即确认并签字，发包人有权立即停止对承包人提供供水、供电条件，造成的停工由承包人承担全部责任，工期不予顺延。同时承包人按照当次水电费总额的两倍向发包人承担违约责任。</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12.3.4.2承包人应为分包工程提供临时水、临时照明和电力接口，所需费用包含在合同总价中，接口位置应在作业面附近（三级配电箱不超过30米）或按照发包人要求提供。另：总承包人应为燃气工程、热力工程、电力工程、自来水工程提供临时水、临时照明和电力，所需水电费不论是否单独列项，均被视为已包含在合同总价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12.3.4.3  承包人在实际施工过程中应做好水电总表的保护工作，每月均需要进行抄表确认如因承包人保护不力造成水电总表损坏无法计量，进而造成工程结算时无法及时进行水电费确认，审计单位可直接按照本工程定额含量双倍扣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12.3.4 总价合同的计量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关于总价合同计量的约定：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12.3.5总价合同采用支付分解表计量支付的，是否适用第12.3.4 项〔总价合同的计量〕约定进行计量：</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12.3.6 其他价格形式合同的计量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其他价格形式的计量方式和程序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12.4 工程进度款支付</w:t>
      </w:r>
    </w:p>
    <w:p>
      <w:pPr>
        <w:spacing w:line="360" w:lineRule="auto"/>
        <w:jc w:val="left"/>
        <w:rPr>
          <w:rFonts w:hint="eastAsia" w:ascii="宋体" w:hAnsi="宋体" w:eastAsia="宋体" w:cs="宋体"/>
          <w:bCs/>
          <w:kern w:val="44"/>
          <w:sz w:val="24"/>
          <w:szCs w:val="24"/>
        </w:rPr>
      </w:pPr>
      <w:bookmarkStart w:id="518" w:name="_Toc296944550"/>
      <w:bookmarkStart w:id="519" w:name="_Toc296503211"/>
      <w:bookmarkStart w:id="520" w:name="_Toc296347210"/>
      <w:bookmarkStart w:id="521" w:name="_Toc297123556"/>
      <w:bookmarkStart w:id="522" w:name="_Toc296891039"/>
      <w:bookmarkStart w:id="523" w:name="_Toc297048397"/>
      <w:bookmarkStart w:id="524" w:name="_Toc296346712"/>
      <w:bookmarkStart w:id="525" w:name="_Toc292559921"/>
      <w:bookmarkStart w:id="526" w:name="_Toc297120511"/>
      <w:bookmarkStart w:id="527" w:name="_Toc300935006"/>
      <w:bookmarkStart w:id="528" w:name="_Toc292559416"/>
      <w:bookmarkStart w:id="529" w:name="_Toc303539163"/>
      <w:bookmarkStart w:id="530" w:name="_Toc296891251"/>
      <w:bookmarkStart w:id="531" w:name="_Toc297216215"/>
      <w:r>
        <w:rPr>
          <w:rFonts w:hint="eastAsia" w:ascii="宋体" w:hAnsi="宋体" w:eastAsia="宋体" w:cs="宋体"/>
          <w:bCs/>
          <w:kern w:val="44"/>
          <w:sz w:val="24"/>
          <w:szCs w:val="24"/>
        </w:rPr>
        <w:t>12.4.1 付款周期</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关于付款周期的约定：</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① 合同签订完毕、垃圾清运完毕、拆除工程完成，支付合同价款30%的进度款；</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② 每月支付当月确认的已完工程价款的80</w:t>
      </w:r>
      <w:r>
        <w:rPr>
          <w:rFonts w:hint="eastAsia" w:ascii="宋体" w:hAnsi="宋体" w:eastAsia="宋体" w:cs="宋体"/>
          <w:bCs/>
          <w:kern w:val="44"/>
          <w:sz w:val="24"/>
          <w:szCs w:val="24"/>
          <w:u w:val="single"/>
          <w:lang w:val="en-US" w:eastAsia="zh-CN"/>
        </w:rPr>
        <w:t>%</w:t>
      </w:r>
      <w:r>
        <w:rPr>
          <w:rFonts w:hint="eastAsia" w:ascii="宋体" w:hAnsi="宋体" w:eastAsia="宋体" w:cs="宋体"/>
          <w:bCs/>
          <w:kern w:val="44"/>
          <w:sz w:val="24"/>
          <w:szCs w:val="24"/>
          <w:u w:val="single"/>
        </w:rPr>
        <w:t>，经竣工验收合格后，付至合同价款的80%；</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③ 竣工验收合格、移交后支付至合同价款的90％（合同价款和实际完成的经双方确认的工程价款哪个低以哪个为付款基准）；</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④  结算审计后，付至全部审定价款的100%；</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⑤ 关于最后一笔工程款暨审计结算价款的3%的约定：如果该项目自施工到结算的周期在同一个的财政周期（当年）内完成，则该笔工程款在国家规定的最低工程质量缺陷期过后6个月内支付；如该项目自施工到结算的周期不在同一个的财政周期（当年），则该笔工程款支付时投标人需提供需提供质保金保函(见索即付保函保额为结算金额的3%，保函有效期为国家规定的额工程质量缺陷期后6个月，保函到期，如无质量问题自动失效)；或者乙方提供不小于结算金额3%的等价物放置到甲方指定地点进行担保，工程质保期过后等价物担保失效，承包人取回该物品。</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⑥ 施工过程中发生的所有变更和签证视工程量的大小按暂估造价的85%随进度款支付。</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u w:val="single"/>
        </w:rPr>
        <w:t>发包人每次付款前承包人必须开具正规合法增值税专用发票，否则发包人有权延期付款且不承担违约责任，承包人不得以此为由拒绝履行合同义务。每次工程款支付本着优先发放农民工工资的原则，承包人应向监理、发包人提供当期有效的农民工工资支付凭证并提供经承包人加盖公章的未拖欠农民工工资的正式书面证明书(符合政府规定并经监理认可的工资表复印件)</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12.4.2 进度付款申请单的编制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关于进度付款申请单编制的约定：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Pr>
          <w:rFonts w:hint="eastAsia" w:ascii="宋体" w:hAnsi="宋体" w:eastAsia="宋体" w:cs="宋体"/>
          <w:bCs/>
          <w:kern w:val="44"/>
          <w:sz w:val="24"/>
          <w:szCs w:val="24"/>
        </w:rPr>
        <w:t>2.4.3 进度付款申请单的提交</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（1）单价合同进度付款申请单提交的约定：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（2）总价合同进度付款申请单提交的约定：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（3）其他价格形式合同进度付款申请单提交的约定：</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12.4.4 进度款审核和支付</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（1）监理人审查并报送发包人的期限：</w:t>
      </w:r>
      <w:r>
        <w:rPr>
          <w:rFonts w:hint="eastAsia" w:ascii="宋体" w:hAnsi="宋体" w:eastAsia="宋体" w:cs="宋体"/>
          <w:bCs/>
          <w:kern w:val="44"/>
          <w:sz w:val="24"/>
          <w:szCs w:val="24"/>
          <w:u w:val="single"/>
        </w:rPr>
        <w:t xml:space="preserve">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发包人完成审批并签发进度款支付证书的期限：</w:t>
      </w:r>
      <w:r>
        <w:rPr>
          <w:rFonts w:hint="eastAsia" w:ascii="宋体" w:hAnsi="宋体" w:eastAsia="宋体" w:cs="宋体"/>
          <w:bCs/>
          <w:kern w:val="44"/>
          <w:sz w:val="24"/>
          <w:szCs w:val="24"/>
          <w:u w:val="single"/>
        </w:rPr>
        <w:t>执行通用条款</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（2）发包人支付进度款的期限：</w:t>
      </w:r>
      <w:r>
        <w:rPr>
          <w:rFonts w:hint="eastAsia" w:ascii="宋体" w:hAnsi="宋体" w:eastAsia="宋体" w:cs="宋体"/>
          <w:bCs/>
          <w:kern w:val="44"/>
          <w:sz w:val="24"/>
          <w:szCs w:val="24"/>
          <w:u w:val="single"/>
        </w:rPr>
        <w:t xml:space="preserve">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发包人逾期支付进度款的违约金的计算方式：</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每次付款时，发包人有权要求提前缴纳或者结清承包人现场发生的水电费、其他应扣款项（违约金、损失赔偿金等）。</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每次付款前，承包人需提供合规合法的全额发票。若承包人不能提供，发包人有权拒绝付款，由此产生的后果由承包人承担。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12.4.6 支付分解表的编制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2、总价合同支付分解表的编制与审批：</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3、单价合同的总价项目支付分解表的编制与审批：</w:t>
      </w:r>
      <w:r>
        <w:rPr>
          <w:rFonts w:hint="eastAsia" w:ascii="宋体" w:hAnsi="宋体" w:eastAsia="宋体" w:cs="宋体"/>
          <w:bCs/>
          <w:kern w:val="44"/>
          <w:sz w:val="24"/>
          <w:szCs w:val="24"/>
          <w:u w:val="single"/>
        </w:rPr>
        <w:t xml:space="preserve"> /</w:t>
      </w:r>
      <w:r>
        <w:rPr>
          <w:rFonts w:hint="eastAsia" w:ascii="宋体" w:hAnsi="宋体" w:eastAsia="宋体" w:cs="宋体"/>
          <w:bCs/>
          <w:kern w:val="44"/>
          <w:sz w:val="24"/>
          <w:szCs w:val="24"/>
        </w:rPr>
        <w:t>。</w:t>
      </w:r>
    </w:p>
    <w:bookmarkEnd w:id="349"/>
    <w:p>
      <w:pPr>
        <w:spacing w:line="360" w:lineRule="auto"/>
        <w:jc w:val="left"/>
        <w:rPr>
          <w:rFonts w:hint="eastAsia" w:ascii="宋体" w:hAnsi="宋体" w:eastAsia="宋体" w:cs="宋体"/>
          <w:bCs/>
          <w:kern w:val="44"/>
          <w:sz w:val="24"/>
          <w:szCs w:val="24"/>
        </w:rPr>
      </w:pPr>
      <w:bookmarkStart w:id="532" w:name="_Toc351203645"/>
      <w:bookmarkStart w:id="533" w:name="_Toc1598_WPSOffice_Level2"/>
      <w:bookmarkStart w:id="534" w:name="_Toc312678053"/>
      <w:bookmarkStart w:id="535" w:name="_Toc296503219"/>
      <w:bookmarkStart w:id="536" w:name="_Toc297123564"/>
      <w:bookmarkStart w:id="537" w:name="_Toc300935015"/>
      <w:bookmarkStart w:id="538" w:name="_Toc296891047"/>
      <w:bookmarkStart w:id="539" w:name="_Toc296346720"/>
      <w:bookmarkStart w:id="540" w:name="_Toc297048405"/>
      <w:bookmarkStart w:id="541" w:name="_Toc296944558"/>
      <w:bookmarkStart w:id="542" w:name="_Toc297120519"/>
      <w:bookmarkStart w:id="543" w:name="_Toc303539172"/>
      <w:bookmarkStart w:id="544" w:name="_Toc296891259"/>
      <w:bookmarkStart w:id="545" w:name="_Toc297216223"/>
      <w:bookmarkStart w:id="546" w:name="_Toc304295593"/>
      <w:bookmarkStart w:id="547" w:name="_Toc292559424"/>
      <w:bookmarkStart w:id="548" w:name="_Toc296347218"/>
      <w:bookmarkStart w:id="549" w:name="_Toc292559929"/>
      <w:r>
        <w:rPr>
          <w:rFonts w:hint="eastAsia" w:ascii="宋体" w:hAnsi="宋体" w:eastAsia="宋体" w:cs="宋体"/>
          <w:b/>
          <w:bCs w:val="0"/>
          <w:kern w:val="44"/>
          <w:sz w:val="24"/>
          <w:szCs w:val="24"/>
        </w:rPr>
        <w:t>13. 验收和工程试车</w:t>
      </w:r>
      <w:bookmarkEnd w:id="532"/>
      <w:bookmarkEnd w:id="533"/>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13.1 分部分项工程验收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13.1.2监理人不能按时进行验收时，应提前</w:t>
      </w:r>
      <w:r>
        <w:rPr>
          <w:rFonts w:hint="eastAsia" w:ascii="宋体" w:hAnsi="宋体" w:eastAsia="宋体" w:cs="宋体"/>
          <w:bCs/>
          <w:kern w:val="44"/>
          <w:sz w:val="24"/>
          <w:szCs w:val="24"/>
          <w:u w:val="single"/>
        </w:rPr>
        <w:t xml:space="preserve">  24 </w:t>
      </w:r>
      <w:r>
        <w:rPr>
          <w:rFonts w:hint="eastAsia" w:ascii="宋体" w:hAnsi="宋体" w:eastAsia="宋体" w:cs="宋体"/>
          <w:bCs/>
          <w:kern w:val="44"/>
          <w:sz w:val="24"/>
          <w:szCs w:val="24"/>
        </w:rPr>
        <w:t>小时提交书面延期要求。</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关于延期最长不得超过：</w:t>
      </w:r>
      <w:r>
        <w:rPr>
          <w:rFonts w:hint="eastAsia" w:ascii="宋体" w:hAnsi="宋体" w:eastAsia="宋体" w:cs="宋体"/>
          <w:bCs/>
          <w:kern w:val="44"/>
          <w:sz w:val="24"/>
          <w:szCs w:val="24"/>
          <w:u w:val="single"/>
        </w:rPr>
        <w:t xml:space="preserve"> 48 </w:t>
      </w:r>
      <w:r>
        <w:rPr>
          <w:rFonts w:hint="eastAsia" w:ascii="宋体" w:hAnsi="宋体" w:eastAsia="宋体" w:cs="宋体"/>
          <w:bCs/>
          <w:kern w:val="44"/>
          <w:sz w:val="24"/>
          <w:szCs w:val="24"/>
        </w:rPr>
        <w:t>小时。</w:t>
      </w:r>
    </w:p>
    <w:p>
      <w:pPr>
        <w:spacing w:line="360" w:lineRule="auto"/>
        <w:jc w:val="left"/>
        <w:rPr>
          <w:rFonts w:hint="eastAsia" w:ascii="宋体" w:hAnsi="宋体" w:eastAsia="宋体" w:cs="宋体"/>
          <w:bCs/>
          <w:kern w:val="44"/>
          <w:sz w:val="24"/>
          <w:szCs w:val="24"/>
        </w:rPr>
      </w:pPr>
      <w:bookmarkStart w:id="550" w:name="_Toc303539173"/>
      <w:bookmarkStart w:id="551" w:name="_Toc296346724"/>
      <w:bookmarkStart w:id="552" w:name="_Toc296891263"/>
      <w:bookmarkStart w:id="553" w:name="_Toc292559933"/>
      <w:bookmarkStart w:id="554" w:name="_Toc300935016"/>
      <w:bookmarkStart w:id="555" w:name="_Toc297216224"/>
      <w:bookmarkStart w:id="556" w:name="_Toc304295596"/>
      <w:bookmarkStart w:id="557" w:name="_Toc296347222"/>
      <w:bookmarkStart w:id="558" w:name="_Toc297123565"/>
      <w:bookmarkStart w:id="559" w:name="_Toc296944562"/>
      <w:bookmarkStart w:id="560" w:name="_Toc292559428"/>
      <w:bookmarkStart w:id="561" w:name="_Toc296891051"/>
      <w:bookmarkStart w:id="562" w:name="_Toc296503223"/>
      <w:bookmarkStart w:id="563" w:name="_Toc297120523"/>
      <w:bookmarkStart w:id="564" w:name="_Toc312678056"/>
      <w:bookmarkStart w:id="565" w:name="_Toc297048409"/>
      <w:bookmarkStart w:id="566" w:name="_Toc267251470"/>
      <w:bookmarkStart w:id="567" w:name="_Toc267251473"/>
      <w:bookmarkStart w:id="568" w:name="_Toc267251472"/>
      <w:bookmarkStart w:id="569" w:name="_Toc267251474"/>
      <w:bookmarkStart w:id="570" w:name="_Toc267251471"/>
      <w:bookmarkStart w:id="571" w:name="_Toc267251475"/>
      <w:bookmarkStart w:id="572" w:name="_Toc267251476"/>
      <w:r>
        <w:rPr>
          <w:rFonts w:hint="eastAsia" w:ascii="宋体" w:hAnsi="宋体" w:eastAsia="宋体" w:cs="宋体"/>
          <w:bCs/>
          <w:kern w:val="44"/>
          <w:sz w:val="24"/>
          <w:szCs w:val="24"/>
        </w:rPr>
        <w:t>13.2 竣工验收</w:t>
      </w:r>
    </w:p>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Pr>
        <w:spacing w:line="360" w:lineRule="auto"/>
        <w:jc w:val="left"/>
        <w:rPr>
          <w:rFonts w:hint="eastAsia" w:ascii="宋体" w:hAnsi="宋体" w:eastAsia="宋体" w:cs="宋体"/>
          <w:bCs/>
          <w:kern w:val="44"/>
          <w:sz w:val="24"/>
          <w:szCs w:val="24"/>
        </w:rPr>
      </w:pPr>
      <w:bookmarkStart w:id="573" w:name="_Toc280868704"/>
      <w:bookmarkStart w:id="574" w:name="_Toc280868705"/>
      <w:bookmarkStart w:id="575" w:name="_Toc280868706"/>
      <w:bookmarkStart w:id="576" w:name="_Toc280868707"/>
      <w:bookmarkStart w:id="577" w:name="_Toc280868708"/>
      <w:bookmarkStart w:id="578" w:name="_Toc280868709"/>
      <w:r>
        <w:rPr>
          <w:rFonts w:hint="eastAsia" w:ascii="宋体" w:hAnsi="宋体" w:eastAsia="宋体" w:cs="宋体"/>
          <w:bCs/>
          <w:kern w:val="44"/>
          <w:sz w:val="24"/>
          <w:szCs w:val="24"/>
        </w:rPr>
        <w:t>13.2.2竣工验收程序</w:t>
      </w:r>
    </w:p>
    <w:bookmarkEnd w:id="573"/>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关于竣工验收程序的约定：</w:t>
      </w:r>
      <w:r>
        <w:rPr>
          <w:rFonts w:hint="eastAsia" w:ascii="宋体" w:hAnsi="宋体" w:eastAsia="宋体" w:cs="宋体"/>
          <w:bCs/>
          <w:kern w:val="44"/>
          <w:sz w:val="24"/>
          <w:szCs w:val="24"/>
          <w:u w:val="single"/>
        </w:rPr>
        <w:t xml:space="preserve">   按通用条款及国家、省、市相关规定执行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发包人不按照本项约定组织竣工验收、颁发工程接收证书的违约金的计算方法：</w:t>
      </w:r>
      <w:r>
        <w:rPr>
          <w:rFonts w:hint="eastAsia" w:ascii="宋体" w:hAnsi="宋体" w:eastAsia="宋体" w:cs="宋体"/>
          <w:bCs/>
          <w:kern w:val="44"/>
          <w:sz w:val="24"/>
          <w:szCs w:val="24"/>
          <w:u w:val="single"/>
        </w:rPr>
        <w:t>按照专用合同条款</w:t>
      </w:r>
      <w:r>
        <w:rPr>
          <w:rFonts w:hint="eastAsia" w:ascii="宋体" w:hAnsi="宋体" w:eastAsia="宋体" w:cs="宋体"/>
          <w:bCs/>
          <w:kern w:val="44"/>
          <w:sz w:val="24"/>
          <w:szCs w:val="24"/>
        </w:rPr>
        <w:t>7.5.2“因承包人原因导致工期延误”处理  。</w:t>
      </w:r>
    </w:p>
    <w:bookmarkEnd w:id="574"/>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13.2.5移交、接收全部与部分工程</w:t>
      </w:r>
    </w:p>
    <w:bookmarkEnd w:id="575"/>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承包人向发包人移交工程的期限：</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发包人未按本合同约定接收全部或部分工程的，违约金的计算方法为：</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bookmarkEnd w:id="576"/>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承包人未按时移交工程的，违约金的计算方法为：</w:t>
      </w:r>
      <w:r>
        <w:rPr>
          <w:rFonts w:hint="eastAsia" w:ascii="宋体" w:hAnsi="宋体" w:eastAsia="宋体" w:cs="宋体"/>
          <w:bCs/>
          <w:kern w:val="44"/>
          <w:sz w:val="24"/>
          <w:szCs w:val="24"/>
          <w:u w:val="single"/>
        </w:rPr>
        <w:t xml:space="preserve">  按照专用合同条款7.5.2“因承包人原因导致工期延误”处理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13.3 工程试车</w:t>
      </w:r>
    </w:p>
    <w:bookmarkEnd w:id="577"/>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13.3.1 试车程序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工程试车内容：</w:t>
      </w:r>
      <w:r>
        <w:rPr>
          <w:rFonts w:hint="eastAsia" w:ascii="宋体" w:hAnsi="宋体" w:eastAsia="宋体" w:cs="宋体"/>
          <w:bCs/>
          <w:kern w:val="44"/>
          <w:sz w:val="24"/>
          <w:szCs w:val="24"/>
          <w:u w:val="single"/>
        </w:rPr>
        <w:t xml:space="preserve">  无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（1）单机无负荷试车费用由</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（2）无负荷联动试车费用由</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13.3.3 投料试车</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关于投料试车相关事项的约定：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579" w:name="_Toc29989"/>
      <w:bookmarkStart w:id="580" w:name="_Toc12909"/>
      <w:bookmarkStart w:id="581" w:name="_Toc1012"/>
      <w:r>
        <w:rPr>
          <w:rFonts w:hint="eastAsia" w:ascii="宋体" w:hAnsi="宋体" w:eastAsia="宋体" w:cs="宋体"/>
          <w:bCs/>
          <w:kern w:val="44"/>
          <w:sz w:val="24"/>
          <w:szCs w:val="24"/>
        </w:rPr>
        <w:t>13.6 竣工退场</w:t>
      </w:r>
      <w:bookmarkEnd w:id="579"/>
      <w:bookmarkEnd w:id="580"/>
      <w:bookmarkEnd w:id="581"/>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13.6.1 竣工退场</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承包人完成竣工退场的期限：</w:t>
      </w:r>
      <w:r>
        <w:rPr>
          <w:rFonts w:hint="eastAsia" w:ascii="宋体" w:hAnsi="宋体" w:eastAsia="宋体" w:cs="宋体"/>
          <w:bCs/>
          <w:kern w:val="44"/>
          <w:sz w:val="24"/>
          <w:szCs w:val="24"/>
          <w:u w:val="single"/>
        </w:rPr>
        <w:t>颁发工程接收证书后14日内</w:t>
      </w:r>
    </w:p>
    <w:p>
      <w:pPr>
        <w:spacing w:line="360" w:lineRule="auto"/>
        <w:jc w:val="left"/>
        <w:outlineLvl w:val="1"/>
        <w:rPr>
          <w:rFonts w:hint="eastAsia" w:ascii="宋体" w:hAnsi="宋体" w:eastAsia="宋体" w:cs="宋体"/>
          <w:b/>
          <w:bCs w:val="0"/>
          <w:kern w:val="44"/>
          <w:sz w:val="24"/>
          <w:szCs w:val="24"/>
        </w:rPr>
      </w:pPr>
      <w:bookmarkStart w:id="582" w:name="_Toc27061_WPSOffice_Level2"/>
      <w:bookmarkStart w:id="583" w:name="_Toc24678"/>
      <w:bookmarkStart w:id="584" w:name="_Toc351203646"/>
      <w:r>
        <w:rPr>
          <w:rFonts w:hint="eastAsia" w:ascii="宋体" w:hAnsi="宋体" w:eastAsia="宋体" w:cs="宋体"/>
          <w:b/>
          <w:bCs w:val="0"/>
          <w:kern w:val="44"/>
          <w:sz w:val="24"/>
          <w:szCs w:val="24"/>
        </w:rPr>
        <w:t>14. 竣工结算</w:t>
      </w:r>
      <w:bookmarkEnd w:id="582"/>
      <w:bookmarkEnd w:id="583"/>
      <w:bookmarkEnd w:id="584"/>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14.1 竣工结算申请</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承包人提交竣工结算申请单的期限：</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竣工结算申请单应包括的内容：</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585" w:name="_Toc16005"/>
      <w:bookmarkStart w:id="586" w:name="_Toc3722"/>
      <w:r>
        <w:rPr>
          <w:rFonts w:hint="eastAsia" w:ascii="宋体" w:hAnsi="宋体" w:eastAsia="宋体" w:cs="宋体"/>
          <w:bCs/>
          <w:kern w:val="44"/>
          <w:sz w:val="24"/>
          <w:szCs w:val="24"/>
        </w:rPr>
        <w:t>14.2 竣工结算审核</w:t>
      </w:r>
      <w:bookmarkEnd w:id="585"/>
      <w:bookmarkEnd w:id="586"/>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发包人审批竣工付款申请单的期限：</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发包人完成竣工付款的期限：</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关于竣工付款证书异议部分复核的方式和程序：</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14.4 最终结清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14.4.1 最终结清申请单</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承包人提交最终结清申请单的份数：</w:t>
      </w:r>
      <w:r>
        <w:rPr>
          <w:rFonts w:hint="eastAsia" w:ascii="宋体" w:hAnsi="宋体" w:eastAsia="宋体" w:cs="宋体"/>
          <w:bCs/>
          <w:kern w:val="44"/>
          <w:sz w:val="24"/>
          <w:szCs w:val="24"/>
          <w:u w:val="single"/>
        </w:rPr>
        <w:t xml:space="preserve">  一式三份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承包人提交最终结算申请单的期限：</w:t>
      </w:r>
      <w:r>
        <w:rPr>
          <w:rFonts w:hint="eastAsia" w:ascii="宋体" w:hAnsi="宋体" w:eastAsia="宋体" w:cs="宋体"/>
          <w:bCs/>
          <w:kern w:val="44"/>
          <w:sz w:val="24"/>
          <w:szCs w:val="24"/>
          <w:u w:val="single"/>
        </w:rPr>
        <w:t xml:space="preserve">执行通用条款    </w:t>
      </w:r>
      <w:r>
        <w:rPr>
          <w:rFonts w:hint="eastAsia" w:ascii="宋体" w:hAnsi="宋体" w:eastAsia="宋体" w:cs="宋体"/>
          <w:bCs/>
          <w:kern w:val="44"/>
          <w:sz w:val="24"/>
          <w:szCs w:val="24"/>
        </w:rPr>
        <w:t xml:space="preserve">。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14.4.2 最终结清证书和支付</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（1）发包人完成最终结清申请单的审批并颁发最终结清证书的期限：</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（2）发包人完成支付的期限：</w:t>
      </w:r>
      <w:r>
        <w:rPr>
          <w:rFonts w:hint="eastAsia" w:ascii="宋体" w:hAnsi="宋体" w:eastAsia="宋体" w:cs="宋体"/>
          <w:bCs/>
          <w:kern w:val="44"/>
          <w:sz w:val="24"/>
          <w:szCs w:val="24"/>
          <w:u w:val="single"/>
        </w:rPr>
        <w:t xml:space="preserve">  执行通用条款   </w:t>
      </w:r>
      <w:r>
        <w:rPr>
          <w:rFonts w:hint="eastAsia" w:ascii="宋体" w:hAnsi="宋体" w:eastAsia="宋体" w:cs="宋体"/>
          <w:bCs/>
          <w:kern w:val="44"/>
          <w:sz w:val="24"/>
          <w:szCs w:val="24"/>
        </w:rPr>
        <w:t>。</w:t>
      </w:r>
    </w:p>
    <w:bookmarkEnd w:id="566"/>
    <w:bookmarkEnd w:id="567"/>
    <w:bookmarkEnd w:id="568"/>
    <w:bookmarkEnd w:id="569"/>
    <w:bookmarkEnd w:id="570"/>
    <w:bookmarkEnd w:id="571"/>
    <w:bookmarkEnd w:id="572"/>
    <w:bookmarkEnd w:id="578"/>
    <w:p>
      <w:pPr>
        <w:spacing w:line="360" w:lineRule="auto"/>
        <w:jc w:val="left"/>
        <w:outlineLvl w:val="1"/>
        <w:rPr>
          <w:rFonts w:hint="eastAsia" w:ascii="宋体" w:hAnsi="宋体" w:eastAsia="宋体" w:cs="宋体"/>
          <w:b/>
          <w:bCs w:val="0"/>
          <w:kern w:val="44"/>
          <w:sz w:val="24"/>
          <w:szCs w:val="24"/>
        </w:rPr>
      </w:pPr>
      <w:bookmarkStart w:id="587" w:name="_Toc16651_WPSOffice_Level2"/>
      <w:bookmarkStart w:id="588" w:name="_Toc27073"/>
      <w:bookmarkStart w:id="589" w:name="_Toc351203647"/>
      <w:bookmarkStart w:id="590" w:name="_Toc267251483"/>
      <w:bookmarkStart w:id="591" w:name="_Toc267251484"/>
      <w:bookmarkStart w:id="592" w:name="_Toc267251482"/>
      <w:bookmarkStart w:id="593" w:name="_Toc267251485"/>
      <w:bookmarkStart w:id="594" w:name="_Toc267251490"/>
      <w:bookmarkStart w:id="595" w:name="_Toc267251488"/>
      <w:bookmarkStart w:id="596" w:name="_Toc267251489"/>
      <w:bookmarkStart w:id="597" w:name="_Toc267251486"/>
      <w:bookmarkStart w:id="598" w:name="_Toc267251493"/>
      <w:bookmarkStart w:id="599" w:name="_Toc267251495"/>
      <w:bookmarkStart w:id="600" w:name="_Toc267251501"/>
      <w:bookmarkStart w:id="601" w:name="_Toc267251503"/>
      <w:bookmarkStart w:id="602" w:name="_Toc267251502"/>
      <w:bookmarkStart w:id="603" w:name="_Toc267251497"/>
      <w:bookmarkStart w:id="604" w:name="_Toc267251496"/>
      <w:bookmarkStart w:id="605" w:name="_Toc267251498"/>
      <w:bookmarkStart w:id="606" w:name="_Toc267251492"/>
      <w:bookmarkStart w:id="607" w:name="_Toc267251494"/>
      <w:bookmarkStart w:id="608" w:name="_Toc267251499"/>
      <w:bookmarkStart w:id="609" w:name="_Toc267251491"/>
      <w:bookmarkStart w:id="610" w:name="_Toc267251504"/>
      <w:bookmarkStart w:id="611" w:name="_Toc267251506"/>
      <w:bookmarkStart w:id="612" w:name="_Toc267251507"/>
      <w:bookmarkStart w:id="613" w:name="_Toc267251508"/>
      <w:bookmarkStart w:id="614" w:name="_Toc267251511"/>
      <w:bookmarkStart w:id="615" w:name="_Toc267251510"/>
      <w:bookmarkStart w:id="616" w:name="_Toc267251509"/>
      <w:bookmarkStart w:id="617" w:name="_Toc267251515"/>
      <w:bookmarkStart w:id="618" w:name="_Toc267251513"/>
      <w:bookmarkStart w:id="619" w:name="_Toc267251514"/>
      <w:r>
        <w:rPr>
          <w:rFonts w:hint="eastAsia" w:ascii="宋体" w:hAnsi="宋体" w:eastAsia="宋体" w:cs="宋体"/>
          <w:b/>
          <w:bCs w:val="0"/>
          <w:kern w:val="44"/>
          <w:sz w:val="24"/>
          <w:szCs w:val="24"/>
        </w:rPr>
        <w:t>15. 缺陷责任期与保修</w:t>
      </w:r>
      <w:bookmarkEnd w:id="587"/>
      <w:bookmarkEnd w:id="588"/>
      <w:bookmarkEnd w:id="589"/>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15.2缺陷责任期</w:t>
      </w:r>
      <w:bookmarkEnd w:id="590"/>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缺陷责任期的具体期限：</w:t>
      </w:r>
      <w:r>
        <w:rPr>
          <w:rFonts w:hint="eastAsia" w:ascii="宋体" w:hAnsi="宋体" w:eastAsia="宋体" w:cs="宋体"/>
          <w:bCs/>
          <w:kern w:val="44"/>
          <w:sz w:val="24"/>
          <w:szCs w:val="24"/>
          <w:u w:val="single"/>
        </w:rPr>
        <w:t xml:space="preserve">   24个月，自竣工验收合格并交付使用之日起计算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620" w:name="_Toc10394"/>
      <w:bookmarkStart w:id="621" w:name="_Toc17908"/>
      <w:bookmarkStart w:id="622" w:name="_Toc13288"/>
      <w:r>
        <w:rPr>
          <w:rFonts w:hint="eastAsia" w:ascii="宋体" w:hAnsi="宋体" w:eastAsia="宋体" w:cs="宋体"/>
          <w:bCs/>
          <w:kern w:val="44"/>
          <w:sz w:val="24"/>
          <w:szCs w:val="24"/>
        </w:rPr>
        <w:t>15.3 质量保证金</w:t>
      </w:r>
      <w:bookmarkEnd w:id="620"/>
      <w:bookmarkEnd w:id="621"/>
      <w:bookmarkEnd w:id="622"/>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关于是否扣留质量保证金的约定：</w:t>
      </w:r>
      <w:r>
        <w:rPr>
          <w:rFonts w:hint="eastAsia" w:ascii="宋体" w:hAnsi="宋体" w:eastAsia="宋体" w:cs="宋体"/>
          <w:bCs/>
          <w:kern w:val="44"/>
          <w:sz w:val="24"/>
          <w:szCs w:val="24"/>
          <w:u w:val="single"/>
        </w:rPr>
        <w:t>按照竣工结算价的3％比例预留 。在工程项目竣工前，承包人按专用合同条款第3.7条提供履约担保的，发包人不得同时预留工程质量保证金</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623" w:name="_Toc1841"/>
      <w:bookmarkStart w:id="624" w:name="_Toc5468"/>
      <w:bookmarkStart w:id="625" w:name="_Toc14809"/>
      <w:r>
        <w:rPr>
          <w:rFonts w:hint="eastAsia" w:ascii="宋体" w:hAnsi="宋体" w:eastAsia="宋体" w:cs="宋体"/>
          <w:bCs/>
          <w:kern w:val="44"/>
          <w:sz w:val="24"/>
          <w:szCs w:val="24"/>
        </w:rPr>
        <w:t>15.3.1 承包人提供质量保证金的方式</w:t>
      </w:r>
      <w:bookmarkEnd w:id="623"/>
      <w:bookmarkEnd w:id="624"/>
      <w:bookmarkEnd w:id="625"/>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质量保证金采用以下第</w:t>
      </w:r>
      <w:r>
        <w:rPr>
          <w:rFonts w:hint="eastAsia" w:ascii="宋体" w:hAnsi="宋体" w:eastAsia="宋体" w:cs="宋体"/>
          <w:bCs/>
          <w:kern w:val="44"/>
          <w:sz w:val="24"/>
          <w:szCs w:val="24"/>
          <w:u w:val="single"/>
        </w:rPr>
        <w:t xml:space="preserve"> （2） </w:t>
      </w:r>
      <w:r>
        <w:rPr>
          <w:rFonts w:hint="eastAsia" w:ascii="宋体" w:hAnsi="宋体" w:eastAsia="宋体" w:cs="宋体"/>
          <w:bCs/>
          <w:kern w:val="44"/>
          <w:sz w:val="24"/>
          <w:szCs w:val="24"/>
        </w:rPr>
        <w:t>种方式：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（1）质量保证金保函，保证金额为：</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 xml:space="preserve">；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w:t>
      </w:r>
      <w:r>
        <w:rPr>
          <w:rFonts w:hint="eastAsia" w:ascii="宋体" w:hAnsi="宋体" w:eastAsia="宋体" w:cs="宋体"/>
          <w:bCs/>
          <w:kern w:val="44"/>
          <w:sz w:val="24"/>
          <w:szCs w:val="24"/>
          <w:u w:val="single"/>
        </w:rPr>
        <w:t xml:space="preserve">  3 %</w:t>
      </w:r>
      <w:r>
        <w:rPr>
          <w:rFonts w:hint="eastAsia" w:ascii="宋体" w:hAnsi="宋体" w:eastAsia="宋体" w:cs="宋体"/>
          <w:bCs/>
          <w:kern w:val="44"/>
          <w:sz w:val="24"/>
          <w:szCs w:val="24"/>
        </w:rPr>
        <w:t>的工程款；</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（3）其他方式:</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626" w:name="_Toc27850"/>
      <w:bookmarkStart w:id="627" w:name="_Toc13739"/>
      <w:r>
        <w:rPr>
          <w:rFonts w:hint="eastAsia" w:ascii="宋体" w:hAnsi="宋体" w:eastAsia="宋体" w:cs="宋体"/>
          <w:bCs/>
          <w:kern w:val="44"/>
          <w:sz w:val="24"/>
          <w:szCs w:val="24"/>
        </w:rPr>
        <w:t>15.3.2 质量保证金的扣留</w:t>
      </w:r>
      <w:bookmarkEnd w:id="626"/>
      <w:bookmarkEnd w:id="627"/>
      <w:r>
        <w:rPr>
          <w:rFonts w:hint="eastAsia" w:ascii="宋体" w:hAnsi="宋体" w:eastAsia="宋体" w:cs="宋体"/>
          <w:bCs/>
          <w:kern w:val="44"/>
          <w:sz w:val="24"/>
          <w:szCs w:val="24"/>
        </w:rPr>
        <w:t xml:space="preserve">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质量保证金的扣留采取以下第</w:t>
      </w:r>
      <w:r>
        <w:rPr>
          <w:rFonts w:hint="eastAsia" w:ascii="宋体" w:hAnsi="宋体" w:eastAsia="宋体" w:cs="宋体"/>
          <w:bCs/>
          <w:kern w:val="44"/>
          <w:sz w:val="24"/>
          <w:szCs w:val="24"/>
          <w:u w:val="single"/>
        </w:rPr>
        <w:t xml:space="preserve"> （2） </w:t>
      </w:r>
      <w:r>
        <w:rPr>
          <w:rFonts w:hint="eastAsia" w:ascii="宋体" w:hAnsi="宋体" w:eastAsia="宋体" w:cs="宋体"/>
          <w:bCs/>
          <w:kern w:val="44"/>
          <w:sz w:val="24"/>
          <w:szCs w:val="24"/>
        </w:rPr>
        <w:t>种方式：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（1）在支付工程进度款时逐次扣留，在此情形下，质量保证金的计算基数不包括预付款的支付、扣回以及价格调整的金额；</w:t>
      </w:r>
    </w:p>
    <w:p>
      <w:pPr>
        <w:spacing w:line="360" w:lineRule="auto"/>
        <w:jc w:val="left"/>
        <w:rPr>
          <w:rFonts w:hint="eastAsia" w:ascii="宋体" w:hAnsi="宋体" w:eastAsia="宋体" w:cs="宋体"/>
          <w:bCs/>
          <w:kern w:val="44"/>
          <w:sz w:val="24"/>
          <w:szCs w:val="24"/>
        </w:rPr>
      </w:pPr>
      <w:bookmarkStart w:id="628" w:name="_Toc28660"/>
      <w:bookmarkStart w:id="629" w:name="_Toc7814"/>
      <w:bookmarkStart w:id="630" w:name="_Toc28741"/>
      <w:r>
        <w:rPr>
          <w:rFonts w:hint="eastAsia" w:ascii="宋体" w:hAnsi="宋体" w:eastAsia="宋体" w:cs="宋体"/>
          <w:bCs/>
          <w:kern w:val="44"/>
          <w:sz w:val="24"/>
          <w:szCs w:val="24"/>
        </w:rPr>
        <w:t>（2）工程竣工结算时一次性扣留质量保证金；</w:t>
      </w:r>
      <w:bookmarkEnd w:id="628"/>
      <w:bookmarkEnd w:id="629"/>
      <w:bookmarkEnd w:id="630"/>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（3）其他扣留方式:</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 xml:space="preserve">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关于质量保证金的补充约定：</w:t>
      </w:r>
      <w:r>
        <w:rPr>
          <w:rFonts w:hint="eastAsia" w:ascii="宋体" w:hAnsi="宋体" w:eastAsia="宋体" w:cs="宋体"/>
          <w:bCs/>
          <w:kern w:val="44"/>
          <w:sz w:val="24"/>
          <w:szCs w:val="24"/>
          <w:u w:val="single"/>
        </w:rPr>
        <w:t xml:space="preserve">  质量保修期满，且承包人履行保修义务后14日内无息退还  </w:t>
      </w:r>
      <w:r>
        <w:rPr>
          <w:rFonts w:hint="eastAsia" w:ascii="宋体" w:hAnsi="宋体" w:eastAsia="宋体" w:cs="宋体"/>
          <w:bCs/>
          <w:kern w:val="44"/>
          <w:sz w:val="24"/>
          <w:szCs w:val="24"/>
        </w:rPr>
        <w:t>。</w:t>
      </w:r>
    </w:p>
    <w:bookmarkEnd w:id="591"/>
    <w:bookmarkEnd w:id="592"/>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15.4保修</w:t>
      </w:r>
    </w:p>
    <w:bookmarkEnd w:id="593"/>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15.4.1 保修责任</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工程保修期为：</w:t>
      </w:r>
      <w:r>
        <w:rPr>
          <w:rFonts w:hint="eastAsia" w:ascii="宋体" w:hAnsi="宋体" w:eastAsia="宋体" w:cs="宋体"/>
          <w:bCs/>
          <w:kern w:val="44"/>
          <w:sz w:val="24"/>
          <w:szCs w:val="24"/>
          <w:u w:val="single"/>
        </w:rPr>
        <w:t xml:space="preserve">      执行《建设工程质量管理条例》规定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15.4.3 修复通知</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承包人收到保修通知并到达工程现场的合理时间：</w:t>
      </w:r>
      <w:r>
        <w:rPr>
          <w:rFonts w:hint="eastAsia" w:ascii="宋体" w:hAnsi="宋体" w:eastAsia="宋体" w:cs="宋体"/>
          <w:bCs/>
          <w:kern w:val="44"/>
          <w:sz w:val="24"/>
          <w:szCs w:val="24"/>
          <w:u w:val="single"/>
        </w:rPr>
        <w:t xml:space="preserve">  24小时以内  </w:t>
      </w:r>
      <w:r>
        <w:rPr>
          <w:rFonts w:hint="eastAsia" w:ascii="宋体" w:hAnsi="宋体" w:eastAsia="宋体" w:cs="宋体"/>
          <w:bCs/>
          <w:kern w:val="44"/>
          <w:sz w:val="24"/>
          <w:szCs w:val="24"/>
        </w:rPr>
        <w:t>。</w:t>
      </w:r>
    </w:p>
    <w:bookmarkEnd w:id="594"/>
    <w:bookmarkEnd w:id="595"/>
    <w:bookmarkEnd w:id="596"/>
    <w:bookmarkEnd w:id="597"/>
    <w:p>
      <w:pPr>
        <w:spacing w:line="360" w:lineRule="auto"/>
        <w:jc w:val="left"/>
        <w:outlineLvl w:val="1"/>
        <w:rPr>
          <w:rFonts w:hint="eastAsia" w:ascii="宋体" w:hAnsi="宋体" w:eastAsia="宋体" w:cs="宋体"/>
          <w:b/>
          <w:bCs w:val="0"/>
          <w:kern w:val="44"/>
          <w:sz w:val="24"/>
          <w:szCs w:val="24"/>
        </w:rPr>
      </w:pPr>
      <w:bookmarkStart w:id="631" w:name="_Toc3655_WPSOffice_Level2"/>
      <w:bookmarkStart w:id="632" w:name="_Toc10892"/>
      <w:bookmarkStart w:id="633" w:name="_Toc351203648"/>
      <w:bookmarkStart w:id="634" w:name="_Toc280868717"/>
      <w:bookmarkStart w:id="635" w:name="_Toc280868718"/>
      <w:r>
        <w:rPr>
          <w:rFonts w:hint="eastAsia" w:ascii="宋体" w:hAnsi="宋体" w:eastAsia="宋体" w:cs="宋体"/>
          <w:b/>
          <w:bCs w:val="0"/>
          <w:kern w:val="44"/>
          <w:sz w:val="24"/>
          <w:szCs w:val="24"/>
        </w:rPr>
        <w:t>16. 违约</w:t>
      </w:r>
      <w:bookmarkEnd w:id="631"/>
      <w:bookmarkEnd w:id="632"/>
      <w:bookmarkEnd w:id="633"/>
    </w:p>
    <w:p>
      <w:pPr>
        <w:spacing w:line="360" w:lineRule="auto"/>
        <w:jc w:val="left"/>
        <w:rPr>
          <w:rFonts w:hint="eastAsia" w:ascii="宋体" w:hAnsi="宋体" w:eastAsia="宋体" w:cs="宋体"/>
          <w:bCs/>
          <w:kern w:val="44"/>
          <w:sz w:val="24"/>
          <w:szCs w:val="24"/>
        </w:rPr>
      </w:pPr>
      <w:bookmarkStart w:id="636" w:name="_Toc30836"/>
      <w:bookmarkStart w:id="637" w:name="_Toc29645"/>
      <w:bookmarkStart w:id="638" w:name="_Toc5747"/>
      <w:r>
        <w:rPr>
          <w:rFonts w:hint="eastAsia" w:ascii="宋体" w:hAnsi="宋体" w:eastAsia="宋体" w:cs="宋体"/>
          <w:bCs/>
          <w:kern w:val="44"/>
          <w:sz w:val="24"/>
          <w:szCs w:val="24"/>
        </w:rPr>
        <w:t>16.1 发包人违约</w:t>
      </w:r>
      <w:bookmarkEnd w:id="636"/>
      <w:bookmarkEnd w:id="637"/>
      <w:bookmarkEnd w:id="638"/>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16.1.1发包人违约的情形</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发包人违约的其他情形：</w:t>
      </w:r>
      <w:r>
        <w:rPr>
          <w:rFonts w:hint="eastAsia" w:ascii="宋体" w:hAnsi="宋体" w:eastAsia="宋体" w:cs="宋体"/>
          <w:bCs/>
          <w:kern w:val="44"/>
          <w:sz w:val="24"/>
          <w:szCs w:val="24"/>
          <w:u w:val="single"/>
        </w:rPr>
        <w:t xml:space="preserve">  执行通用条款</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16.1.2 发包人违约的责任</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发包人违约责任的承担方式和计算方法：</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（1）因发包人原因未能在计划开工日期前7天内下达开工通知的违约责任：</w:t>
      </w:r>
      <w:r>
        <w:rPr>
          <w:rFonts w:hint="eastAsia" w:ascii="宋体" w:hAnsi="宋体" w:eastAsia="宋体" w:cs="宋体"/>
          <w:bCs/>
          <w:kern w:val="44"/>
          <w:sz w:val="24"/>
          <w:szCs w:val="24"/>
          <w:u w:val="single"/>
        </w:rPr>
        <w:t xml:space="preserve">执行通用合同条款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（2）因发包人原因未能按合同约定支付合同价款的违约责任：</w:t>
      </w:r>
      <w:r>
        <w:rPr>
          <w:rFonts w:hint="eastAsia" w:ascii="宋体" w:hAnsi="宋体" w:eastAsia="宋体" w:cs="宋体"/>
          <w:bCs/>
          <w:kern w:val="44"/>
          <w:sz w:val="24"/>
          <w:szCs w:val="24"/>
          <w:u w:val="single"/>
        </w:rPr>
        <w:t xml:space="preserve"> 执行通用合同条款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（3）发包人违反第10.1款〔变更的范围〕第（2）项约定，自行实施被取消的工作或转由他人实施的违约责任：</w:t>
      </w:r>
      <w:r>
        <w:rPr>
          <w:rFonts w:hint="eastAsia" w:ascii="宋体" w:hAnsi="宋体" w:eastAsia="宋体" w:cs="宋体"/>
          <w:bCs/>
          <w:kern w:val="44"/>
          <w:sz w:val="24"/>
          <w:szCs w:val="24"/>
          <w:u w:val="single"/>
        </w:rPr>
        <w:t xml:space="preserve">  执行通用合同条款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（4）发包人提供的材料、工程设备的规格、数量或质量不符合合同约定，或因发包人原因导致交货日期延误或交货地点变更等情况的违约责任：</w:t>
      </w:r>
      <w:r>
        <w:rPr>
          <w:rFonts w:hint="eastAsia" w:ascii="宋体" w:hAnsi="宋体" w:eastAsia="宋体" w:cs="宋体"/>
          <w:bCs/>
          <w:kern w:val="44"/>
          <w:sz w:val="24"/>
          <w:szCs w:val="24"/>
          <w:u w:val="single"/>
        </w:rPr>
        <w:t xml:space="preserve">  执行通用合同条款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（5）因发包人违反合同约定造成暂停施工的违约责任：</w:t>
      </w:r>
      <w:r>
        <w:rPr>
          <w:rFonts w:hint="eastAsia" w:ascii="宋体" w:hAnsi="宋体" w:eastAsia="宋体" w:cs="宋体"/>
          <w:bCs/>
          <w:kern w:val="44"/>
          <w:sz w:val="24"/>
          <w:szCs w:val="24"/>
          <w:u w:val="single"/>
        </w:rPr>
        <w:t xml:space="preserve">执行通用合同条款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（6）发包人无正当理由没有在约定期限内发出复工指示，导致承包人无法复工的违约责任：</w:t>
      </w:r>
      <w:r>
        <w:rPr>
          <w:rFonts w:hint="eastAsia" w:ascii="宋体" w:hAnsi="宋体" w:eastAsia="宋体" w:cs="宋体"/>
          <w:bCs/>
          <w:kern w:val="44"/>
          <w:sz w:val="24"/>
          <w:szCs w:val="24"/>
          <w:u w:val="single"/>
        </w:rPr>
        <w:t xml:space="preserve">  执行通用合同条款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（7）其他：</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16.1.3 因发包人违约解除合同</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承包人按16.1.1项〔发包人违约的情形〕约定暂停施工满</w:t>
      </w:r>
      <w:r>
        <w:rPr>
          <w:rFonts w:hint="eastAsia" w:ascii="宋体" w:hAnsi="宋体" w:eastAsia="宋体" w:cs="宋体"/>
          <w:bCs/>
          <w:kern w:val="44"/>
          <w:sz w:val="24"/>
          <w:szCs w:val="24"/>
          <w:u w:val="single"/>
        </w:rPr>
        <w:t xml:space="preserve"> 30 </w:t>
      </w:r>
      <w:r>
        <w:rPr>
          <w:rFonts w:hint="eastAsia" w:ascii="宋体" w:hAnsi="宋体" w:eastAsia="宋体" w:cs="宋体"/>
          <w:bCs/>
          <w:kern w:val="44"/>
          <w:sz w:val="24"/>
          <w:szCs w:val="24"/>
        </w:rPr>
        <w:t>天后发包人仍不纠正其违约行为并致使合同目的不能实现的，承包人有权解除合同。</w:t>
      </w:r>
    </w:p>
    <w:p>
      <w:pPr>
        <w:spacing w:line="360" w:lineRule="auto"/>
        <w:jc w:val="left"/>
        <w:rPr>
          <w:rFonts w:hint="eastAsia" w:ascii="宋体" w:hAnsi="宋体" w:eastAsia="宋体" w:cs="宋体"/>
          <w:bCs/>
          <w:kern w:val="44"/>
          <w:sz w:val="24"/>
          <w:szCs w:val="24"/>
        </w:rPr>
      </w:pPr>
      <w:bookmarkStart w:id="639" w:name="_Toc23636"/>
      <w:bookmarkStart w:id="640" w:name="_Toc22963"/>
      <w:bookmarkStart w:id="641" w:name="_Toc10157"/>
      <w:r>
        <w:rPr>
          <w:rFonts w:hint="eastAsia" w:ascii="宋体" w:hAnsi="宋体" w:eastAsia="宋体" w:cs="宋体"/>
          <w:bCs/>
          <w:kern w:val="44"/>
          <w:sz w:val="24"/>
          <w:szCs w:val="24"/>
        </w:rPr>
        <w:t>16.2 承包人违约</w:t>
      </w:r>
      <w:bookmarkEnd w:id="639"/>
      <w:bookmarkEnd w:id="640"/>
      <w:bookmarkEnd w:id="641"/>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16.2.1 承包人违约的情形</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承包人违约的其他情形：</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（1）在施工过程中杜绝人身重大伤亡及以上重大事故发生。不能完成该安全监控目标，每发生一人次人身伤亡事故，发包人将在支付款中扣除承包人的违约金10万元。</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招标文件中其他有关约定或承包人投标文件中承诺的违约责任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因政策原因或不可抗力因素需停工的，需经发包人签章认可，其余未经发包人认可的停工视为承包人违约。</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16.2.2承包人违约的责任</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承包人违约责任的承担方式和计算方法： （1）因承包人原因延期开工、完工（包括未按时移交验收合格工程及撤离施工现场）或者未完成施工组织计划节点、中途停工的，每延期或停工一日按5000元/天赔偿，如竣工时间超过合同期限15天以上，发包人有权解除合同，承包人除按本工程合同价的5%支付违约金外，还应赔偿因其违约给发包人造成的损失。</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因承包人原因工程质量达不到合同约定标准，承包人按合同总价的5%向发包人支付违约金的同时，承包人必须保证整改后工程达到合格标准并承担所有发生的费用，出现质量问题所造成的一切经济损失由承包人承担，且不免除承包人因此造成工期逾期的违约责任。承包人返工后应由发包人进行复检。复检仍不合格或者无法修复的，或者即使通过发包人及监理人复检合格，仍不能达到或实现合同约定质量目标的造成的损失由承包人自行承担。</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 xml:space="preserve">承包人必须使用自己熟练的施工队伍进行施工（发包人仍认为是内部劳务分包），不得以任何形式转包或者非法分包给其他单位。如承包人出现上述情况（转包或者非法分包），承包人应承担合同总价20％的违约金。造成发包人损失的，承包人应据实赔偿。同时发包人有权解除合同 。 </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16.2.3 因承包人违约解除合同</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rPr>
        <w:t>关于承包人违约解除合同的特别约定：</w:t>
      </w:r>
      <w:r>
        <w:rPr>
          <w:rFonts w:hint="eastAsia" w:ascii="宋体" w:hAnsi="宋体" w:eastAsia="宋体" w:cs="宋体"/>
          <w:bCs/>
          <w:kern w:val="44"/>
          <w:sz w:val="24"/>
          <w:szCs w:val="24"/>
          <w:u w:val="single"/>
        </w:rPr>
        <w:t xml:space="preserve"> 1、有下列情况之一者，发包人有权停止拨款，并可选择解除合同：（1）因承包人原因造成重大事故，且无能力继续履约；（2）承包人与第三方发生债务诉讼，致使法院或银行通过法律程序要冻结或划拨发包人应付的工程款；（3）承包人所报的项目经理、副经理、各工种工长、项目工程师未能按约定上岗时；（4）承包人挪用工程款，致使工程进度迟缓，大幅度延缓工期。（5）未经发包人认可，承包人擅自停工累计超过30天。</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outlineLvl w:val="1"/>
        <w:rPr>
          <w:rFonts w:hint="eastAsia" w:ascii="宋体" w:hAnsi="宋体" w:eastAsia="宋体" w:cs="宋体"/>
          <w:b/>
          <w:bCs w:val="0"/>
          <w:kern w:val="44"/>
          <w:sz w:val="24"/>
          <w:szCs w:val="24"/>
        </w:rPr>
      </w:pPr>
      <w:bookmarkStart w:id="642" w:name="_Toc5443"/>
      <w:bookmarkStart w:id="643" w:name="_Toc351203649"/>
      <w:bookmarkStart w:id="644" w:name="_Toc25481_WPSOffice_Level2"/>
      <w:r>
        <w:rPr>
          <w:rFonts w:hint="eastAsia" w:ascii="宋体" w:hAnsi="宋体" w:eastAsia="宋体" w:cs="宋体"/>
          <w:b/>
          <w:bCs w:val="0"/>
          <w:kern w:val="44"/>
          <w:sz w:val="24"/>
          <w:szCs w:val="24"/>
        </w:rPr>
        <w:t>17. 不可抗力</w:t>
      </w:r>
      <w:bookmarkEnd w:id="642"/>
      <w:bookmarkEnd w:id="643"/>
      <w:bookmarkEnd w:id="644"/>
      <w:r>
        <w:rPr>
          <w:rFonts w:hint="eastAsia" w:ascii="宋体" w:hAnsi="宋体" w:eastAsia="宋体" w:cs="宋体"/>
          <w:b/>
          <w:bCs w:val="0"/>
          <w:kern w:val="44"/>
          <w:sz w:val="24"/>
          <w:szCs w:val="24"/>
        </w:rPr>
        <w:t xml:space="preserve"> </w:t>
      </w:r>
      <w:bookmarkEnd w:id="634"/>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17.1 不可抗力的确认</w:t>
      </w:r>
    </w:p>
    <w:p>
      <w:pPr>
        <w:spacing w:line="360" w:lineRule="auto"/>
        <w:ind w:firstLine="480" w:firstLineChars="200"/>
        <w:jc w:val="left"/>
        <w:rPr>
          <w:rFonts w:hint="eastAsia" w:ascii="宋体" w:hAnsi="宋体" w:eastAsia="宋体" w:cs="宋体"/>
          <w:bCs/>
          <w:kern w:val="44"/>
          <w:sz w:val="24"/>
          <w:szCs w:val="24"/>
        </w:rPr>
      </w:pPr>
      <w:r>
        <w:rPr>
          <w:rFonts w:hint="eastAsia" w:ascii="宋体" w:hAnsi="宋体" w:eastAsia="宋体" w:cs="宋体"/>
          <w:bCs/>
          <w:kern w:val="44"/>
          <w:sz w:val="24"/>
          <w:szCs w:val="24"/>
        </w:rPr>
        <w:t>除通用合同条款约定的不可抗力事件之外，视为不可抗力的其他情形：</w:t>
      </w:r>
      <w:r>
        <w:rPr>
          <w:rFonts w:hint="eastAsia" w:ascii="宋体" w:hAnsi="宋体" w:eastAsia="宋体" w:cs="宋体"/>
          <w:bCs/>
          <w:kern w:val="44"/>
          <w:sz w:val="24"/>
          <w:szCs w:val="24"/>
          <w:u w:val="single"/>
        </w:rPr>
        <w:t xml:space="preserve">  除通用合同条款约定的不可抗力事件之外，视为不可抗力的其他情形：因政策因素、战争、动乱、空中飞行物坠落；非双方责任造成的爆炸、火灾、六级（含六级）以上大风、四级（含四级）以上地震、大雨、大雪等造成工程停工，经发包人确认后，可顺延工期，双方不进行费用索赔</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645" w:name="_Toc25085"/>
      <w:bookmarkStart w:id="646" w:name="_Toc10990"/>
      <w:bookmarkStart w:id="647" w:name="_Toc29565"/>
      <w:r>
        <w:rPr>
          <w:rFonts w:hint="eastAsia" w:ascii="宋体" w:hAnsi="宋体" w:eastAsia="宋体" w:cs="宋体"/>
          <w:bCs/>
          <w:kern w:val="44"/>
          <w:sz w:val="24"/>
          <w:szCs w:val="24"/>
        </w:rPr>
        <w:t>17.4 因不可抗力解除合同</w:t>
      </w:r>
      <w:bookmarkEnd w:id="645"/>
      <w:bookmarkEnd w:id="646"/>
      <w:bookmarkEnd w:id="647"/>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合同解除后，发包人应在商定或确定发包人应支付款项后 28 天内完成款项的支付。</w:t>
      </w:r>
    </w:p>
    <w:p>
      <w:pPr>
        <w:spacing w:line="360" w:lineRule="auto"/>
        <w:jc w:val="left"/>
        <w:outlineLvl w:val="1"/>
        <w:rPr>
          <w:rFonts w:hint="eastAsia" w:ascii="宋体" w:hAnsi="宋体" w:eastAsia="宋体" w:cs="宋体"/>
          <w:b/>
          <w:bCs w:val="0"/>
          <w:kern w:val="44"/>
          <w:sz w:val="24"/>
          <w:szCs w:val="24"/>
        </w:rPr>
      </w:pPr>
      <w:bookmarkStart w:id="648" w:name="_Toc18639_WPSOffice_Level2"/>
      <w:bookmarkStart w:id="649" w:name="_Toc17092"/>
      <w:bookmarkStart w:id="650" w:name="_Toc351203650"/>
      <w:r>
        <w:rPr>
          <w:rFonts w:hint="eastAsia" w:ascii="宋体" w:hAnsi="宋体" w:eastAsia="宋体" w:cs="宋体"/>
          <w:b/>
          <w:bCs w:val="0"/>
          <w:kern w:val="44"/>
          <w:sz w:val="24"/>
          <w:szCs w:val="24"/>
        </w:rPr>
        <w:t>18. 保险</w:t>
      </w:r>
      <w:bookmarkEnd w:id="648"/>
      <w:bookmarkEnd w:id="649"/>
      <w:bookmarkEnd w:id="650"/>
    </w:p>
    <w:bookmarkEnd w:id="635"/>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18.1 工程保险</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关于工程保险的特别约定：</w:t>
      </w:r>
      <w:r>
        <w:rPr>
          <w:rFonts w:hint="eastAsia" w:ascii="宋体" w:hAnsi="宋体" w:eastAsia="宋体" w:cs="宋体"/>
          <w:bCs/>
          <w:kern w:val="44"/>
          <w:sz w:val="24"/>
          <w:szCs w:val="24"/>
          <w:u w:val="single"/>
        </w:rPr>
        <w:t xml:space="preserve"> ⑴运至施工场地内用于工程的材料和待安装设备，由承包人办理保险，并支付保险费用</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u w:val="single"/>
        </w:rPr>
      </w:pPr>
      <w:r>
        <w:rPr>
          <w:rFonts w:hint="eastAsia" w:ascii="宋体" w:hAnsi="宋体" w:eastAsia="宋体" w:cs="宋体"/>
          <w:bCs/>
          <w:kern w:val="44"/>
          <w:sz w:val="24"/>
          <w:szCs w:val="24"/>
          <w:u w:val="single"/>
        </w:rPr>
        <w:t>⑵承包人必须为从事危险作业的职工办理意外伤害保险，并为施工场地内自有人员生命财产和施工机械设备办理保险和第三方责任险，支付保险费用。</w:t>
      </w:r>
    </w:p>
    <w:p>
      <w:pPr>
        <w:spacing w:line="360" w:lineRule="auto"/>
        <w:jc w:val="left"/>
        <w:rPr>
          <w:rFonts w:hint="eastAsia" w:ascii="宋体" w:hAnsi="宋体" w:eastAsia="宋体" w:cs="宋体"/>
          <w:bCs/>
          <w:kern w:val="44"/>
          <w:sz w:val="24"/>
          <w:szCs w:val="24"/>
        </w:rPr>
      </w:pPr>
      <w:bookmarkStart w:id="651" w:name="_Toc11453"/>
      <w:bookmarkStart w:id="652" w:name="_Toc243"/>
      <w:bookmarkStart w:id="653" w:name="_Toc22153"/>
      <w:r>
        <w:rPr>
          <w:rFonts w:hint="eastAsia" w:ascii="宋体" w:hAnsi="宋体" w:eastAsia="宋体" w:cs="宋体"/>
          <w:bCs/>
          <w:kern w:val="44"/>
          <w:sz w:val="24"/>
          <w:szCs w:val="24"/>
        </w:rPr>
        <w:t>18.3 其他保险</w:t>
      </w:r>
      <w:bookmarkEnd w:id="651"/>
      <w:bookmarkEnd w:id="652"/>
      <w:bookmarkEnd w:id="653"/>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关于其他保险的约定：</w:t>
      </w:r>
      <w:r>
        <w:rPr>
          <w:rFonts w:hint="eastAsia" w:ascii="宋体" w:hAnsi="宋体" w:eastAsia="宋体" w:cs="宋体"/>
          <w:bCs/>
          <w:kern w:val="44"/>
          <w:sz w:val="24"/>
          <w:szCs w:val="24"/>
          <w:u w:val="single"/>
        </w:rPr>
        <w:t xml:space="preserve">  承包人承担自身相关保险费用和责任</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承包人是否应为其施工设备等办理财产保险：</w:t>
      </w:r>
      <w:r>
        <w:rPr>
          <w:rFonts w:hint="eastAsia" w:ascii="宋体" w:hAnsi="宋体" w:eastAsia="宋体" w:cs="宋体"/>
          <w:bCs/>
          <w:kern w:val="44"/>
          <w:sz w:val="24"/>
          <w:szCs w:val="24"/>
          <w:u w:val="single"/>
        </w:rPr>
        <w:t>应当办理</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18.7 通知义务</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关于变更保险合同时的通知义务的约定：</w:t>
      </w:r>
      <w:r>
        <w:rPr>
          <w:rFonts w:hint="eastAsia" w:ascii="宋体" w:hAnsi="宋体" w:eastAsia="宋体" w:cs="宋体"/>
          <w:bCs/>
          <w:kern w:val="44"/>
          <w:sz w:val="24"/>
          <w:szCs w:val="24"/>
          <w:u w:val="single"/>
        </w:rPr>
        <w:t>执行通用条款</w:t>
      </w:r>
      <w:r>
        <w:rPr>
          <w:rFonts w:hint="eastAsia" w:ascii="宋体" w:hAnsi="宋体" w:eastAsia="宋体" w:cs="宋体"/>
          <w:bCs/>
          <w:kern w:val="44"/>
          <w:sz w:val="24"/>
          <w:szCs w:val="24"/>
        </w:rPr>
        <w:t>。</w:t>
      </w:r>
    </w:p>
    <w:bookmarkEnd w:id="598"/>
    <w:bookmarkEnd w:id="599"/>
    <w:bookmarkEnd w:id="600"/>
    <w:bookmarkEnd w:id="601"/>
    <w:bookmarkEnd w:id="602"/>
    <w:bookmarkEnd w:id="603"/>
    <w:bookmarkEnd w:id="604"/>
    <w:bookmarkEnd w:id="605"/>
    <w:bookmarkEnd w:id="606"/>
    <w:bookmarkEnd w:id="607"/>
    <w:bookmarkEnd w:id="608"/>
    <w:bookmarkEnd w:id="609"/>
    <w:p>
      <w:pPr>
        <w:spacing w:line="360" w:lineRule="auto"/>
        <w:jc w:val="left"/>
        <w:outlineLvl w:val="1"/>
        <w:rPr>
          <w:rFonts w:hint="eastAsia" w:ascii="宋体" w:hAnsi="宋体" w:eastAsia="宋体" w:cs="宋体"/>
          <w:b/>
          <w:bCs w:val="0"/>
          <w:kern w:val="44"/>
          <w:sz w:val="24"/>
          <w:szCs w:val="24"/>
        </w:rPr>
      </w:pPr>
      <w:bookmarkStart w:id="654" w:name="_Toc351203651"/>
      <w:bookmarkStart w:id="655" w:name="_Toc21118"/>
      <w:r>
        <w:rPr>
          <w:rFonts w:hint="eastAsia" w:ascii="宋体" w:hAnsi="宋体" w:eastAsia="宋体" w:cs="宋体"/>
          <w:b/>
          <w:bCs w:val="0"/>
          <w:kern w:val="44"/>
          <w:sz w:val="24"/>
          <w:szCs w:val="24"/>
        </w:rPr>
        <w:t>20. 争议解决</w:t>
      </w:r>
      <w:bookmarkEnd w:id="654"/>
      <w:bookmarkEnd w:id="655"/>
    </w:p>
    <w:bookmarkEnd w:id="610"/>
    <w:bookmarkEnd w:id="611"/>
    <w:p>
      <w:pPr>
        <w:spacing w:line="360" w:lineRule="auto"/>
        <w:jc w:val="left"/>
        <w:rPr>
          <w:rFonts w:hint="eastAsia" w:ascii="宋体" w:hAnsi="宋体" w:eastAsia="宋体" w:cs="宋体"/>
          <w:bCs/>
          <w:kern w:val="44"/>
          <w:sz w:val="24"/>
          <w:szCs w:val="24"/>
        </w:rPr>
      </w:pPr>
      <w:bookmarkStart w:id="656" w:name="_Toc25873"/>
      <w:bookmarkStart w:id="657" w:name="_Toc28564"/>
      <w:bookmarkStart w:id="658" w:name="_Toc2862"/>
      <w:r>
        <w:rPr>
          <w:rFonts w:hint="eastAsia" w:ascii="宋体" w:hAnsi="宋体" w:eastAsia="宋体" w:cs="宋体"/>
          <w:bCs/>
          <w:kern w:val="44"/>
          <w:sz w:val="24"/>
          <w:szCs w:val="24"/>
        </w:rPr>
        <w:t>20.3 争</w:t>
      </w:r>
      <w:bookmarkEnd w:id="612"/>
      <w:r>
        <w:rPr>
          <w:rFonts w:hint="eastAsia" w:ascii="宋体" w:hAnsi="宋体" w:eastAsia="宋体" w:cs="宋体"/>
          <w:bCs/>
          <w:kern w:val="44"/>
          <w:sz w:val="24"/>
          <w:szCs w:val="24"/>
        </w:rPr>
        <w:t>议评审</w:t>
      </w:r>
      <w:bookmarkEnd w:id="656"/>
      <w:bookmarkEnd w:id="657"/>
      <w:bookmarkEnd w:id="658"/>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合同当事人是否同意将工程争议提交争议评审小组决定：</w:t>
      </w:r>
      <w:r>
        <w:rPr>
          <w:rFonts w:hint="eastAsia" w:ascii="宋体" w:hAnsi="宋体" w:eastAsia="宋体" w:cs="宋体"/>
          <w:bCs/>
          <w:kern w:val="44"/>
          <w:sz w:val="24"/>
          <w:szCs w:val="24"/>
          <w:u w:val="single"/>
        </w:rPr>
        <w:t>/</w:t>
      </w:r>
      <w:r>
        <w:rPr>
          <w:rFonts w:hint="eastAsia" w:ascii="宋体" w:hAnsi="宋体" w:eastAsia="宋体" w:cs="宋体"/>
          <w:bCs/>
          <w:kern w:val="44"/>
          <w:sz w:val="24"/>
          <w:szCs w:val="24"/>
        </w:rPr>
        <w:t xml:space="preserve">。  </w:t>
      </w:r>
    </w:p>
    <w:p>
      <w:pPr>
        <w:spacing w:line="360" w:lineRule="auto"/>
        <w:jc w:val="left"/>
        <w:rPr>
          <w:rFonts w:hint="eastAsia" w:ascii="宋体" w:hAnsi="宋体" w:eastAsia="宋体" w:cs="宋体"/>
          <w:bCs/>
          <w:kern w:val="44"/>
          <w:sz w:val="24"/>
          <w:szCs w:val="24"/>
        </w:rPr>
      </w:pPr>
      <w:bookmarkStart w:id="659" w:name="_Toc4695"/>
      <w:bookmarkStart w:id="660" w:name="_Toc5117"/>
      <w:bookmarkStart w:id="661" w:name="_Toc12578"/>
      <w:r>
        <w:rPr>
          <w:rFonts w:hint="eastAsia" w:ascii="宋体" w:hAnsi="宋体" w:eastAsia="宋体" w:cs="宋体"/>
          <w:bCs/>
          <w:kern w:val="44"/>
          <w:sz w:val="24"/>
          <w:szCs w:val="24"/>
        </w:rPr>
        <w:t>20.3.1 争议评审小组的确定</w:t>
      </w:r>
      <w:bookmarkEnd w:id="659"/>
      <w:bookmarkEnd w:id="660"/>
      <w:bookmarkEnd w:id="661"/>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争议评审小组成员的确定：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选定争议评审员的期限：</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争议评审小组成员的报酬承担方式：</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其他事项的约定：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662" w:name="_Toc30187"/>
      <w:bookmarkStart w:id="663" w:name="_Toc14785"/>
      <w:bookmarkStart w:id="664" w:name="_Toc8928"/>
      <w:r>
        <w:rPr>
          <w:rFonts w:hint="eastAsia" w:ascii="宋体" w:hAnsi="宋体" w:eastAsia="宋体" w:cs="宋体"/>
          <w:bCs/>
          <w:kern w:val="44"/>
          <w:sz w:val="24"/>
          <w:szCs w:val="24"/>
        </w:rPr>
        <w:t>20.3.2 争议评审小组的决定</w:t>
      </w:r>
      <w:bookmarkEnd w:id="662"/>
      <w:bookmarkEnd w:id="663"/>
      <w:bookmarkEnd w:id="664"/>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合同当事人关于本项的约定：</w:t>
      </w:r>
      <w:r>
        <w:rPr>
          <w:rFonts w:hint="eastAsia" w:ascii="宋体" w:hAnsi="宋体" w:eastAsia="宋体" w:cs="宋体"/>
          <w:bCs/>
          <w:kern w:val="44"/>
          <w:sz w:val="24"/>
          <w:szCs w:val="24"/>
          <w:u w:val="single"/>
        </w:rPr>
        <w:t xml:space="preserve">    /    </w:t>
      </w:r>
      <w:r>
        <w:rPr>
          <w:rFonts w:hint="eastAsia" w:ascii="宋体" w:hAnsi="宋体" w:eastAsia="宋体" w:cs="宋体"/>
          <w:bCs/>
          <w:kern w:val="44"/>
          <w:sz w:val="24"/>
          <w:szCs w:val="24"/>
        </w:rPr>
        <w:t>。</w:t>
      </w:r>
    </w:p>
    <w:p>
      <w:pPr>
        <w:spacing w:line="360" w:lineRule="auto"/>
        <w:jc w:val="left"/>
        <w:rPr>
          <w:rFonts w:hint="eastAsia" w:ascii="宋体" w:hAnsi="宋体" w:eastAsia="宋体" w:cs="宋体"/>
          <w:bCs/>
          <w:kern w:val="44"/>
          <w:sz w:val="24"/>
          <w:szCs w:val="24"/>
        </w:rPr>
      </w:pPr>
      <w:bookmarkStart w:id="665" w:name="_Toc21764"/>
      <w:bookmarkStart w:id="666" w:name="_Toc24788"/>
      <w:bookmarkStart w:id="667" w:name="_Toc16772"/>
      <w:r>
        <w:rPr>
          <w:rFonts w:hint="eastAsia" w:ascii="宋体" w:hAnsi="宋体" w:eastAsia="宋体" w:cs="宋体"/>
          <w:bCs/>
          <w:kern w:val="44"/>
          <w:sz w:val="24"/>
          <w:szCs w:val="24"/>
        </w:rPr>
        <w:t>20.4仲裁或诉讼</w:t>
      </w:r>
      <w:bookmarkEnd w:id="613"/>
      <w:bookmarkEnd w:id="665"/>
      <w:bookmarkEnd w:id="666"/>
      <w:bookmarkEnd w:id="667"/>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因合同及合同有关事项发生的争议，按下列第</w:t>
      </w:r>
      <w:r>
        <w:rPr>
          <w:rFonts w:hint="eastAsia" w:ascii="宋体" w:hAnsi="宋体" w:eastAsia="宋体" w:cs="宋体"/>
          <w:bCs/>
          <w:kern w:val="44"/>
          <w:sz w:val="24"/>
          <w:szCs w:val="24"/>
          <w:u w:val="single"/>
        </w:rPr>
        <w:t xml:space="preserve"> （2） </w:t>
      </w:r>
      <w:r>
        <w:rPr>
          <w:rFonts w:hint="eastAsia" w:ascii="宋体" w:hAnsi="宋体" w:eastAsia="宋体" w:cs="宋体"/>
          <w:bCs/>
          <w:kern w:val="44"/>
          <w:sz w:val="24"/>
          <w:szCs w:val="24"/>
        </w:rPr>
        <w:t>种方式解决：</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（1）向</w:t>
      </w:r>
      <w:r>
        <w:rPr>
          <w:rFonts w:hint="eastAsia" w:ascii="宋体" w:hAnsi="宋体" w:eastAsia="宋体" w:cs="宋体"/>
          <w:bCs/>
          <w:kern w:val="44"/>
          <w:sz w:val="24"/>
          <w:szCs w:val="24"/>
          <w:u w:val="single"/>
        </w:rPr>
        <w:t xml:space="preserve">  工程所在地 </w:t>
      </w:r>
      <w:r>
        <w:rPr>
          <w:rFonts w:hint="eastAsia" w:ascii="宋体" w:hAnsi="宋体" w:eastAsia="宋体" w:cs="宋体"/>
          <w:bCs/>
          <w:kern w:val="44"/>
          <w:sz w:val="24"/>
          <w:szCs w:val="24"/>
        </w:rPr>
        <w:t>仲裁委员会申请仲裁；</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 xml:space="preserve">（2）向 </w:t>
      </w:r>
      <w:r>
        <w:rPr>
          <w:rFonts w:hint="eastAsia" w:ascii="宋体" w:hAnsi="宋体" w:eastAsia="宋体" w:cs="宋体"/>
          <w:bCs/>
          <w:kern w:val="44"/>
          <w:sz w:val="24"/>
          <w:szCs w:val="24"/>
          <w:u w:val="single"/>
        </w:rPr>
        <w:t xml:space="preserve"> 工程所在地  </w:t>
      </w:r>
      <w:r>
        <w:rPr>
          <w:rFonts w:hint="eastAsia" w:ascii="宋体" w:hAnsi="宋体" w:eastAsia="宋体" w:cs="宋体"/>
          <w:bCs/>
          <w:kern w:val="44"/>
          <w:sz w:val="24"/>
          <w:szCs w:val="24"/>
        </w:rPr>
        <w:t>人民法院起诉。</w:t>
      </w:r>
      <w:bookmarkEnd w:id="614"/>
      <w:bookmarkEnd w:id="615"/>
      <w:bookmarkEnd w:id="616"/>
      <w:bookmarkEnd w:id="617"/>
      <w:bookmarkEnd w:id="618"/>
      <w:bookmarkEnd w:id="619"/>
    </w:p>
    <w:p>
      <w:pPr>
        <w:spacing w:line="360" w:lineRule="auto"/>
        <w:jc w:val="left"/>
        <w:outlineLvl w:val="1"/>
        <w:rPr>
          <w:rFonts w:hint="eastAsia" w:ascii="宋体" w:hAnsi="宋体" w:eastAsia="宋体" w:cs="宋体"/>
          <w:b/>
          <w:bCs w:val="0"/>
          <w:kern w:val="44"/>
          <w:sz w:val="24"/>
          <w:szCs w:val="24"/>
        </w:rPr>
      </w:pPr>
      <w:bookmarkStart w:id="668" w:name="_Toc30475"/>
      <w:r>
        <w:rPr>
          <w:rFonts w:hint="eastAsia" w:ascii="宋体" w:hAnsi="宋体" w:eastAsia="宋体" w:cs="宋体"/>
          <w:b/>
          <w:bCs w:val="0"/>
          <w:kern w:val="44"/>
          <w:sz w:val="24"/>
          <w:szCs w:val="24"/>
        </w:rPr>
        <w:t>21、补充条款</w:t>
      </w:r>
      <w:bookmarkEnd w:id="668"/>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（1）、本合同价款（中标价）包含承包人完成按双方合同约定的内容、办理相关主管部门的报验报建及验收手续以及与施工有关的、国家及省市规定的所有检（监）测、检（试）验等所需的全部费用。</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承包人未经发包人书面同意，承包人不得将所承包工程的任何部分进行分包。承包人不得将其承包的全部工程转包给他人，也不得将其承包的全部工程肢解以后以分包（或者内部分包）的名义转包给他人。否则，支付合同总价款20%的违约金，同时，发包人有权解除合同。</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（3）、如因承包人挪用已领取的工程款，导致拖欠农民工工资，给发包人造成不利影响的，承包人支付合同价款20%的违约金。</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（4）、承包人应对本工程施工制定出相应安全措施，还要对职工进行安全教育；凡因违反安全措施而造成的罚款、人身伤亡事故或伤害他人事故，均由承包人负责。发包人不承担连带责任。</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（5）、施工现场的卫生标准、噪声标准应满足国家有关规定，施工中因违反规定造成的损失和发生的费用由承包人负责。发包人不承担连带责任。</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（6）、如果承包人的工程进度被同一现场范围内施工工程的其他方延误，则发包人不接受对任何损失或费用的索赔要求。</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（7）、施工中水电费由承包人承担，计量标准按水电收费部门的实际收费（包括损耗及公摊）。</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8）、工程完工验收合格之日起5日内，承包人的施工队伍和施工机具等应全部撤场，并保持场地整洁，完成建筑垃圾外运，生活区和施工区的硬化场地凿除外运，做好工程交付前的成品保护工作，所需费用由承包人承担。否则超过规定日期每天支付违约金10000元。如发包人需要提前清除清运时，承包人须予以全力配合，不得索要额外费用。</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9）、承包人必须严格按照投标文件中承诺的项目管理人员配备情况安排人员上岗，否则由此带来的损失由承包人承担。承包人保证整个施工期间不调换项目经理，确保项目经理和其他全体管理人员常驻施工现场，项目经理、项目副经理、技术负责人及其它主要管理人员在工地工作时间每周不少于5天,否则视为承包人转包工程，应当向发包人支付合同总价款20%的违约金，同时，发包人还有权解除合同。</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10）、由承包人采购的主要材料或设备必须是大型骨干企业知名产品（中、高档次），购置前须得到发包人和监理人的认可。即使发包人及监理人对承包人采购的材料进行认可也不能免除承包人对该材料、设备免责义务，承包人购置的材料、设备在使用前须按规定检验，其规格、标准、质量须符合设计及有关规范的要求并能满足工程需要。发包人根据工程需要将保留自行采购的权利。如果承包人提出的主要材料及设备连续两次被发包人和监理人否决，发包人有权指定供货商，由此造成的一切经济损失由承包人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发包人有权在施工过程中随时进行材料的抽样和检验，如发现进场材料存在以次充好等不合格的现象，发包人有权责令承包人调换或无条件退款，并对承包人进行相应处罚。检验发生的检测费用由承包人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（12）、招标文件、投标文件做为本合同的一部分，合同中未明确的以招标文件、投标文件为准。</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（13）、如因非承包人原因造成工期延误的，应当在事件发生后3日内通过监理人向发包人提出工期顺延的申请，经发包人确认后可相应顺延工期，但发包人不因此给予补偿或赔偿，亦不增加任何费用。</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（14）、承包人应遵守发包人相关规章制度。</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（15）、承包人向发包人发送的通知、申请等，发包人未书面回复的，不得视为发包人同意。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（16）、承包人应严格控制工程质量，达到省级优质工程标准，并获得河南省建设工程“中州杯”奖，否则给予发包人优惠合同价的3%。</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（17）、因扬尘治理和环境保护等因素导致的额外费用由承包人自行承担。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（18）、工程结算审计时，如审减额超过7%时，超出7%部分产生的审计费用由承包人承担，审核效益费审计公司自审计结算数额中直接扣减。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（19）、施工过程中承包人与其他发生的一切纠纷，均由承包人自行承担。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（20）、本工程不允许资质挂靠，一经发现，发包人立即解除合同，承包人支付合同价款20%的违约金。</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21）、施工过程中，承包人应及时将建筑垃圾外运，建筑垃圾外运所产生的费用由承包人自行承担。若承包人在接发包人通知后仍不及时进行建筑垃圾外运的，无论承包人是否同意，经发包人及监理人双方签字确认后直接扣除承包人合同价的2%，由发包人另行委托外运。</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（22）、本工程不允许分包，若发现承包人违法分包，立即解除合同，分包过程中产生的一切纠纷均与发包人无关。</w:t>
      </w:r>
    </w:p>
    <w:p>
      <w:pPr>
        <w:spacing w:line="360" w:lineRule="auto"/>
        <w:jc w:val="left"/>
        <w:rPr>
          <w:rFonts w:hint="eastAsia" w:ascii="宋体" w:hAnsi="宋体" w:eastAsia="宋体" w:cs="宋体"/>
          <w:bCs/>
          <w:kern w:val="44"/>
          <w:sz w:val="24"/>
          <w:szCs w:val="24"/>
        </w:rPr>
      </w:pPr>
      <w:bookmarkStart w:id="669" w:name="_Toc351203587"/>
      <w:bookmarkStart w:id="670" w:name="_Toc337558805"/>
      <w:bookmarkStart w:id="671" w:name="_Toc296346611"/>
      <w:bookmarkStart w:id="672" w:name="_Toc296503110"/>
      <w:r>
        <w:rPr>
          <w:rFonts w:hint="eastAsia" w:ascii="宋体" w:hAnsi="宋体" w:eastAsia="宋体" w:cs="宋体"/>
          <w:bCs/>
          <w:kern w:val="44"/>
          <w:sz w:val="24"/>
          <w:szCs w:val="24"/>
        </w:rPr>
        <w:t>(四)  履约验收方案</w:t>
      </w:r>
    </w:p>
    <w:p>
      <w:pPr>
        <w:spacing w:line="360" w:lineRule="auto"/>
        <w:jc w:val="left"/>
        <w:outlineLvl w:val="1"/>
        <w:rPr>
          <w:rFonts w:hint="eastAsia" w:ascii="宋体" w:hAnsi="宋体" w:eastAsia="宋体" w:cs="宋体"/>
          <w:bCs/>
          <w:kern w:val="44"/>
          <w:sz w:val="24"/>
          <w:szCs w:val="24"/>
        </w:rPr>
      </w:pPr>
      <w:bookmarkStart w:id="673" w:name="_Toc30947"/>
      <w:r>
        <w:rPr>
          <w:rFonts w:hint="eastAsia" w:ascii="宋体" w:hAnsi="宋体" w:eastAsia="宋体" w:cs="宋体"/>
          <w:bCs/>
          <w:kern w:val="44"/>
          <w:sz w:val="24"/>
          <w:szCs w:val="24"/>
        </w:rPr>
        <w:t>1分部分项工程验收</w:t>
      </w:r>
      <w:bookmarkEnd w:id="669"/>
      <w:bookmarkEnd w:id="673"/>
    </w:p>
    <w:bookmarkEnd w:id="670"/>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1.1 分部分项工程质量应符合国家有关工程施工验收规范、标准及合同约定，承包人应按照施工组织设计的要求完成分部分项工程施工。</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分部分项工程的验收资料应当作为竣工资料的组成部分。</w:t>
      </w:r>
    </w:p>
    <w:p>
      <w:pPr>
        <w:spacing w:line="360" w:lineRule="auto"/>
        <w:jc w:val="left"/>
        <w:outlineLvl w:val="1"/>
        <w:rPr>
          <w:rFonts w:hint="eastAsia" w:ascii="宋体" w:hAnsi="宋体" w:eastAsia="宋体" w:cs="宋体"/>
          <w:bCs/>
          <w:kern w:val="44"/>
          <w:sz w:val="24"/>
          <w:szCs w:val="24"/>
        </w:rPr>
      </w:pPr>
      <w:bookmarkStart w:id="674" w:name="_Toc351203588"/>
      <w:bookmarkStart w:id="675" w:name="_Toc9421"/>
      <w:bookmarkStart w:id="676" w:name="_Toc337558806"/>
      <w:r>
        <w:rPr>
          <w:rFonts w:hint="eastAsia" w:ascii="宋体" w:hAnsi="宋体" w:eastAsia="宋体" w:cs="宋体"/>
          <w:bCs/>
          <w:kern w:val="44"/>
          <w:sz w:val="24"/>
          <w:szCs w:val="24"/>
        </w:rPr>
        <w:t>2竣工验收</w:t>
      </w:r>
      <w:bookmarkEnd w:id="674"/>
      <w:bookmarkEnd w:id="675"/>
    </w:p>
    <w:bookmarkEnd w:id="671"/>
    <w:bookmarkEnd w:id="672"/>
    <w:bookmarkEnd w:id="676"/>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2.1竣工验收条件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工程具备以下条件的，承包人可以申请竣工验收：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（1）除发包人同意的甩项工作和缺陷修补工作外，合同范围内的全部工程以及有关工作，包括合同要求的试验、试运行以及检验均已完成，并符合合同要求；</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（2）已按合同约定编制了甩项工作和缺陷修补工作清单以及相应的施工计划；</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（3）已按合同约定的内容和份数备齐竣工资料。</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2.2竣工验收程序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除专用合同条款另有约定外，承包人申请竣工验收的，应当按照以下程序进行：</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（3）竣工验收合格的，发包人应在验收合格后14天内向承包人签发工程接收证书。发包人无正当理由逾期不颁发工程接收证书的，自验收合格后第15天起视为已颁发工程接收证书。</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2.3竣工日期</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677" w:name="#go14"/>
      <w:bookmarkEnd w:id="677"/>
      <w:r>
        <w:rPr>
          <w:rFonts w:hint="eastAsia" w:ascii="宋体" w:hAnsi="宋体" w:eastAsia="宋体" w:cs="宋体"/>
          <w:bCs/>
          <w:kern w:val="44"/>
          <w:sz w:val="24"/>
          <w:szCs w:val="24"/>
        </w:rPr>
        <w:t>收申请报告的日期为实际竣工日期；工程未经竣工验收，发包人擅自使用的，以转移占有工程之日为实际竣工日期。</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2.4 拒绝接收全部或部分工程</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2.5 移交、接收全部与部分工程</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除专用合同条款另有约定外，合同当事人应当在颁发工程接收证书后7天内完成工程的移交。</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发包人无正当理由不接收工程的，发包人自应当接收工程之日起，承担工程照管、成品保护、保管等与工程有关的各项费用，合同当事人可以在专用合同条款中另行约定发包人逾期接收工程的违约责任。</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承包人无正当理由不移交工程的，承包人应承担工程照管、成品保护、保管等与工程有关的各项费用，合同当事人可以在专用合同条款中另行约定承包人无正当理由不移交工程的违约责任。</w:t>
      </w:r>
    </w:p>
    <w:p>
      <w:pPr>
        <w:spacing w:line="360" w:lineRule="auto"/>
        <w:jc w:val="left"/>
        <w:outlineLvl w:val="1"/>
        <w:rPr>
          <w:rFonts w:hint="eastAsia" w:ascii="宋体" w:hAnsi="宋体" w:eastAsia="宋体" w:cs="宋体"/>
          <w:bCs/>
          <w:kern w:val="44"/>
          <w:sz w:val="24"/>
          <w:szCs w:val="24"/>
        </w:rPr>
      </w:pPr>
      <w:bookmarkStart w:id="678" w:name="_Toc19690"/>
      <w:bookmarkStart w:id="679" w:name="_Toc351203589"/>
      <w:bookmarkStart w:id="680" w:name="_Toc296503111"/>
      <w:bookmarkStart w:id="681" w:name="_Toc296346612"/>
      <w:bookmarkStart w:id="682" w:name="_Toc337558807"/>
      <w:r>
        <w:rPr>
          <w:rFonts w:hint="eastAsia" w:ascii="宋体" w:hAnsi="宋体" w:eastAsia="宋体" w:cs="宋体"/>
          <w:bCs/>
          <w:kern w:val="44"/>
          <w:sz w:val="24"/>
          <w:szCs w:val="24"/>
        </w:rPr>
        <w:t>3工程试车</w:t>
      </w:r>
      <w:bookmarkEnd w:id="678"/>
      <w:bookmarkEnd w:id="679"/>
    </w:p>
    <w:bookmarkEnd w:id="680"/>
    <w:bookmarkEnd w:id="681"/>
    <w:bookmarkEnd w:id="682"/>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3.1试车程序</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工程需要试车的，除专用合同条款另有约定外，试车内容应与承包人承包范围相一致，试车费用由承包人承担。工程试车应按如下程序进行：</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3.2 试车中的责任</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3.3 投料试车</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如需进行投料试车的，发包人应在工程竣工验收后组织投料试车。发包人要求在工程竣工验收前进行或需要承包人配合时，应征得承包人同意，并在专用合同条款中约定有关事项。</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spacing w:line="360" w:lineRule="auto"/>
        <w:jc w:val="left"/>
        <w:outlineLvl w:val="1"/>
        <w:rPr>
          <w:rFonts w:hint="eastAsia" w:ascii="宋体" w:hAnsi="宋体" w:eastAsia="宋体" w:cs="宋体"/>
          <w:bCs/>
          <w:kern w:val="44"/>
          <w:sz w:val="24"/>
          <w:szCs w:val="24"/>
        </w:rPr>
      </w:pPr>
      <w:bookmarkStart w:id="683" w:name="_Toc351203590"/>
      <w:bookmarkStart w:id="684" w:name="_Toc20601"/>
      <w:bookmarkStart w:id="685" w:name="_Toc337558808"/>
      <w:r>
        <w:rPr>
          <w:rFonts w:hint="eastAsia" w:ascii="宋体" w:hAnsi="宋体" w:eastAsia="宋体" w:cs="宋体"/>
          <w:bCs/>
          <w:kern w:val="44"/>
          <w:sz w:val="24"/>
          <w:szCs w:val="24"/>
        </w:rPr>
        <w:t>4提前交付单位工程的验收</w:t>
      </w:r>
      <w:bookmarkEnd w:id="683"/>
      <w:bookmarkEnd w:id="684"/>
    </w:p>
    <w:bookmarkEnd w:id="685"/>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4.1 发包人需要在工程竣工前使用单位工程的，或承包人提出提前交付已经竣工的单位工程且经发包人同意的，可进行单位工程验收，验收的程序按照第13.2款〔竣工验收〕的约定进行。</w:t>
      </w:r>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jc w:val="left"/>
        <w:outlineLvl w:val="1"/>
        <w:rPr>
          <w:rFonts w:hint="eastAsia" w:ascii="宋体" w:hAnsi="宋体" w:eastAsia="宋体" w:cs="宋体"/>
          <w:bCs/>
          <w:kern w:val="44"/>
          <w:sz w:val="24"/>
          <w:szCs w:val="24"/>
        </w:rPr>
      </w:pPr>
      <w:bookmarkStart w:id="686" w:name="_Toc351203591"/>
      <w:bookmarkStart w:id="687" w:name="_Toc5069"/>
      <w:r>
        <w:rPr>
          <w:rFonts w:hint="eastAsia" w:ascii="宋体" w:hAnsi="宋体" w:eastAsia="宋体" w:cs="宋体"/>
          <w:bCs/>
          <w:kern w:val="44"/>
          <w:sz w:val="24"/>
          <w:szCs w:val="24"/>
        </w:rPr>
        <w:t>5 施工期运行</w:t>
      </w:r>
      <w:bookmarkEnd w:id="686"/>
      <w:bookmarkEnd w:id="687"/>
    </w:p>
    <w:p>
      <w:pPr>
        <w:spacing w:line="360" w:lineRule="auto"/>
        <w:jc w:val="left"/>
        <w:rPr>
          <w:rFonts w:hint="eastAsia" w:ascii="宋体" w:hAnsi="宋体" w:eastAsia="宋体" w:cs="宋体"/>
          <w:bCs/>
          <w:kern w:val="44"/>
          <w:sz w:val="24"/>
          <w:szCs w:val="24"/>
        </w:rPr>
      </w:pPr>
      <w:r>
        <w:rPr>
          <w:rFonts w:hint="eastAsia" w:ascii="宋体" w:hAnsi="宋体" w:eastAsia="宋体" w:cs="宋体"/>
          <w:bCs/>
          <w:kern w:val="44"/>
          <w:sz w:val="24"/>
          <w:szCs w:val="24"/>
        </w:rPr>
        <w:t>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spacing w:line="360" w:lineRule="auto"/>
        <w:rPr>
          <w:rFonts w:hint="eastAsia" w:ascii="宋体" w:hAnsi="宋体" w:eastAsia="宋体" w:cs="宋体"/>
          <w:bCs/>
          <w:kern w:val="44"/>
          <w:sz w:val="24"/>
          <w:szCs w:val="24"/>
        </w:rPr>
      </w:pPr>
      <w:r>
        <w:rPr>
          <w:rFonts w:hint="eastAsia" w:ascii="宋体" w:hAnsi="宋体" w:eastAsia="宋体" w:cs="宋体"/>
          <w:bCs/>
          <w:kern w:val="44"/>
          <w:sz w:val="24"/>
          <w:szCs w:val="24"/>
        </w:rPr>
        <w:t>5.2 在施工期运行中发现工程或工程设备损坏或存在缺陷的，由承包人按第15.2款〔缺陷责任期〕约定进行修复。</w:t>
      </w:r>
    </w:p>
    <w:p>
      <w:pPr>
        <w:spacing w:line="360" w:lineRule="auto"/>
        <w:rPr>
          <w:rFonts w:hint="eastAsia" w:ascii="宋体" w:hAnsi="宋体" w:eastAsia="宋体" w:cs="宋体"/>
          <w:sz w:val="24"/>
          <w:szCs w:val="24"/>
          <w:lang w:eastAsia="zh-CN"/>
        </w:rPr>
      </w:pPr>
    </w:p>
    <w:p>
      <w:pPr>
        <w:pStyle w:val="5"/>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pStyle w:val="5"/>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pStyle w:val="5"/>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pStyle w:val="5"/>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pStyle w:val="5"/>
        <w:rPr>
          <w:rFonts w:hint="eastAsia" w:ascii="宋体" w:hAnsi="宋体" w:eastAsia="宋体" w:cs="宋体"/>
          <w:sz w:val="24"/>
          <w:szCs w:val="24"/>
          <w:lang w:eastAsia="zh-CN"/>
        </w:rPr>
      </w:pPr>
    </w:p>
    <w:p>
      <w:pPr>
        <w:rPr>
          <w:rFonts w:hint="eastAsia" w:ascii="宋体" w:hAnsi="宋体" w:eastAsia="宋体" w:cs="宋体"/>
          <w:sz w:val="24"/>
          <w:szCs w:val="24"/>
          <w:lang w:eastAsia="zh-CN"/>
        </w:rPr>
      </w:pPr>
      <w:bookmarkStart w:id="688" w:name="_GoBack"/>
      <w:bookmarkEnd w:id="688"/>
    </w:p>
    <w:p>
      <w:pPr>
        <w:pStyle w:val="5"/>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pStyle w:val="5"/>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pStyle w:val="5"/>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pStyle w:val="5"/>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pStyle w:val="2"/>
        <w:rPr>
          <w:rFonts w:hint="eastAsia" w:ascii="宋体" w:hAnsi="宋体" w:eastAsia="宋体" w:cs="宋体"/>
          <w:sz w:val="24"/>
          <w:szCs w:val="24"/>
          <w:lang w:eastAsia="zh-CN"/>
        </w:rPr>
      </w:pPr>
    </w:p>
    <w:p>
      <w:pPr>
        <w:pStyle w:val="2"/>
        <w:rPr>
          <w:rFonts w:hint="eastAsia" w:ascii="宋体" w:hAnsi="宋体" w:eastAsia="宋体" w:cs="宋体"/>
          <w:sz w:val="24"/>
          <w:szCs w:val="24"/>
          <w:lang w:eastAsia="zh-CN"/>
        </w:rPr>
      </w:pPr>
    </w:p>
    <w:p>
      <w:pPr>
        <w:pStyle w:val="2"/>
        <w:rPr>
          <w:rFonts w:hint="eastAsia" w:ascii="宋体" w:hAnsi="宋体" w:eastAsia="宋体" w:cs="宋体"/>
          <w:sz w:val="24"/>
          <w:szCs w:val="24"/>
          <w:lang w:eastAsia="zh-CN"/>
        </w:rPr>
      </w:pPr>
    </w:p>
    <w:p>
      <w:pPr>
        <w:pStyle w:val="2"/>
        <w:rPr>
          <w:rFonts w:hint="eastAsia" w:ascii="宋体" w:hAnsi="宋体" w:eastAsia="宋体" w:cs="宋体"/>
          <w:sz w:val="24"/>
          <w:szCs w:val="24"/>
          <w:lang w:eastAsia="zh-CN"/>
        </w:rPr>
      </w:pPr>
    </w:p>
    <w:p>
      <w:pPr>
        <w:pStyle w:val="2"/>
        <w:rPr>
          <w:rFonts w:hint="eastAsia" w:ascii="宋体" w:hAnsi="宋体" w:eastAsia="宋体" w:cs="宋体"/>
          <w:sz w:val="24"/>
          <w:szCs w:val="24"/>
          <w:lang w:eastAsia="zh-CN"/>
        </w:rPr>
      </w:pPr>
    </w:p>
    <w:p>
      <w:pPr>
        <w:pStyle w:val="5"/>
        <w:rPr>
          <w:rFonts w:hint="eastAsia" w:ascii="宋体" w:hAnsi="宋体" w:eastAsia="宋体" w:cs="宋体"/>
          <w:sz w:val="24"/>
          <w:szCs w:val="24"/>
          <w:lang w:eastAsia="zh-CN"/>
        </w:rPr>
      </w:pPr>
    </w:p>
    <w:p>
      <w:pPr>
        <w:spacing w:line="360" w:lineRule="auto"/>
        <w:jc w:val="left"/>
        <w:rPr>
          <w:rFonts w:hint="eastAsia" w:ascii="宋体" w:hAnsi="宋体" w:eastAsia="宋体" w:cs="宋体"/>
          <w:bCs/>
          <w:kern w:val="44"/>
          <w:sz w:val="24"/>
          <w:szCs w:val="24"/>
          <w:lang w:eastAsia="zh-CN"/>
        </w:rPr>
      </w:pPr>
      <w:r>
        <w:rPr>
          <w:rFonts w:hint="eastAsia" w:ascii="宋体" w:hAnsi="宋体" w:eastAsia="宋体" w:cs="宋体"/>
          <w:bCs/>
          <w:kern w:val="44"/>
          <w:sz w:val="24"/>
          <w:szCs w:val="24"/>
          <w:lang w:eastAsia="zh-CN"/>
        </w:rPr>
        <w:drawing>
          <wp:inline distT="0" distB="0" distL="114300" distR="114300">
            <wp:extent cx="5951220" cy="8375650"/>
            <wp:effectExtent l="0" t="0" r="11430" b="6350"/>
            <wp:docPr id="12" name="图片 12" descr="172438383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4383832843"/>
                    <pic:cNvPicPr>
                      <a:picLocks noChangeAspect="1"/>
                    </pic:cNvPicPr>
                  </pic:nvPicPr>
                  <pic:blipFill>
                    <a:blip r:embed="rId11">
                      <a:lum bright="-6000" contrast="6000"/>
                    </a:blip>
                    <a:stretch>
                      <a:fillRect/>
                    </a:stretch>
                  </pic:blipFill>
                  <pic:spPr>
                    <a:xfrm>
                      <a:off x="0" y="0"/>
                      <a:ext cx="5951220" cy="8375650"/>
                    </a:xfrm>
                    <a:prstGeom prst="rect">
                      <a:avLst/>
                    </a:prstGeom>
                  </pic:spPr>
                </pic:pic>
              </a:graphicData>
            </a:graphic>
          </wp:inline>
        </w:drawing>
      </w:r>
    </w:p>
    <w:p>
      <w:pPr>
        <w:spacing w:line="360" w:lineRule="auto"/>
        <w:rPr>
          <w:rFonts w:hint="eastAsia" w:ascii="宋体" w:hAnsi="宋体" w:eastAsia="宋体" w:cs="宋体"/>
          <w:sz w:val="24"/>
          <w:szCs w:val="24"/>
          <w:u w:val="single"/>
          <w:lang w:eastAsia="zh-CN"/>
        </w:rPr>
      </w:pPr>
      <w:r>
        <w:drawing>
          <wp:inline distT="0" distB="0" distL="114300" distR="114300">
            <wp:extent cx="6096000" cy="9113520"/>
            <wp:effectExtent l="0" t="0" r="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rcRect l="5387"/>
                    <a:stretch>
                      <a:fillRect/>
                    </a:stretch>
                  </pic:blipFill>
                  <pic:spPr>
                    <a:xfrm>
                      <a:off x="0" y="0"/>
                      <a:ext cx="6096000" cy="9113520"/>
                    </a:xfrm>
                    <a:prstGeom prst="rect">
                      <a:avLst/>
                    </a:prstGeom>
                    <a:noFill/>
                    <a:ln>
                      <a:noFill/>
                    </a:ln>
                  </pic:spPr>
                </pic:pic>
              </a:graphicData>
            </a:graphic>
          </wp:inline>
        </w:drawing>
      </w:r>
    </w:p>
    <w:sectPr>
      <w:headerReference r:id="rId3" w:type="default"/>
      <w:footerReference r:id="rId4" w:type="default"/>
      <w:pgSz w:w="11910" w:h="16840"/>
      <w:pgMar w:top="1060" w:right="980" w:bottom="1160" w:left="1560" w:header="877" w:footer="977"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仿宋_GB2312">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UxOGVhMjkzZmJlY2ExYzk5ODM5Yjg1NjdlMjU5ZDgifQ=="/>
  </w:docVars>
  <w:rsids>
    <w:rsidRoot w:val="00FA36B9"/>
    <w:rsid w:val="00036C4A"/>
    <w:rsid w:val="0006592F"/>
    <w:rsid w:val="000B217D"/>
    <w:rsid w:val="00113DD9"/>
    <w:rsid w:val="00127B62"/>
    <w:rsid w:val="0014789F"/>
    <w:rsid w:val="00220388"/>
    <w:rsid w:val="00223795"/>
    <w:rsid w:val="002A681E"/>
    <w:rsid w:val="002B247F"/>
    <w:rsid w:val="003174E3"/>
    <w:rsid w:val="003A6805"/>
    <w:rsid w:val="0041280D"/>
    <w:rsid w:val="00441AAC"/>
    <w:rsid w:val="00496DA9"/>
    <w:rsid w:val="006028D6"/>
    <w:rsid w:val="00625899"/>
    <w:rsid w:val="00657BA5"/>
    <w:rsid w:val="006B6E64"/>
    <w:rsid w:val="006D0065"/>
    <w:rsid w:val="007046F9"/>
    <w:rsid w:val="00730EB1"/>
    <w:rsid w:val="00747F5E"/>
    <w:rsid w:val="00763509"/>
    <w:rsid w:val="00775EB6"/>
    <w:rsid w:val="0078768E"/>
    <w:rsid w:val="007E18EB"/>
    <w:rsid w:val="00834C98"/>
    <w:rsid w:val="0087062C"/>
    <w:rsid w:val="008707A1"/>
    <w:rsid w:val="0089322F"/>
    <w:rsid w:val="008F666A"/>
    <w:rsid w:val="00915C28"/>
    <w:rsid w:val="009456B1"/>
    <w:rsid w:val="009A4C76"/>
    <w:rsid w:val="00A05092"/>
    <w:rsid w:val="00A56F17"/>
    <w:rsid w:val="00A701F1"/>
    <w:rsid w:val="00A81511"/>
    <w:rsid w:val="00A97BFA"/>
    <w:rsid w:val="00AE180E"/>
    <w:rsid w:val="00B03164"/>
    <w:rsid w:val="00B04AAD"/>
    <w:rsid w:val="00B430A1"/>
    <w:rsid w:val="00B44639"/>
    <w:rsid w:val="00B55404"/>
    <w:rsid w:val="00B61A30"/>
    <w:rsid w:val="00B91850"/>
    <w:rsid w:val="00B9195D"/>
    <w:rsid w:val="00B95DE8"/>
    <w:rsid w:val="00BD6AAE"/>
    <w:rsid w:val="00BF3F36"/>
    <w:rsid w:val="00BF679B"/>
    <w:rsid w:val="00CA2E13"/>
    <w:rsid w:val="00CC1EAD"/>
    <w:rsid w:val="00CD2B95"/>
    <w:rsid w:val="00CE1164"/>
    <w:rsid w:val="00D44BB5"/>
    <w:rsid w:val="00E17BA9"/>
    <w:rsid w:val="00E64ACA"/>
    <w:rsid w:val="00E87A21"/>
    <w:rsid w:val="00EA027F"/>
    <w:rsid w:val="00F239B6"/>
    <w:rsid w:val="00F67ED4"/>
    <w:rsid w:val="00FA36B9"/>
    <w:rsid w:val="010F0E4D"/>
    <w:rsid w:val="015734AF"/>
    <w:rsid w:val="015F2578"/>
    <w:rsid w:val="0168700A"/>
    <w:rsid w:val="016C6199"/>
    <w:rsid w:val="01944054"/>
    <w:rsid w:val="01B05DF0"/>
    <w:rsid w:val="01C539CF"/>
    <w:rsid w:val="01DE3216"/>
    <w:rsid w:val="01E21DFF"/>
    <w:rsid w:val="01E767D6"/>
    <w:rsid w:val="01F305BF"/>
    <w:rsid w:val="01F47A27"/>
    <w:rsid w:val="02070D85"/>
    <w:rsid w:val="020923AA"/>
    <w:rsid w:val="020E3E06"/>
    <w:rsid w:val="024337DA"/>
    <w:rsid w:val="024A0BB7"/>
    <w:rsid w:val="027469C0"/>
    <w:rsid w:val="02784BA2"/>
    <w:rsid w:val="027C4FF7"/>
    <w:rsid w:val="02A64E59"/>
    <w:rsid w:val="02D2752A"/>
    <w:rsid w:val="02D41B90"/>
    <w:rsid w:val="02D84414"/>
    <w:rsid w:val="02E5725D"/>
    <w:rsid w:val="02E62FD5"/>
    <w:rsid w:val="02E72989"/>
    <w:rsid w:val="02F072AA"/>
    <w:rsid w:val="02F73F54"/>
    <w:rsid w:val="02F77D09"/>
    <w:rsid w:val="03061D82"/>
    <w:rsid w:val="0314275B"/>
    <w:rsid w:val="033E008A"/>
    <w:rsid w:val="034C41EE"/>
    <w:rsid w:val="0352749B"/>
    <w:rsid w:val="035A55D5"/>
    <w:rsid w:val="037B297C"/>
    <w:rsid w:val="038673DC"/>
    <w:rsid w:val="03884436"/>
    <w:rsid w:val="0394746B"/>
    <w:rsid w:val="03B11871"/>
    <w:rsid w:val="03FF1823"/>
    <w:rsid w:val="04115E30"/>
    <w:rsid w:val="042C6247"/>
    <w:rsid w:val="04581455"/>
    <w:rsid w:val="048039AA"/>
    <w:rsid w:val="04810924"/>
    <w:rsid w:val="04A42800"/>
    <w:rsid w:val="04AD0FFC"/>
    <w:rsid w:val="04AF510C"/>
    <w:rsid w:val="04CC35A6"/>
    <w:rsid w:val="04DF6EEA"/>
    <w:rsid w:val="04EB340E"/>
    <w:rsid w:val="04F91477"/>
    <w:rsid w:val="04F92F18"/>
    <w:rsid w:val="04FF212C"/>
    <w:rsid w:val="05215644"/>
    <w:rsid w:val="05224E76"/>
    <w:rsid w:val="0528314F"/>
    <w:rsid w:val="05283AC1"/>
    <w:rsid w:val="0539241C"/>
    <w:rsid w:val="0539290F"/>
    <w:rsid w:val="05641A31"/>
    <w:rsid w:val="056621AB"/>
    <w:rsid w:val="05711B73"/>
    <w:rsid w:val="05955CD6"/>
    <w:rsid w:val="05A62AD5"/>
    <w:rsid w:val="05E047CB"/>
    <w:rsid w:val="06323513"/>
    <w:rsid w:val="064047AA"/>
    <w:rsid w:val="064876EC"/>
    <w:rsid w:val="064A173F"/>
    <w:rsid w:val="065F172F"/>
    <w:rsid w:val="067000AA"/>
    <w:rsid w:val="068E56EF"/>
    <w:rsid w:val="06A73521"/>
    <w:rsid w:val="06B403CE"/>
    <w:rsid w:val="06D47163"/>
    <w:rsid w:val="06D510C2"/>
    <w:rsid w:val="06DB08CB"/>
    <w:rsid w:val="06DD7C7C"/>
    <w:rsid w:val="06F76D0A"/>
    <w:rsid w:val="07047ECE"/>
    <w:rsid w:val="0721638A"/>
    <w:rsid w:val="07352BCC"/>
    <w:rsid w:val="073C5C51"/>
    <w:rsid w:val="079213E8"/>
    <w:rsid w:val="07BA233A"/>
    <w:rsid w:val="07CC2AC1"/>
    <w:rsid w:val="07D60434"/>
    <w:rsid w:val="07D7350F"/>
    <w:rsid w:val="07DF457A"/>
    <w:rsid w:val="07EE1131"/>
    <w:rsid w:val="07F41CF0"/>
    <w:rsid w:val="080B044A"/>
    <w:rsid w:val="082F2519"/>
    <w:rsid w:val="082F4AD6"/>
    <w:rsid w:val="083C6ED5"/>
    <w:rsid w:val="083E3E10"/>
    <w:rsid w:val="086B0180"/>
    <w:rsid w:val="086C5D2B"/>
    <w:rsid w:val="086D4913"/>
    <w:rsid w:val="086F1AAE"/>
    <w:rsid w:val="08B44B27"/>
    <w:rsid w:val="08DA2D7F"/>
    <w:rsid w:val="08EE04EE"/>
    <w:rsid w:val="091A5787"/>
    <w:rsid w:val="092108C3"/>
    <w:rsid w:val="095B1248"/>
    <w:rsid w:val="09625194"/>
    <w:rsid w:val="09625F06"/>
    <w:rsid w:val="096479E0"/>
    <w:rsid w:val="09671218"/>
    <w:rsid w:val="09731D16"/>
    <w:rsid w:val="098C79DF"/>
    <w:rsid w:val="09C52CB0"/>
    <w:rsid w:val="09EC6316"/>
    <w:rsid w:val="0A1E28B5"/>
    <w:rsid w:val="0A200E71"/>
    <w:rsid w:val="0A242F36"/>
    <w:rsid w:val="0A2D6160"/>
    <w:rsid w:val="0A3668C2"/>
    <w:rsid w:val="0A3844C5"/>
    <w:rsid w:val="0A48552D"/>
    <w:rsid w:val="0A521783"/>
    <w:rsid w:val="0A5E7399"/>
    <w:rsid w:val="0A6F207E"/>
    <w:rsid w:val="0A913C0E"/>
    <w:rsid w:val="0A962578"/>
    <w:rsid w:val="0AA36DE1"/>
    <w:rsid w:val="0ABA4FF0"/>
    <w:rsid w:val="0AC04098"/>
    <w:rsid w:val="0AD16319"/>
    <w:rsid w:val="0AFA5870"/>
    <w:rsid w:val="0AFD291F"/>
    <w:rsid w:val="0B146BA4"/>
    <w:rsid w:val="0B4F01B1"/>
    <w:rsid w:val="0B69384E"/>
    <w:rsid w:val="0B792B13"/>
    <w:rsid w:val="0B796CC2"/>
    <w:rsid w:val="0B93370D"/>
    <w:rsid w:val="0BAB54B0"/>
    <w:rsid w:val="0BAE7BC1"/>
    <w:rsid w:val="0BEA0BD5"/>
    <w:rsid w:val="0BF22112"/>
    <w:rsid w:val="0C01366D"/>
    <w:rsid w:val="0C0F6C6F"/>
    <w:rsid w:val="0C134260"/>
    <w:rsid w:val="0C1C0224"/>
    <w:rsid w:val="0C434FF4"/>
    <w:rsid w:val="0C58267E"/>
    <w:rsid w:val="0C58680E"/>
    <w:rsid w:val="0C7810AF"/>
    <w:rsid w:val="0C9F3CF1"/>
    <w:rsid w:val="0CA737D5"/>
    <w:rsid w:val="0CAF7E87"/>
    <w:rsid w:val="0CB20C32"/>
    <w:rsid w:val="0CB933EE"/>
    <w:rsid w:val="0CCC25D3"/>
    <w:rsid w:val="0CD30126"/>
    <w:rsid w:val="0CE96364"/>
    <w:rsid w:val="0CEC599D"/>
    <w:rsid w:val="0D3D2276"/>
    <w:rsid w:val="0D514BF6"/>
    <w:rsid w:val="0D626903"/>
    <w:rsid w:val="0D8845D7"/>
    <w:rsid w:val="0D8C35F6"/>
    <w:rsid w:val="0D8E6B48"/>
    <w:rsid w:val="0DA47D15"/>
    <w:rsid w:val="0DA606A6"/>
    <w:rsid w:val="0DAA0345"/>
    <w:rsid w:val="0DBA39E0"/>
    <w:rsid w:val="0DD86028"/>
    <w:rsid w:val="0DE54846"/>
    <w:rsid w:val="0DFD7ACD"/>
    <w:rsid w:val="0E3E0CF7"/>
    <w:rsid w:val="0E456E02"/>
    <w:rsid w:val="0E5140DA"/>
    <w:rsid w:val="0E54261C"/>
    <w:rsid w:val="0E574F7C"/>
    <w:rsid w:val="0E67321C"/>
    <w:rsid w:val="0E690100"/>
    <w:rsid w:val="0E9B4C74"/>
    <w:rsid w:val="0EB02AEC"/>
    <w:rsid w:val="0ED4462A"/>
    <w:rsid w:val="0EEC2D71"/>
    <w:rsid w:val="0F0338E9"/>
    <w:rsid w:val="0F1D3C21"/>
    <w:rsid w:val="0F1D6A0A"/>
    <w:rsid w:val="0F3F5F47"/>
    <w:rsid w:val="0F5F5CA1"/>
    <w:rsid w:val="0F7552FE"/>
    <w:rsid w:val="0F800114"/>
    <w:rsid w:val="0F8B5519"/>
    <w:rsid w:val="0F914404"/>
    <w:rsid w:val="0F9A28BF"/>
    <w:rsid w:val="0FAD1F54"/>
    <w:rsid w:val="0FBC17CB"/>
    <w:rsid w:val="0FD21EC0"/>
    <w:rsid w:val="0FEC7590"/>
    <w:rsid w:val="0FED53BE"/>
    <w:rsid w:val="0FF2736D"/>
    <w:rsid w:val="100C75EC"/>
    <w:rsid w:val="102F7D69"/>
    <w:rsid w:val="10400D44"/>
    <w:rsid w:val="106806EB"/>
    <w:rsid w:val="106E26D8"/>
    <w:rsid w:val="1078636E"/>
    <w:rsid w:val="107C6D27"/>
    <w:rsid w:val="108E735A"/>
    <w:rsid w:val="109B6617"/>
    <w:rsid w:val="10A06571"/>
    <w:rsid w:val="10A564F2"/>
    <w:rsid w:val="10F94549"/>
    <w:rsid w:val="11004EE0"/>
    <w:rsid w:val="11011DE9"/>
    <w:rsid w:val="11040694"/>
    <w:rsid w:val="11055DE3"/>
    <w:rsid w:val="11164A85"/>
    <w:rsid w:val="1119140D"/>
    <w:rsid w:val="111E393A"/>
    <w:rsid w:val="112347AB"/>
    <w:rsid w:val="112760FB"/>
    <w:rsid w:val="113F4440"/>
    <w:rsid w:val="114210E9"/>
    <w:rsid w:val="114C0E0D"/>
    <w:rsid w:val="11887154"/>
    <w:rsid w:val="118C0C15"/>
    <w:rsid w:val="119105B0"/>
    <w:rsid w:val="119B2E70"/>
    <w:rsid w:val="11B56035"/>
    <w:rsid w:val="11D86883"/>
    <w:rsid w:val="11DB1D10"/>
    <w:rsid w:val="11FC5843"/>
    <w:rsid w:val="11FF19BD"/>
    <w:rsid w:val="12121579"/>
    <w:rsid w:val="12207586"/>
    <w:rsid w:val="12276A99"/>
    <w:rsid w:val="1230333B"/>
    <w:rsid w:val="1238083D"/>
    <w:rsid w:val="126E0E66"/>
    <w:rsid w:val="1272300F"/>
    <w:rsid w:val="12785C7B"/>
    <w:rsid w:val="129A398C"/>
    <w:rsid w:val="129E3DA1"/>
    <w:rsid w:val="12BA681D"/>
    <w:rsid w:val="12CD0DA8"/>
    <w:rsid w:val="12DF413B"/>
    <w:rsid w:val="12FA7C50"/>
    <w:rsid w:val="133833D9"/>
    <w:rsid w:val="135F1073"/>
    <w:rsid w:val="13641290"/>
    <w:rsid w:val="136A10B9"/>
    <w:rsid w:val="1380268A"/>
    <w:rsid w:val="1382352D"/>
    <w:rsid w:val="139463BE"/>
    <w:rsid w:val="13A22600"/>
    <w:rsid w:val="13AA79DE"/>
    <w:rsid w:val="13B26B02"/>
    <w:rsid w:val="13C51295"/>
    <w:rsid w:val="13E946D3"/>
    <w:rsid w:val="13F24063"/>
    <w:rsid w:val="13F86200"/>
    <w:rsid w:val="14050323"/>
    <w:rsid w:val="14096B23"/>
    <w:rsid w:val="141632D0"/>
    <w:rsid w:val="14171E4D"/>
    <w:rsid w:val="142C636E"/>
    <w:rsid w:val="14333B7A"/>
    <w:rsid w:val="143A06A2"/>
    <w:rsid w:val="14577820"/>
    <w:rsid w:val="14626D6D"/>
    <w:rsid w:val="146975C2"/>
    <w:rsid w:val="14851582"/>
    <w:rsid w:val="148B0EFE"/>
    <w:rsid w:val="14A9101F"/>
    <w:rsid w:val="14B922F8"/>
    <w:rsid w:val="14F34884"/>
    <w:rsid w:val="14FC048D"/>
    <w:rsid w:val="15101FC2"/>
    <w:rsid w:val="15265EE3"/>
    <w:rsid w:val="15322284"/>
    <w:rsid w:val="153D4032"/>
    <w:rsid w:val="15431A34"/>
    <w:rsid w:val="155039E4"/>
    <w:rsid w:val="155456C2"/>
    <w:rsid w:val="15586273"/>
    <w:rsid w:val="15641FBA"/>
    <w:rsid w:val="15802C1C"/>
    <w:rsid w:val="15891CCA"/>
    <w:rsid w:val="1589545C"/>
    <w:rsid w:val="15897F1C"/>
    <w:rsid w:val="1594319C"/>
    <w:rsid w:val="159848DA"/>
    <w:rsid w:val="159E37D5"/>
    <w:rsid w:val="15AD0262"/>
    <w:rsid w:val="15B47C49"/>
    <w:rsid w:val="15DC11B7"/>
    <w:rsid w:val="15EA028F"/>
    <w:rsid w:val="15F26FDC"/>
    <w:rsid w:val="16027842"/>
    <w:rsid w:val="160639BB"/>
    <w:rsid w:val="16562055"/>
    <w:rsid w:val="166D562C"/>
    <w:rsid w:val="168705DC"/>
    <w:rsid w:val="16943554"/>
    <w:rsid w:val="16C62CFC"/>
    <w:rsid w:val="16D612BE"/>
    <w:rsid w:val="16F01780"/>
    <w:rsid w:val="16FE4F82"/>
    <w:rsid w:val="170177D2"/>
    <w:rsid w:val="170651A5"/>
    <w:rsid w:val="170C092F"/>
    <w:rsid w:val="172029DB"/>
    <w:rsid w:val="172F574B"/>
    <w:rsid w:val="17334BFA"/>
    <w:rsid w:val="174333FD"/>
    <w:rsid w:val="177B68A3"/>
    <w:rsid w:val="17851EC7"/>
    <w:rsid w:val="17920BF4"/>
    <w:rsid w:val="17A471A8"/>
    <w:rsid w:val="17B66F6B"/>
    <w:rsid w:val="17D6378C"/>
    <w:rsid w:val="17E71B40"/>
    <w:rsid w:val="17FF3055"/>
    <w:rsid w:val="180661B6"/>
    <w:rsid w:val="18075128"/>
    <w:rsid w:val="186012CA"/>
    <w:rsid w:val="18770DA5"/>
    <w:rsid w:val="18790A07"/>
    <w:rsid w:val="18A371F9"/>
    <w:rsid w:val="18AC3D33"/>
    <w:rsid w:val="18AD54A5"/>
    <w:rsid w:val="18C93DE9"/>
    <w:rsid w:val="18C94AD3"/>
    <w:rsid w:val="18CE4012"/>
    <w:rsid w:val="18D8695A"/>
    <w:rsid w:val="18E443F2"/>
    <w:rsid w:val="18E97AE9"/>
    <w:rsid w:val="18FA6A3B"/>
    <w:rsid w:val="19097B54"/>
    <w:rsid w:val="191B521E"/>
    <w:rsid w:val="1935640F"/>
    <w:rsid w:val="19560978"/>
    <w:rsid w:val="19576125"/>
    <w:rsid w:val="1970274F"/>
    <w:rsid w:val="19702C51"/>
    <w:rsid w:val="197432CD"/>
    <w:rsid w:val="19A35324"/>
    <w:rsid w:val="19E35721"/>
    <w:rsid w:val="19EB0503"/>
    <w:rsid w:val="19EF194F"/>
    <w:rsid w:val="19F65454"/>
    <w:rsid w:val="1A15448A"/>
    <w:rsid w:val="1A203871"/>
    <w:rsid w:val="1A2C53D6"/>
    <w:rsid w:val="1A58606E"/>
    <w:rsid w:val="1A6574A5"/>
    <w:rsid w:val="1A6744C8"/>
    <w:rsid w:val="1A772ED5"/>
    <w:rsid w:val="1A7D4B85"/>
    <w:rsid w:val="1A8B7B73"/>
    <w:rsid w:val="1AA70533"/>
    <w:rsid w:val="1AF25350"/>
    <w:rsid w:val="1AF71484"/>
    <w:rsid w:val="1B065B6B"/>
    <w:rsid w:val="1B0C2E2B"/>
    <w:rsid w:val="1B1010D6"/>
    <w:rsid w:val="1B126109"/>
    <w:rsid w:val="1B197D8B"/>
    <w:rsid w:val="1B252B14"/>
    <w:rsid w:val="1B395F40"/>
    <w:rsid w:val="1B536760"/>
    <w:rsid w:val="1B582404"/>
    <w:rsid w:val="1B720554"/>
    <w:rsid w:val="1B785AC0"/>
    <w:rsid w:val="1B7930C6"/>
    <w:rsid w:val="1B7C407F"/>
    <w:rsid w:val="1B8826A2"/>
    <w:rsid w:val="1BBB30E7"/>
    <w:rsid w:val="1BC934CD"/>
    <w:rsid w:val="1BCD4EC4"/>
    <w:rsid w:val="1C093B64"/>
    <w:rsid w:val="1C346309"/>
    <w:rsid w:val="1C441414"/>
    <w:rsid w:val="1C4C1CA3"/>
    <w:rsid w:val="1C630E66"/>
    <w:rsid w:val="1C694603"/>
    <w:rsid w:val="1C6C7C0D"/>
    <w:rsid w:val="1C8B3381"/>
    <w:rsid w:val="1C93676F"/>
    <w:rsid w:val="1CB03B19"/>
    <w:rsid w:val="1CB70076"/>
    <w:rsid w:val="1CC10927"/>
    <w:rsid w:val="1CC23B17"/>
    <w:rsid w:val="1CC41839"/>
    <w:rsid w:val="1CC67E42"/>
    <w:rsid w:val="1CCD3812"/>
    <w:rsid w:val="1CD53A47"/>
    <w:rsid w:val="1D0B55C8"/>
    <w:rsid w:val="1D0F77BC"/>
    <w:rsid w:val="1D11143F"/>
    <w:rsid w:val="1D2169F7"/>
    <w:rsid w:val="1D416B11"/>
    <w:rsid w:val="1D5E234F"/>
    <w:rsid w:val="1DA06936"/>
    <w:rsid w:val="1DB043D2"/>
    <w:rsid w:val="1DB17C84"/>
    <w:rsid w:val="1DC409A7"/>
    <w:rsid w:val="1DC51232"/>
    <w:rsid w:val="1DD042CF"/>
    <w:rsid w:val="1DDD78CF"/>
    <w:rsid w:val="1DE63A32"/>
    <w:rsid w:val="1DF26A3B"/>
    <w:rsid w:val="1DF60118"/>
    <w:rsid w:val="1DFA1E67"/>
    <w:rsid w:val="1E0130F4"/>
    <w:rsid w:val="1E1B069E"/>
    <w:rsid w:val="1E3B215D"/>
    <w:rsid w:val="1E40188A"/>
    <w:rsid w:val="1E4E714E"/>
    <w:rsid w:val="1E854FF8"/>
    <w:rsid w:val="1EBA7398"/>
    <w:rsid w:val="1EBF1B57"/>
    <w:rsid w:val="1EC2624D"/>
    <w:rsid w:val="1EE85722"/>
    <w:rsid w:val="1F032423"/>
    <w:rsid w:val="1F201DB9"/>
    <w:rsid w:val="1F301408"/>
    <w:rsid w:val="1F3777A6"/>
    <w:rsid w:val="1F3E6F08"/>
    <w:rsid w:val="1F417171"/>
    <w:rsid w:val="1F6F719D"/>
    <w:rsid w:val="1F77033E"/>
    <w:rsid w:val="1F7D0E8D"/>
    <w:rsid w:val="1F8234B9"/>
    <w:rsid w:val="1F850101"/>
    <w:rsid w:val="1F8D1486"/>
    <w:rsid w:val="1FA92D3B"/>
    <w:rsid w:val="1FBD27B0"/>
    <w:rsid w:val="1FDA2466"/>
    <w:rsid w:val="1FDB1308"/>
    <w:rsid w:val="1FF90519"/>
    <w:rsid w:val="20020359"/>
    <w:rsid w:val="20213C16"/>
    <w:rsid w:val="202A0DF9"/>
    <w:rsid w:val="203378CE"/>
    <w:rsid w:val="203E2BE0"/>
    <w:rsid w:val="205373D7"/>
    <w:rsid w:val="206B67B1"/>
    <w:rsid w:val="20B34467"/>
    <w:rsid w:val="20BD4225"/>
    <w:rsid w:val="20F71DCC"/>
    <w:rsid w:val="210727E0"/>
    <w:rsid w:val="210E10B6"/>
    <w:rsid w:val="21224E0C"/>
    <w:rsid w:val="212415A2"/>
    <w:rsid w:val="213F5933"/>
    <w:rsid w:val="214D49B5"/>
    <w:rsid w:val="21631BA2"/>
    <w:rsid w:val="21B56B40"/>
    <w:rsid w:val="21DC13D3"/>
    <w:rsid w:val="21F66939"/>
    <w:rsid w:val="21FA5A2E"/>
    <w:rsid w:val="220F03EA"/>
    <w:rsid w:val="22231152"/>
    <w:rsid w:val="22307132"/>
    <w:rsid w:val="223643DF"/>
    <w:rsid w:val="225F759D"/>
    <w:rsid w:val="22626B5F"/>
    <w:rsid w:val="22AA14D2"/>
    <w:rsid w:val="22B71C54"/>
    <w:rsid w:val="22C42565"/>
    <w:rsid w:val="22E10473"/>
    <w:rsid w:val="22E4624E"/>
    <w:rsid w:val="22F420B9"/>
    <w:rsid w:val="231150AD"/>
    <w:rsid w:val="23137077"/>
    <w:rsid w:val="231778DD"/>
    <w:rsid w:val="231C2D03"/>
    <w:rsid w:val="233306A9"/>
    <w:rsid w:val="23425157"/>
    <w:rsid w:val="235D6508"/>
    <w:rsid w:val="237025E4"/>
    <w:rsid w:val="23847F75"/>
    <w:rsid w:val="239B0E1A"/>
    <w:rsid w:val="23A75A11"/>
    <w:rsid w:val="23AF1FA4"/>
    <w:rsid w:val="23BA54EA"/>
    <w:rsid w:val="23EC2199"/>
    <w:rsid w:val="23FA43F4"/>
    <w:rsid w:val="23FB7113"/>
    <w:rsid w:val="2402215C"/>
    <w:rsid w:val="242C5784"/>
    <w:rsid w:val="24374FE7"/>
    <w:rsid w:val="245B5F71"/>
    <w:rsid w:val="24827634"/>
    <w:rsid w:val="24846D4F"/>
    <w:rsid w:val="248C05B0"/>
    <w:rsid w:val="2496026B"/>
    <w:rsid w:val="24C36CB7"/>
    <w:rsid w:val="24CA6C53"/>
    <w:rsid w:val="24D623C9"/>
    <w:rsid w:val="24DB4284"/>
    <w:rsid w:val="24E306D6"/>
    <w:rsid w:val="24EB6E1E"/>
    <w:rsid w:val="250C439C"/>
    <w:rsid w:val="2511093C"/>
    <w:rsid w:val="25132BBB"/>
    <w:rsid w:val="25207829"/>
    <w:rsid w:val="25305574"/>
    <w:rsid w:val="25387BF1"/>
    <w:rsid w:val="25394B51"/>
    <w:rsid w:val="253B22C4"/>
    <w:rsid w:val="25403F2E"/>
    <w:rsid w:val="2540742B"/>
    <w:rsid w:val="25491720"/>
    <w:rsid w:val="254B39D5"/>
    <w:rsid w:val="254D4094"/>
    <w:rsid w:val="2553407F"/>
    <w:rsid w:val="25710085"/>
    <w:rsid w:val="25876147"/>
    <w:rsid w:val="258E1268"/>
    <w:rsid w:val="25D80538"/>
    <w:rsid w:val="260D24A3"/>
    <w:rsid w:val="26105061"/>
    <w:rsid w:val="26123616"/>
    <w:rsid w:val="26130EA4"/>
    <w:rsid w:val="263F5D82"/>
    <w:rsid w:val="26464F4F"/>
    <w:rsid w:val="264834DB"/>
    <w:rsid w:val="26746546"/>
    <w:rsid w:val="26A20E62"/>
    <w:rsid w:val="26A71D95"/>
    <w:rsid w:val="26C14A0E"/>
    <w:rsid w:val="26C2164D"/>
    <w:rsid w:val="26DC702B"/>
    <w:rsid w:val="26DE05C6"/>
    <w:rsid w:val="26E14566"/>
    <w:rsid w:val="26E90956"/>
    <w:rsid w:val="26F72A8F"/>
    <w:rsid w:val="26F81286"/>
    <w:rsid w:val="27050ED7"/>
    <w:rsid w:val="270B42DF"/>
    <w:rsid w:val="270F6434"/>
    <w:rsid w:val="271D31EC"/>
    <w:rsid w:val="27422847"/>
    <w:rsid w:val="275C5612"/>
    <w:rsid w:val="27773A3A"/>
    <w:rsid w:val="27A26C1B"/>
    <w:rsid w:val="27B23302"/>
    <w:rsid w:val="27C86183"/>
    <w:rsid w:val="27D92285"/>
    <w:rsid w:val="27F32686"/>
    <w:rsid w:val="27FF27FA"/>
    <w:rsid w:val="28065125"/>
    <w:rsid w:val="281F2B8A"/>
    <w:rsid w:val="28246CCB"/>
    <w:rsid w:val="28281A36"/>
    <w:rsid w:val="283D115F"/>
    <w:rsid w:val="286A598B"/>
    <w:rsid w:val="287265EE"/>
    <w:rsid w:val="28983C59"/>
    <w:rsid w:val="289A4B87"/>
    <w:rsid w:val="289B07B0"/>
    <w:rsid w:val="28B87AFF"/>
    <w:rsid w:val="28BB7F8B"/>
    <w:rsid w:val="28C91AA2"/>
    <w:rsid w:val="28E02078"/>
    <w:rsid w:val="28E70927"/>
    <w:rsid w:val="28EF2FC6"/>
    <w:rsid w:val="28F2086C"/>
    <w:rsid w:val="29003BF9"/>
    <w:rsid w:val="29126929"/>
    <w:rsid w:val="295C2DFA"/>
    <w:rsid w:val="296A5517"/>
    <w:rsid w:val="29890093"/>
    <w:rsid w:val="299779D3"/>
    <w:rsid w:val="299841C4"/>
    <w:rsid w:val="29F23811"/>
    <w:rsid w:val="2A0021C9"/>
    <w:rsid w:val="2A0B101D"/>
    <w:rsid w:val="2A425534"/>
    <w:rsid w:val="2A5A192E"/>
    <w:rsid w:val="2A635321"/>
    <w:rsid w:val="2A6D05C7"/>
    <w:rsid w:val="2A810D6A"/>
    <w:rsid w:val="2A8A1963"/>
    <w:rsid w:val="2A9379BA"/>
    <w:rsid w:val="2A9B63D1"/>
    <w:rsid w:val="2AB05D26"/>
    <w:rsid w:val="2ABE68A9"/>
    <w:rsid w:val="2AC97E77"/>
    <w:rsid w:val="2ACF3B6E"/>
    <w:rsid w:val="2ADE3C8F"/>
    <w:rsid w:val="2AFB5895"/>
    <w:rsid w:val="2B08765C"/>
    <w:rsid w:val="2B0F1734"/>
    <w:rsid w:val="2B2555C3"/>
    <w:rsid w:val="2B41731F"/>
    <w:rsid w:val="2B4346A6"/>
    <w:rsid w:val="2B6035AD"/>
    <w:rsid w:val="2BA47406"/>
    <w:rsid w:val="2BA51247"/>
    <w:rsid w:val="2BB6506E"/>
    <w:rsid w:val="2BC62BD6"/>
    <w:rsid w:val="2C027C88"/>
    <w:rsid w:val="2C305ED6"/>
    <w:rsid w:val="2C340FEA"/>
    <w:rsid w:val="2C4530B8"/>
    <w:rsid w:val="2C496FAB"/>
    <w:rsid w:val="2C4E6C35"/>
    <w:rsid w:val="2C50746D"/>
    <w:rsid w:val="2C5125B7"/>
    <w:rsid w:val="2C8A389A"/>
    <w:rsid w:val="2CB35C41"/>
    <w:rsid w:val="2CBB2227"/>
    <w:rsid w:val="2CBB5D54"/>
    <w:rsid w:val="2CC71A7A"/>
    <w:rsid w:val="2CF26530"/>
    <w:rsid w:val="2D0A5811"/>
    <w:rsid w:val="2D453315"/>
    <w:rsid w:val="2D586814"/>
    <w:rsid w:val="2D5F0E14"/>
    <w:rsid w:val="2D7828F8"/>
    <w:rsid w:val="2D7E3194"/>
    <w:rsid w:val="2D8A3DCA"/>
    <w:rsid w:val="2D8D1303"/>
    <w:rsid w:val="2D930456"/>
    <w:rsid w:val="2DAB2405"/>
    <w:rsid w:val="2DB22033"/>
    <w:rsid w:val="2DB976AA"/>
    <w:rsid w:val="2DC52E30"/>
    <w:rsid w:val="2DDA68E6"/>
    <w:rsid w:val="2DFB52D7"/>
    <w:rsid w:val="2E096211"/>
    <w:rsid w:val="2E0B582E"/>
    <w:rsid w:val="2E400081"/>
    <w:rsid w:val="2E552C39"/>
    <w:rsid w:val="2E9863BC"/>
    <w:rsid w:val="2EB23BE8"/>
    <w:rsid w:val="2EBB62D8"/>
    <w:rsid w:val="2EC65034"/>
    <w:rsid w:val="2EE9324F"/>
    <w:rsid w:val="2F041A92"/>
    <w:rsid w:val="2F077D0E"/>
    <w:rsid w:val="2F55481A"/>
    <w:rsid w:val="2F590507"/>
    <w:rsid w:val="2F615374"/>
    <w:rsid w:val="2F7A3402"/>
    <w:rsid w:val="2F8A5A91"/>
    <w:rsid w:val="2FB040D9"/>
    <w:rsid w:val="2FBC1BD0"/>
    <w:rsid w:val="2FD11634"/>
    <w:rsid w:val="2FD20AE3"/>
    <w:rsid w:val="2FE46ABA"/>
    <w:rsid w:val="30336965"/>
    <w:rsid w:val="304074CC"/>
    <w:rsid w:val="304117E8"/>
    <w:rsid w:val="30516BC5"/>
    <w:rsid w:val="30556575"/>
    <w:rsid w:val="30577EEB"/>
    <w:rsid w:val="306E1921"/>
    <w:rsid w:val="30795651"/>
    <w:rsid w:val="30A422D4"/>
    <w:rsid w:val="30AC07CD"/>
    <w:rsid w:val="30CC2EAA"/>
    <w:rsid w:val="30D74032"/>
    <w:rsid w:val="30D82B21"/>
    <w:rsid w:val="30EF0839"/>
    <w:rsid w:val="30FF516C"/>
    <w:rsid w:val="31051117"/>
    <w:rsid w:val="311D6E7E"/>
    <w:rsid w:val="31206E9C"/>
    <w:rsid w:val="31251309"/>
    <w:rsid w:val="312A7DEC"/>
    <w:rsid w:val="313A7EC4"/>
    <w:rsid w:val="317578CD"/>
    <w:rsid w:val="317A2C01"/>
    <w:rsid w:val="318C0CAF"/>
    <w:rsid w:val="31A27861"/>
    <w:rsid w:val="31AC7836"/>
    <w:rsid w:val="31E622DA"/>
    <w:rsid w:val="31EC7411"/>
    <w:rsid w:val="32127C23"/>
    <w:rsid w:val="32174B3E"/>
    <w:rsid w:val="322B105B"/>
    <w:rsid w:val="322B4531"/>
    <w:rsid w:val="324C14E7"/>
    <w:rsid w:val="325C381C"/>
    <w:rsid w:val="32801B71"/>
    <w:rsid w:val="32803FFD"/>
    <w:rsid w:val="32944E37"/>
    <w:rsid w:val="32A179DB"/>
    <w:rsid w:val="32A318E9"/>
    <w:rsid w:val="32A90603"/>
    <w:rsid w:val="32BC53DE"/>
    <w:rsid w:val="32E7065A"/>
    <w:rsid w:val="32E93950"/>
    <w:rsid w:val="32ED017B"/>
    <w:rsid w:val="32EE189D"/>
    <w:rsid w:val="330257C9"/>
    <w:rsid w:val="331B6CBD"/>
    <w:rsid w:val="332329FD"/>
    <w:rsid w:val="33381700"/>
    <w:rsid w:val="338367BB"/>
    <w:rsid w:val="338E2F58"/>
    <w:rsid w:val="33A22D0C"/>
    <w:rsid w:val="33B02AED"/>
    <w:rsid w:val="33E505BB"/>
    <w:rsid w:val="33EA24D0"/>
    <w:rsid w:val="33F22516"/>
    <w:rsid w:val="3415489E"/>
    <w:rsid w:val="34367D70"/>
    <w:rsid w:val="34584243"/>
    <w:rsid w:val="345C7A49"/>
    <w:rsid w:val="34830528"/>
    <w:rsid w:val="34856FF3"/>
    <w:rsid w:val="3491604D"/>
    <w:rsid w:val="34BC4499"/>
    <w:rsid w:val="34BD22C1"/>
    <w:rsid w:val="34C579F8"/>
    <w:rsid w:val="34CC0C79"/>
    <w:rsid w:val="34E436DE"/>
    <w:rsid w:val="34E563CF"/>
    <w:rsid w:val="34E6283D"/>
    <w:rsid w:val="34E72A14"/>
    <w:rsid w:val="34F36688"/>
    <w:rsid w:val="34F62354"/>
    <w:rsid w:val="350177DE"/>
    <w:rsid w:val="350E439E"/>
    <w:rsid w:val="35164491"/>
    <w:rsid w:val="35212408"/>
    <w:rsid w:val="352D17D7"/>
    <w:rsid w:val="353656E9"/>
    <w:rsid w:val="35417A73"/>
    <w:rsid w:val="354457B6"/>
    <w:rsid w:val="354F4EC5"/>
    <w:rsid w:val="35560B2C"/>
    <w:rsid w:val="35643D9E"/>
    <w:rsid w:val="356971DC"/>
    <w:rsid w:val="356E5B3C"/>
    <w:rsid w:val="35704BDF"/>
    <w:rsid w:val="3586192A"/>
    <w:rsid w:val="35BA15D4"/>
    <w:rsid w:val="35CB7D4F"/>
    <w:rsid w:val="35DB5495"/>
    <w:rsid w:val="35E6061B"/>
    <w:rsid w:val="35E7736A"/>
    <w:rsid w:val="35E96382"/>
    <w:rsid w:val="361F3F7F"/>
    <w:rsid w:val="36456747"/>
    <w:rsid w:val="364819E2"/>
    <w:rsid w:val="368C2099"/>
    <w:rsid w:val="36946D18"/>
    <w:rsid w:val="36CC1E95"/>
    <w:rsid w:val="36E46887"/>
    <w:rsid w:val="36E646EC"/>
    <w:rsid w:val="372E167F"/>
    <w:rsid w:val="37354B80"/>
    <w:rsid w:val="37443659"/>
    <w:rsid w:val="37505141"/>
    <w:rsid w:val="375C624F"/>
    <w:rsid w:val="37656F30"/>
    <w:rsid w:val="37831661"/>
    <w:rsid w:val="378431C2"/>
    <w:rsid w:val="37981C02"/>
    <w:rsid w:val="37BE0376"/>
    <w:rsid w:val="37C329C2"/>
    <w:rsid w:val="37C417AA"/>
    <w:rsid w:val="37C4498C"/>
    <w:rsid w:val="37C56B6C"/>
    <w:rsid w:val="37DF0A1C"/>
    <w:rsid w:val="37E47BA2"/>
    <w:rsid w:val="37E71F46"/>
    <w:rsid w:val="382749C4"/>
    <w:rsid w:val="38305977"/>
    <w:rsid w:val="383911FB"/>
    <w:rsid w:val="38450449"/>
    <w:rsid w:val="38482EC7"/>
    <w:rsid w:val="385E4E8B"/>
    <w:rsid w:val="388008B3"/>
    <w:rsid w:val="38886281"/>
    <w:rsid w:val="38A30A45"/>
    <w:rsid w:val="38B113A6"/>
    <w:rsid w:val="38CD5819"/>
    <w:rsid w:val="38DA4074"/>
    <w:rsid w:val="3919742B"/>
    <w:rsid w:val="39237304"/>
    <w:rsid w:val="39273385"/>
    <w:rsid w:val="394E6A33"/>
    <w:rsid w:val="396D5815"/>
    <w:rsid w:val="39743AD8"/>
    <w:rsid w:val="39A764DB"/>
    <w:rsid w:val="39B0341A"/>
    <w:rsid w:val="39C46EC5"/>
    <w:rsid w:val="39DC11E0"/>
    <w:rsid w:val="39EF432E"/>
    <w:rsid w:val="3A345DF9"/>
    <w:rsid w:val="3A365E34"/>
    <w:rsid w:val="3A3C2EFF"/>
    <w:rsid w:val="3A614714"/>
    <w:rsid w:val="3A6334AF"/>
    <w:rsid w:val="3A881CA1"/>
    <w:rsid w:val="3AB06481"/>
    <w:rsid w:val="3AD24F08"/>
    <w:rsid w:val="3AD77578"/>
    <w:rsid w:val="3B0031BC"/>
    <w:rsid w:val="3B0D4C4B"/>
    <w:rsid w:val="3B2E39EC"/>
    <w:rsid w:val="3B40096D"/>
    <w:rsid w:val="3B590236"/>
    <w:rsid w:val="3B610D82"/>
    <w:rsid w:val="3B637526"/>
    <w:rsid w:val="3B75359D"/>
    <w:rsid w:val="3B8B428A"/>
    <w:rsid w:val="3B925F5D"/>
    <w:rsid w:val="3B9338B9"/>
    <w:rsid w:val="3B94507C"/>
    <w:rsid w:val="3BB65F5D"/>
    <w:rsid w:val="3BBF1FF3"/>
    <w:rsid w:val="3BCB1ED4"/>
    <w:rsid w:val="3BD31F0E"/>
    <w:rsid w:val="3BD72EE0"/>
    <w:rsid w:val="3BFF5F92"/>
    <w:rsid w:val="3C20237A"/>
    <w:rsid w:val="3C92001B"/>
    <w:rsid w:val="3CAF0D5F"/>
    <w:rsid w:val="3CD53B7B"/>
    <w:rsid w:val="3CDD3550"/>
    <w:rsid w:val="3CE138E2"/>
    <w:rsid w:val="3D0D2CBC"/>
    <w:rsid w:val="3D10149F"/>
    <w:rsid w:val="3D121CF5"/>
    <w:rsid w:val="3D163580"/>
    <w:rsid w:val="3D3A7DB7"/>
    <w:rsid w:val="3D4E5423"/>
    <w:rsid w:val="3D561305"/>
    <w:rsid w:val="3D6055D1"/>
    <w:rsid w:val="3D6524E8"/>
    <w:rsid w:val="3D6B0E28"/>
    <w:rsid w:val="3D9B66E1"/>
    <w:rsid w:val="3DB8099F"/>
    <w:rsid w:val="3DBD51D7"/>
    <w:rsid w:val="3DBF00CF"/>
    <w:rsid w:val="3DC8215A"/>
    <w:rsid w:val="3DE51994"/>
    <w:rsid w:val="3DF4270E"/>
    <w:rsid w:val="3E0755D2"/>
    <w:rsid w:val="3E1D4DF6"/>
    <w:rsid w:val="3E4332FF"/>
    <w:rsid w:val="3E4A2596"/>
    <w:rsid w:val="3E716BAA"/>
    <w:rsid w:val="3E922BED"/>
    <w:rsid w:val="3E94246D"/>
    <w:rsid w:val="3E9F0418"/>
    <w:rsid w:val="3EB0786E"/>
    <w:rsid w:val="3EB326BB"/>
    <w:rsid w:val="3EC51324"/>
    <w:rsid w:val="3ECF4342"/>
    <w:rsid w:val="3EEC4EF4"/>
    <w:rsid w:val="3EF72D25"/>
    <w:rsid w:val="3F1D2C56"/>
    <w:rsid w:val="3F2A7323"/>
    <w:rsid w:val="3F39573D"/>
    <w:rsid w:val="3F6D4287"/>
    <w:rsid w:val="3F7A6396"/>
    <w:rsid w:val="3F9021B1"/>
    <w:rsid w:val="3FCF2065"/>
    <w:rsid w:val="3FD217D1"/>
    <w:rsid w:val="3FDD27A1"/>
    <w:rsid w:val="3FDE41D1"/>
    <w:rsid w:val="3FDF05B5"/>
    <w:rsid w:val="3FE7487D"/>
    <w:rsid w:val="3FF43934"/>
    <w:rsid w:val="401C69BE"/>
    <w:rsid w:val="40275AB8"/>
    <w:rsid w:val="403054C0"/>
    <w:rsid w:val="40387711"/>
    <w:rsid w:val="40407859"/>
    <w:rsid w:val="406356BE"/>
    <w:rsid w:val="40645443"/>
    <w:rsid w:val="408350CF"/>
    <w:rsid w:val="408D4FEB"/>
    <w:rsid w:val="4098597F"/>
    <w:rsid w:val="409D1A46"/>
    <w:rsid w:val="40AB66E9"/>
    <w:rsid w:val="40C043A3"/>
    <w:rsid w:val="40E8327C"/>
    <w:rsid w:val="40EC5897"/>
    <w:rsid w:val="40ED6B3D"/>
    <w:rsid w:val="410D4CAE"/>
    <w:rsid w:val="410E4C3E"/>
    <w:rsid w:val="413063C7"/>
    <w:rsid w:val="4148062D"/>
    <w:rsid w:val="414F70ED"/>
    <w:rsid w:val="41504FCA"/>
    <w:rsid w:val="4162324B"/>
    <w:rsid w:val="416E4936"/>
    <w:rsid w:val="41797CA6"/>
    <w:rsid w:val="418408ED"/>
    <w:rsid w:val="4190494D"/>
    <w:rsid w:val="41A72EE7"/>
    <w:rsid w:val="41CF4592"/>
    <w:rsid w:val="41D5602E"/>
    <w:rsid w:val="41D732B6"/>
    <w:rsid w:val="41F5726F"/>
    <w:rsid w:val="421D3616"/>
    <w:rsid w:val="422F20E6"/>
    <w:rsid w:val="42312B8D"/>
    <w:rsid w:val="423A625D"/>
    <w:rsid w:val="423F4086"/>
    <w:rsid w:val="42492E1E"/>
    <w:rsid w:val="426C7777"/>
    <w:rsid w:val="42A85091"/>
    <w:rsid w:val="42F71E14"/>
    <w:rsid w:val="42F7524B"/>
    <w:rsid w:val="42FE7FA4"/>
    <w:rsid w:val="431B1111"/>
    <w:rsid w:val="432476D1"/>
    <w:rsid w:val="43350250"/>
    <w:rsid w:val="434D6494"/>
    <w:rsid w:val="43560AA7"/>
    <w:rsid w:val="4371430B"/>
    <w:rsid w:val="43721290"/>
    <w:rsid w:val="43905917"/>
    <w:rsid w:val="43916E20"/>
    <w:rsid w:val="439F2409"/>
    <w:rsid w:val="43B05954"/>
    <w:rsid w:val="43B62BAF"/>
    <w:rsid w:val="43C94FFA"/>
    <w:rsid w:val="43D42894"/>
    <w:rsid w:val="43EE0D87"/>
    <w:rsid w:val="43F32881"/>
    <w:rsid w:val="440A4DD0"/>
    <w:rsid w:val="441A395E"/>
    <w:rsid w:val="44244EB3"/>
    <w:rsid w:val="444A01AE"/>
    <w:rsid w:val="444B1BBE"/>
    <w:rsid w:val="44532877"/>
    <w:rsid w:val="446B1222"/>
    <w:rsid w:val="446B5938"/>
    <w:rsid w:val="44840E86"/>
    <w:rsid w:val="448C2B54"/>
    <w:rsid w:val="44915BF6"/>
    <w:rsid w:val="44984EB1"/>
    <w:rsid w:val="44A23BE7"/>
    <w:rsid w:val="44A50B53"/>
    <w:rsid w:val="44AD6931"/>
    <w:rsid w:val="44C0626B"/>
    <w:rsid w:val="44CB209A"/>
    <w:rsid w:val="44E04A7C"/>
    <w:rsid w:val="44E8603B"/>
    <w:rsid w:val="44EB4048"/>
    <w:rsid w:val="44FD328B"/>
    <w:rsid w:val="45010FCD"/>
    <w:rsid w:val="450B19A9"/>
    <w:rsid w:val="450E51C7"/>
    <w:rsid w:val="451F472B"/>
    <w:rsid w:val="453E4A5F"/>
    <w:rsid w:val="45420B80"/>
    <w:rsid w:val="454508E2"/>
    <w:rsid w:val="454F6FE2"/>
    <w:rsid w:val="455A55E1"/>
    <w:rsid w:val="4575327E"/>
    <w:rsid w:val="45886FF9"/>
    <w:rsid w:val="45963C2C"/>
    <w:rsid w:val="45B97A30"/>
    <w:rsid w:val="45C10D70"/>
    <w:rsid w:val="45D67288"/>
    <w:rsid w:val="45EB69ED"/>
    <w:rsid w:val="460F14B6"/>
    <w:rsid w:val="4611099A"/>
    <w:rsid w:val="46115240"/>
    <w:rsid w:val="462211FB"/>
    <w:rsid w:val="46271663"/>
    <w:rsid w:val="462932B7"/>
    <w:rsid w:val="46335A0B"/>
    <w:rsid w:val="465758BB"/>
    <w:rsid w:val="46617D11"/>
    <w:rsid w:val="466349D8"/>
    <w:rsid w:val="46747E00"/>
    <w:rsid w:val="46784D97"/>
    <w:rsid w:val="46A353E0"/>
    <w:rsid w:val="46A81471"/>
    <w:rsid w:val="46B44442"/>
    <w:rsid w:val="46D46229"/>
    <w:rsid w:val="46E95C3C"/>
    <w:rsid w:val="46F22218"/>
    <w:rsid w:val="46F54725"/>
    <w:rsid w:val="47280C30"/>
    <w:rsid w:val="472B0583"/>
    <w:rsid w:val="472E6BD3"/>
    <w:rsid w:val="47300E7D"/>
    <w:rsid w:val="47362DF8"/>
    <w:rsid w:val="47592E06"/>
    <w:rsid w:val="47615D53"/>
    <w:rsid w:val="476669C6"/>
    <w:rsid w:val="477C2B8D"/>
    <w:rsid w:val="4799096C"/>
    <w:rsid w:val="47B6307B"/>
    <w:rsid w:val="47C74424"/>
    <w:rsid w:val="47DC3F58"/>
    <w:rsid w:val="48090599"/>
    <w:rsid w:val="481608EC"/>
    <w:rsid w:val="481E5DAA"/>
    <w:rsid w:val="4822502D"/>
    <w:rsid w:val="482B4A23"/>
    <w:rsid w:val="483F6AC4"/>
    <w:rsid w:val="485A393D"/>
    <w:rsid w:val="488E284C"/>
    <w:rsid w:val="489F56EE"/>
    <w:rsid w:val="48AC4B01"/>
    <w:rsid w:val="48B06F92"/>
    <w:rsid w:val="48B90820"/>
    <w:rsid w:val="48CD6F28"/>
    <w:rsid w:val="48E01B66"/>
    <w:rsid w:val="48E70FA3"/>
    <w:rsid w:val="48EE3617"/>
    <w:rsid w:val="48F83CC5"/>
    <w:rsid w:val="491059A3"/>
    <w:rsid w:val="49106FD2"/>
    <w:rsid w:val="49293049"/>
    <w:rsid w:val="49304526"/>
    <w:rsid w:val="4933371F"/>
    <w:rsid w:val="49376009"/>
    <w:rsid w:val="495446A9"/>
    <w:rsid w:val="496C52A0"/>
    <w:rsid w:val="497331DC"/>
    <w:rsid w:val="49847E83"/>
    <w:rsid w:val="4987774A"/>
    <w:rsid w:val="49B362B4"/>
    <w:rsid w:val="49CC5D18"/>
    <w:rsid w:val="4A0C24A1"/>
    <w:rsid w:val="4A1658AB"/>
    <w:rsid w:val="4A17534E"/>
    <w:rsid w:val="4A1F3779"/>
    <w:rsid w:val="4A2B6342"/>
    <w:rsid w:val="4A2F2139"/>
    <w:rsid w:val="4A3B6D2F"/>
    <w:rsid w:val="4A4B7EA0"/>
    <w:rsid w:val="4A5406A5"/>
    <w:rsid w:val="4A7144FF"/>
    <w:rsid w:val="4A900DE9"/>
    <w:rsid w:val="4AA32F99"/>
    <w:rsid w:val="4AA460B9"/>
    <w:rsid w:val="4AAF34DF"/>
    <w:rsid w:val="4B027949"/>
    <w:rsid w:val="4B183FB1"/>
    <w:rsid w:val="4B3244D2"/>
    <w:rsid w:val="4B354775"/>
    <w:rsid w:val="4B400696"/>
    <w:rsid w:val="4B47288B"/>
    <w:rsid w:val="4B566C19"/>
    <w:rsid w:val="4B60769C"/>
    <w:rsid w:val="4B62550B"/>
    <w:rsid w:val="4B6B060E"/>
    <w:rsid w:val="4BB52B12"/>
    <w:rsid w:val="4BB66175"/>
    <w:rsid w:val="4BCB2FFA"/>
    <w:rsid w:val="4BD25472"/>
    <w:rsid w:val="4BDC510E"/>
    <w:rsid w:val="4C0310B0"/>
    <w:rsid w:val="4C0645A8"/>
    <w:rsid w:val="4C1F3FA0"/>
    <w:rsid w:val="4C2155BC"/>
    <w:rsid w:val="4C2A1055"/>
    <w:rsid w:val="4C4023DB"/>
    <w:rsid w:val="4C427CC9"/>
    <w:rsid w:val="4C577F06"/>
    <w:rsid w:val="4C7E2F03"/>
    <w:rsid w:val="4C9149E5"/>
    <w:rsid w:val="4C940A9D"/>
    <w:rsid w:val="4C947972"/>
    <w:rsid w:val="4CB71819"/>
    <w:rsid w:val="4CBE0B78"/>
    <w:rsid w:val="4CD42208"/>
    <w:rsid w:val="4CDD1CF5"/>
    <w:rsid w:val="4CE5570E"/>
    <w:rsid w:val="4CF35FD8"/>
    <w:rsid w:val="4D2B308B"/>
    <w:rsid w:val="4D2E2B7B"/>
    <w:rsid w:val="4D3F1E7C"/>
    <w:rsid w:val="4D503933"/>
    <w:rsid w:val="4D543074"/>
    <w:rsid w:val="4D580871"/>
    <w:rsid w:val="4D6500C8"/>
    <w:rsid w:val="4D87252B"/>
    <w:rsid w:val="4D892635"/>
    <w:rsid w:val="4D970721"/>
    <w:rsid w:val="4D9F1C36"/>
    <w:rsid w:val="4DA05878"/>
    <w:rsid w:val="4DBD4AF7"/>
    <w:rsid w:val="4DC31401"/>
    <w:rsid w:val="4DC80E46"/>
    <w:rsid w:val="4DCD2BFE"/>
    <w:rsid w:val="4DDA079D"/>
    <w:rsid w:val="4DDB1718"/>
    <w:rsid w:val="4DE95624"/>
    <w:rsid w:val="4E1248C0"/>
    <w:rsid w:val="4E314139"/>
    <w:rsid w:val="4E3A031A"/>
    <w:rsid w:val="4E55779B"/>
    <w:rsid w:val="4E6210E9"/>
    <w:rsid w:val="4E635EF4"/>
    <w:rsid w:val="4E6D1547"/>
    <w:rsid w:val="4E824F2D"/>
    <w:rsid w:val="4EA94D14"/>
    <w:rsid w:val="4EB313C7"/>
    <w:rsid w:val="4EC65CFC"/>
    <w:rsid w:val="4EDF237F"/>
    <w:rsid w:val="4EE7528D"/>
    <w:rsid w:val="4F4D7088"/>
    <w:rsid w:val="4F915D67"/>
    <w:rsid w:val="4FAB112F"/>
    <w:rsid w:val="4FB01626"/>
    <w:rsid w:val="4FC2438F"/>
    <w:rsid w:val="4FD27579"/>
    <w:rsid w:val="4FF76E38"/>
    <w:rsid w:val="50245B70"/>
    <w:rsid w:val="50266AF5"/>
    <w:rsid w:val="503606FB"/>
    <w:rsid w:val="50395ABF"/>
    <w:rsid w:val="505750FA"/>
    <w:rsid w:val="506B379F"/>
    <w:rsid w:val="506B7C43"/>
    <w:rsid w:val="507023E9"/>
    <w:rsid w:val="50792AA0"/>
    <w:rsid w:val="507B7F48"/>
    <w:rsid w:val="50990D3E"/>
    <w:rsid w:val="509B6FFA"/>
    <w:rsid w:val="50B252E5"/>
    <w:rsid w:val="50DE7D35"/>
    <w:rsid w:val="50E5659C"/>
    <w:rsid w:val="510C261A"/>
    <w:rsid w:val="511054F8"/>
    <w:rsid w:val="5116651C"/>
    <w:rsid w:val="512B7C13"/>
    <w:rsid w:val="5144296E"/>
    <w:rsid w:val="51491D32"/>
    <w:rsid w:val="51623FF0"/>
    <w:rsid w:val="51782617"/>
    <w:rsid w:val="517B2909"/>
    <w:rsid w:val="51A81D3C"/>
    <w:rsid w:val="51B66C9C"/>
    <w:rsid w:val="51C50642"/>
    <w:rsid w:val="51EA3AA3"/>
    <w:rsid w:val="51FD703C"/>
    <w:rsid w:val="520D1996"/>
    <w:rsid w:val="522D6228"/>
    <w:rsid w:val="524B2DC8"/>
    <w:rsid w:val="5253273C"/>
    <w:rsid w:val="526932A9"/>
    <w:rsid w:val="526B60CA"/>
    <w:rsid w:val="526D796A"/>
    <w:rsid w:val="52834A83"/>
    <w:rsid w:val="52853956"/>
    <w:rsid w:val="52903AC8"/>
    <w:rsid w:val="52966BA2"/>
    <w:rsid w:val="529835CD"/>
    <w:rsid w:val="529B6C78"/>
    <w:rsid w:val="52A961E5"/>
    <w:rsid w:val="52AB07CA"/>
    <w:rsid w:val="52B5213B"/>
    <w:rsid w:val="52B92565"/>
    <w:rsid w:val="52ED2B91"/>
    <w:rsid w:val="53081321"/>
    <w:rsid w:val="53201BF9"/>
    <w:rsid w:val="53C70D2D"/>
    <w:rsid w:val="53D630B5"/>
    <w:rsid w:val="53DD6BA4"/>
    <w:rsid w:val="53EC109A"/>
    <w:rsid w:val="53FF0FFB"/>
    <w:rsid w:val="541100F6"/>
    <w:rsid w:val="541A79B6"/>
    <w:rsid w:val="542550F6"/>
    <w:rsid w:val="54337D6A"/>
    <w:rsid w:val="54346D31"/>
    <w:rsid w:val="54807D65"/>
    <w:rsid w:val="548175DB"/>
    <w:rsid w:val="54A2196D"/>
    <w:rsid w:val="54AF6F1C"/>
    <w:rsid w:val="54C16083"/>
    <w:rsid w:val="54C51EF4"/>
    <w:rsid w:val="54DC5975"/>
    <w:rsid w:val="54FF2275"/>
    <w:rsid w:val="55346FA3"/>
    <w:rsid w:val="553523DD"/>
    <w:rsid w:val="554840AF"/>
    <w:rsid w:val="554D7917"/>
    <w:rsid w:val="55581577"/>
    <w:rsid w:val="55582054"/>
    <w:rsid w:val="55616EB1"/>
    <w:rsid w:val="55666963"/>
    <w:rsid w:val="55747599"/>
    <w:rsid w:val="5592001B"/>
    <w:rsid w:val="55AB641C"/>
    <w:rsid w:val="55B8083D"/>
    <w:rsid w:val="55C67BB9"/>
    <w:rsid w:val="55DC3545"/>
    <w:rsid w:val="55F54236"/>
    <w:rsid w:val="55FD0003"/>
    <w:rsid w:val="567C1ABD"/>
    <w:rsid w:val="56B0015D"/>
    <w:rsid w:val="56B01DE6"/>
    <w:rsid w:val="56C6328C"/>
    <w:rsid w:val="56E257F1"/>
    <w:rsid w:val="56E753C2"/>
    <w:rsid w:val="56EA3C09"/>
    <w:rsid w:val="56ED1741"/>
    <w:rsid w:val="571435BC"/>
    <w:rsid w:val="57193F55"/>
    <w:rsid w:val="571A7313"/>
    <w:rsid w:val="5737262D"/>
    <w:rsid w:val="575B3051"/>
    <w:rsid w:val="57636825"/>
    <w:rsid w:val="57723DCC"/>
    <w:rsid w:val="57886122"/>
    <w:rsid w:val="57A275FA"/>
    <w:rsid w:val="57A72F15"/>
    <w:rsid w:val="57B81206"/>
    <w:rsid w:val="57C855EB"/>
    <w:rsid w:val="57EF4CB5"/>
    <w:rsid w:val="58030761"/>
    <w:rsid w:val="58096075"/>
    <w:rsid w:val="582F0DCC"/>
    <w:rsid w:val="584B5B3A"/>
    <w:rsid w:val="584C4556"/>
    <w:rsid w:val="585275EB"/>
    <w:rsid w:val="5889510A"/>
    <w:rsid w:val="589645C5"/>
    <w:rsid w:val="589C308F"/>
    <w:rsid w:val="58AD479A"/>
    <w:rsid w:val="58BB3A94"/>
    <w:rsid w:val="58C6659B"/>
    <w:rsid w:val="58D97956"/>
    <w:rsid w:val="58E329DA"/>
    <w:rsid w:val="58EE36CC"/>
    <w:rsid w:val="58F045A4"/>
    <w:rsid w:val="58F5680C"/>
    <w:rsid w:val="59125066"/>
    <w:rsid w:val="592513AB"/>
    <w:rsid w:val="593257A1"/>
    <w:rsid w:val="59442183"/>
    <w:rsid w:val="59585380"/>
    <w:rsid w:val="597B79A5"/>
    <w:rsid w:val="59975605"/>
    <w:rsid w:val="599F036C"/>
    <w:rsid w:val="59AA3524"/>
    <w:rsid w:val="59AE2310"/>
    <w:rsid w:val="59BE7057"/>
    <w:rsid w:val="59D3440F"/>
    <w:rsid w:val="59EA59F4"/>
    <w:rsid w:val="59F31F14"/>
    <w:rsid w:val="5A08187D"/>
    <w:rsid w:val="5A241579"/>
    <w:rsid w:val="5A371FB4"/>
    <w:rsid w:val="5A3776D0"/>
    <w:rsid w:val="5A3E2038"/>
    <w:rsid w:val="5A524899"/>
    <w:rsid w:val="5A533C21"/>
    <w:rsid w:val="5A58104F"/>
    <w:rsid w:val="5A661E30"/>
    <w:rsid w:val="5A720D80"/>
    <w:rsid w:val="5A792959"/>
    <w:rsid w:val="5A8053D8"/>
    <w:rsid w:val="5AA10A2E"/>
    <w:rsid w:val="5AA177B9"/>
    <w:rsid w:val="5AA9097C"/>
    <w:rsid w:val="5AAC3332"/>
    <w:rsid w:val="5AB37B45"/>
    <w:rsid w:val="5AB5276C"/>
    <w:rsid w:val="5ABF45AF"/>
    <w:rsid w:val="5ACA0244"/>
    <w:rsid w:val="5ACE55EB"/>
    <w:rsid w:val="5AD2019B"/>
    <w:rsid w:val="5ADA1C4D"/>
    <w:rsid w:val="5AF25FAF"/>
    <w:rsid w:val="5B2F20F7"/>
    <w:rsid w:val="5B303801"/>
    <w:rsid w:val="5B311D02"/>
    <w:rsid w:val="5B3175E2"/>
    <w:rsid w:val="5B3A093D"/>
    <w:rsid w:val="5B3D2A3F"/>
    <w:rsid w:val="5B435D0F"/>
    <w:rsid w:val="5B506379"/>
    <w:rsid w:val="5B8652CC"/>
    <w:rsid w:val="5B966905"/>
    <w:rsid w:val="5BA35233"/>
    <w:rsid w:val="5BC02338"/>
    <w:rsid w:val="5BEB7F91"/>
    <w:rsid w:val="5BEC083F"/>
    <w:rsid w:val="5BFE196B"/>
    <w:rsid w:val="5C02728F"/>
    <w:rsid w:val="5C0D79AA"/>
    <w:rsid w:val="5C1B4218"/>
    <w:rsid w:val="5C207D5B"/>
    <w:rsid w:val="5C2302AF"/>
    <w:rsid w:val="5C24745F"/>
    <w:rsid w:val="5C6C010E"/>
    <w:rsid w:val="5C7022C3"/>
    <w:rsid w:val="5C954B8E"/>
    <w:rsid w:val="5CA11070"/>
    <w:rsid w:val="5CAA6ECA"/>
    <w:rsid w:val="5CBF6C33"/>
    <w:rsid w:val="5CE27B9E"/>
    <w:rsid w:val="5CE33E2B"/>
    <w:rsid w:val="5CF94424"/>
    <w:rsid w:val="5D2C4677"/>
    <w:rsid w:val="5D2D3AF7"/>
    <w:rsid w:val="5D3B599A"/>
    <w:rsid w:val="5D3D6594"/>
    <w:rsid w:val="5D5D2AD3"/>
    <w:rsid w:val="5D635307"/>
    <w:rsid w:val="5D9D627E"/>
    <w:rsid w:val="5DA16A52"/>
    <w:rsid w:val="5DA21725"/>
    <w:rsid w:val="5DA27BC8"/>
    <w:rsid w:val="5DCA4476"/>
    <w:rsid w:val="5DD175FD"/>
    <w:rsid w:val="5DDC5CDC"/>
    <w:rsid w:val="5E045215"/>
    <w:rsid w:val="5E192377"/>
    <w:rsid w:val="5E2B11B4"/>
    <w:rsid w:val="5E394EDC"/>
    <w:rsid w:val="5E4C3E91"/>
    <w:rsid w:val="5E6B7C59"/>
    <w:rsid w:val="5E804366"/>
    <w:rsid w:val="5E8720EC"/>
    <w:rsid w:val="5EA7703D"/>
    <w:rsid w:val="5EAD1257"/>
    <w:rsid w:val="5ECF363D"/>
    <w:rsid w:val="5EF808F3"/>
    <w:rsid w:val="5F013C4C"/>
    <w:rsid w:val="5F1B1C7A"/>
    <w:rsid w:val="5F2673AF"/>
    <w:rsid w:val="5F4C33F1"/>
    <w:rsid w:val="5F56022E"/>
    <w:rsid w:val="5FD929C1"/>
    <w:rsid w:val="5FE01DDB"/>
    <w:rsid w:val="5FE44556"/>
    <w:rsid w:val="5FE57AC5"/>
    <w:rsid w:val="5FE835E1"/>
    <w:rsid w:val="5FF123F8"/>
    <w:rsid w:val="6000187E"/>
    <w:rsid w:val="600C0AFA"/>
    <w:rsid w:val="60234096"/>
    <w:rsid w:val="60367925"/>
    <w:rsid w:val="603875F1"/>
    <w:rsid w:val="604422AD"/>
    <w:rsid w:val="606336EF"/>
    <w:rsid w:val="60673F83"/>
    <w:rsid w:val="606A20A0"/>
    <w:rsid w:val="606F0B94"/>
    <w:rsid w:val="60744560"/>
    <w:rsid w:val="60A56859"/>
    <w:rsid w:val="60F30B34"/>
    <w:rsid w:val="60F53C86"/>
    <w:rsid w:val="610D26F0"/>
    <w:rsid w:val="610F7B10"/>
    <w:rsid w:val="61550973"/>
    <w:rsid w:val="61712A9B"/>
    <w:rsid w:val="617200A8"/>
    <w:rsid w:val="61796CB2"/>
    <w:rsid w:val="6182622A"/>
    <w:rsid w:val="61A178FC"/>
    <w:rsid w:val="61AB77FD"/>
    <w:rsid w:val="61C827FF"/>
    <w:rsid w:val="61CD7960"/>
    <w:rsid w:val="61DE64C6"/>
    <w:rsid w:val="62434542"/>
    <w:rsid w:val="62562501"/>
    <w:rsid w:val="625965B0"/>
    <w:rsid w:val="6267445B"/>
    <w:rsid w:val="626B2850"/>
    <w:rsid w:val="629D384C"/>
    <w:rsid w:val="62AD1B57"/>
    <w:rsid w:val="62B72874"/>
    <w:rsid w:val="62C1431D"/>
    <w:rsid w:val="631E52E0"/>
    <w:rsid w:val="63733A45"/>
    <w:rsid w:val="639A4418"/>
    <w:rsid w:val="639A466F"/>
    <w:rsid w:val="63A16829"/>
    <w:rsid w:val="63B07155"/>
    <w:rsid w:val="63C36886"/>
    <w:rsid w:val="63C75763"/>
    <w:rsid w:val="63F21DB5"/>
    <w:rsid w:val="64062AB6"/>
    <w:rsid w:val="641A3E42"/>
    <w:rsid w:val="64326656"/>
    <w:rsid w:val="64453768"/>
    <w:rsid w:val="6449399F"/>
    <w:rsid w:val="644B7392"/>
    <w:rsid w:val="645B5C76"/>
    <w:rsid w:val="64677E7C"/>
    <w:rsid w:val="6487222B"/>
    <w:rsid w:val="64A962FD"/>
    <w:rsid w:val="64D677A4"/>
    <w:rsid w:val="64DC4DF9"/>
    <w:rsid w:val="64E447CB"/>
    <w:rsid w:val="64EB1231"/>
    <w:rsid w:val="64FE7CFD"/>
    <w:rsid w:val="6500161D"/>
    <w:rsid w:val="6523352A"/>
    <w:rsid w:val="65290C90"/>
    <w:rsid w:val="65562818"/>
    <w:rsid w:val="656C5B6E"/>
    <w:rsid w:val="657B7491"/>
    <w:rsid w:val="6596664C"/>
    <w:rsid w:val="65A74373"/>
    <w:rsid w:val="65B12339"/>
    <w:rsid w:val="65B85F60"/>
    <w:rsid w:val="65B9310C"/>
    <w:rsid w:val="65D335CC"/>
    <w:rsid w:val="65D73796"/>
    <w:rsid w:val="65E03F6F"/>
    <w:rsid w:val="65EB2940"/>
    <w:rsid w:val="6603474E"/>
    <w:rsid w:val="66153309"/>
    <w:rsid w:val="66173D55"/>
    <w:rsid w:val="66180E49"/>
    <w:rsid w:val="66186C22"/>
    <w:rsid w:val="667E6DD3"/>
    <w:rsid w:val="66877A2A"/>
    <w:rsid w:val="669115E6"/>
    <w:rsid w:val="669B7157"/>
    <w:rsid w:val="66BC0DD1"/>
    <w:rsid w:val="66D03580"/>
    <w:rsid w:val="66EF415E"/>
    <w:rsid w:val="66F2031E"/>
    <w:rsid w:val="66FC296E"/>
    <w:rsid w:val="67242EF3"/>
    <w:rsid w:val="673B0420"/>
    <w:rsid w:val="67581696"/>
    <w:rsid w:val="6779459B"/>
    <w:rsid w:val="67986A3F"/>
    <w:rsid w:val="679F4002"/>
    <w:rsid w:val="67AB7961"/>
    <w:rsid w:val="67AC5A32"/>
    <w:rsid w:val="67C94904"/>
    <w:rsid w:val="68027306"/>
    <w:rsid w:val="6804655B"/>
    <w:rsid w:val="680C4953"/>
    <w:rsid w:val="681845FC"/>
    <w:rsid w:val="681C2EEB"/>
    <w:rsid w:val="681C3E84"/>
    <w:rsid w:val="68664B20"/>
    <w:rsid w:val="6879582E"/>
    <w:rsid w:val="687B6ABA"/>
    <w:rsid w:val="68836894"/>
    <w:rsid w:val="689066C1"/>
    <w:rsid w:val="689C66B2"/>
    <w:rsid w:val="68B94C04"/>
    <w:rsid w:val="68DA4024"/>
    <w:rsid w:val="68DA6718"/>
    <w:rsid w:val="68DB1D5B"/>
    <w:rsid w:val="68E17DAF"/>
    <w:rsid w:val="68FA02B4"/>
    <w:rsid w:val="6922138F"/>
    <w:rsid w:val="69260DFE"/>
    <w:rsid w:val="69321272"/>
    <w:rsid w:val="69410A59"/>
    <w:rsid w:val="69851F8E"/>
    <w:rsid w:val="69862E5B"/>
    <w:rsid w:val="69901EBF"/>
    <w:rsid w:val="69BA01D0"/>
    <w:rsid w:val="69BB533F"/>
    <w:rsid w:val="69CF69F2"/>
    <w:rsid w:val="69D12391"/>
    <w:rsid w:val="6A071D01"/>
    <w:rsid w:val="6A1A7948"/>
    <w:rsid w:val="6A2B404A"/>
    <w:rsid w:val="6A2D609F"/>
    <w:rsid w:val="6A490E1F"/>
    <w:rsid w:val="6A7036DA"/>
    <w:rsid w:val="6A7E25F5"/>
    <w:rsid w:val="6AA10091"/>
    <w:rsid w:val="6AB53970"/>
    <w:rsid w:val="6AE63D7C"/>
    <w:rsid w:val="6AEC4145"/>
    <w:rsid w:val="6AEC5E11"/>
    <w:rsid w:val="6AEF222D"/>
    <w:rsid w:val="6AFB07DC"/>
    <w:rsid w:val="6B10196A"/>
    <w:rsid w:val="6B42581E"/>
    <w:rsid w:val="6B431AA5"/>
    <w:rsid w:val="6B45063E"/>
    <w:rsid w:val="6B63024D"/>
    <w:rsid w:val="6B7C200C"/>
    <w:rsid w:val="6B972ED5"/>
    <w:rsid w:val="6BC51DE3"/>
    <w:rsid w:val="6BC524A5"/>
    <w:rsid w:val="6BD26685"/>
    <w:rsid w:val="6BDD10D9"/>
    <w:rsid w:val="6BDE3E0D"/>
    <w:rsid w:val="6BFE5682"/>
    <w:rsid w:val="6C0B08A7"/>
    <w:rsid w:val="6C1B4922"/>
    <w:rsid w:val="6C3F5902"/>
    <w:rsid w:val="6C521503"/>
    <w:rsid w:val="6C5C0714"/>
    <w:rsid w:val="6C856889"/>
    <w:rsid w:val="6C8815DE"/>
    <w:rsid w:val="6C970F0F"/>
    <w:rsid w:val="6CA610B8"/>
    <w:rsid w:val="6CAF0230"/>
    <w:rsid w:val="6CB56076"/>
    <w:rsid w:val="6CEC441F"/>
    <w:rsid w:val="6CFE5C6F"/>
    <w:rsid w:val="6D15307C"/>
    <w:rsid w:val="6D1F3CE0"/>
    <w:rsid w:val="6D3D7493"/>
    <w:rsid w:val="6D430CF7"/>
    <w:rsid w:val="6D6D1B85"/>
    <w:rsid w:val="6D7221B9"/>
    <w:rsid w:val="6D8277DD"/>
    <w:rsid w:val="6D88235A"/>
    <w:rsid w:val="6D9317A7"/>
    <w:rsid w:val="6DB77028"/>
    <w:rsid w:val="6DD65E76"/>
    <w:rsid w:val="6DDB06FF"/>
    <w:rsid w:val="6DE806D7"/>
    <w:rsid w:val="6DE855D8"/>
    <w:rsid w:val="6DE940CA"/>
    <w:rsid w:val="6DED5E16"/>
    <w:rsid w:val="6DF604F4"/>
    <w:rsid w:val="6DF901E4"/>
    <w:rsid w:val="6E1C2FE3"/>
    <w:rsid w:val="6E2B4596"/>
    <w:rsid w:val="6E974CD9"/>
    <w:rsid w:val="6EBC7B8F"/>
    <w:rsid w:val="6EBF0918"/>
    <w:rsid w:val="6F0705A3"/>
    <w:rsid w:val="6F0D24D4"/>
    <w:rsid w:val="6F136A21"/>
    <w:rsid w:val="6F1400B3"/>
    <w:rsid w:val="6F2F7CF9"/>
    <w:rsid w:val="6F3B64CA"/>
    <w:rsid w:val="6F3D671E"/>
    <w:rsid w:val="6F4C47E5"/>
    <w:rsid w:val="6F6977EE"/>
    <w:rsid w:val="6F814220"/>
    <w:rsid w:val="6F8C0F1A"/>
    <w:rsid w:val="6F9401C4"/>
    <w:rsid w:val="6FB2689C"/>
    <w:rsid w:val="6FC77138"/>
    <w:rsid w:val="6FC926B5"/>
    <w:rsid w:val="6FD70D7C"/>
    <w:rsid w:val="6FE50A20"/>
    <w:rsid w:val="6FE74798"/>
    <w:rsid w:val="6FF670D1"/>
    <w:rsid w:val="7003534A"/>
    <w:rsid w:val="70206657"/>
    <w:rsid w:val="70291255"/>
    <w:rsid w:val="70512FB6"/>
    <w:rsid w:val="705727F0"/>
    <w:rsid w:val="706114C7"/>
    <w:rsid w:val="706A6442"/>
    <w:rsid w:val="7089584F"/>
    <w:rsid w:val="708C73CC"/>
    <w:rsid w:val="709415BD"/>
    <w:rsid w:val="70A91E95"/>
    <w:rsid w:val="70BA339B"/>
    <w:rsid w:val="70BA5DF6"/>
    <w:rsid w:val="70CF46EC"/>
    <w:rsid w:val="70D12294"/>
    <w:rsid w:val="70D51E4B"/>
    <w:rsid w:val="70DE1699"/>
    <w:rsid w:val="70E4094B"/>
    <w:rsid w:val="70E6116E"/>
    <w:rsid w:val="70F65C91"/>
    <w:rsid w:val="70FF5350"/>
    <w:rsid w:val="71043C71"/>
    <w:rsid w:val="710A2738"/>
    <w:rsid w:val="713A0E5D"/>
    <w:rsid w:val="715F1C4D"/>
    <w:rsid w:val="716B36C9"/>
    <w:rsid w:val="717275FE"/>
    <w:rsid w:val="717A6635"/>
    <w:rsid w:val="717B73FE"/>
    <w:rsid w:val="717D36A9"/>
    <w:rsid w:val="717E365E"/>
    <w:rsid w:val="719A1C51"/>
    <w:rsid w:val="71B0505E"/>
    <w:rsid w:val="71EB10FF"/>
    <w:rsid w:val="71F3606C"/>
    <w:rsid w:val="71F50074"/>
    <w:rsid w:val="72031631"/>
    <w:rsid w:val="7226559D"/>
    <w:rsid w:val="723B22CD"/>
    <w:rsid w:val="72431411"/>
    <w:rsid w:val="72612A61"/>
    <w:rsid w:val="728C1627"/>
    <w:rsid w:val="72AA1F8A"/>
    <w:rsid w:val="72D57F09"/>
    <w:rsid w:val="7309711B"/>
    <w:rsid w:val="730B2E93"/>
    <w:rsid w:val="730D196F"/>
    <w:rsid w:val="731A1328"/>
    <w:rsid w:val="73226503"/>
    <w:rsid w:val="73340982"/>
    <w:rsid w:val="73357020"/>
    <w:rsid w:val="7359009F"/>
    <w:rsid w:val="736741EF"/>
    <w:rsid w:val="7389046F"/>
    <w:rsid w:val="73A6496A"/>
    <w:rsid w:val="73AA6B8D"/>
    <w:rsid w:val="73AE2A20"/>
    <w:rsid w:val="73B40E35"/>
    <w:rsid w:val="73CF260A"/>
    <w:rsid w:val="73F73CFA"/>
    <w:rsid w:val="740C09CB"/>
    <w:rsid w:val="74157DA1"/>
    <w:rsid w:val="741B1F89"/>
    <w:rsid w:val="742A2AC8"/>
    <w:rsid w:val="74461344"/>
    <w:rsid w:val="745D2816"/>
    <w:rsid w:val="74886F9B"/>
    <w:rsid w:val="74B11819"/>
    <w:rsid w:val="74B43A77"/>
    <w:rsid w:val="74E6343E"/>
    <w:rsid w:val="74EF4E09"/>
    <w:rsid w:val="74FB0A5C"/>
    <w:rsid w:val="7505392D"/>
    <w:rsid w:val="75183646"/>
    <w:rsid w:val="751B2D04"/>
    <w:rsid w:val="7548257D"/>
    <w:rsid w:val="754B1461"/>
    <w:rsid w:val="755566D9"/>
    <w:rsid w:val="75960150"/>
    <w:rsid w:val="759D6C35"/>
    <w:rsid w:val="75C4703D"/>
    <w:rsid w:val="75C53060"/>
    <w:rsid w:val="75C94940"/>
    <w:rsid w:val="75D070EB"/>
    <w:rsid w:val="75E60528"/>
    <w:rsid w:val="75F220E9"/>
    <w:rsid w:val="76056182"/>
    <w:rsid w:val="760F67F7"/>
    <w:rsid w:val="76115C78"/>
    <w:rsid w:val="761262E7"/>
    <w:rsid w:val="761B579E"/>
    <w:rsid w:val="76362BC7"/>
    <w:rsid w:val="76455741"/>
    <w:rsid w:val="764F753B"/>
    <w:rsid w:val="76526C4F"/>
    <w:rsid w:val="76644914"/>
    <w:rsid w:val="766C2A68"/>
    <w:rsid w:val="76836915"/>
    <w:rsid w:val="768F50D5"/>
    <w:rsid w:val="769709A2"/>
    <w:rsid w:val="769B008A"/>
    <w:rsid w:val="76CD2A67"/>
    <w:rsid w:val="76E77774"/>
    <w:rsid w:val="76F65C09"/>
    <w:rsid w:val="76F80D55"/>
    <w:rsid w:val="77007700"/>
    <w:rsid w:val="770466EE"/>
    <w:rsid w:val="770F11E4"/>
    <w:rsid w:val="771918F0"/>
    <w:rsid w:val="771D2FBB"/>
    <w:rsid w:val="772955B3"/>
    <w:rsid w:val="77315935"/>
    <w:rsid w:val="773A3D47"/>
    <w:rsid w:val="77596B6A"/>
    <w:rsid w:val="77617526"/>
    <w:rsid w:val="777D5662"/>
    <w:rsid w:val="779C60CC"/>
    <w:rsid w:val="77B533CE"/>
    <w:rsid w:val="77B9084D"/>
    <w:rsid w:val="77C35AEB"/>
    <w:rsid w:val="77C6261E"/>
    <w:rsid w:val="77D23F80"/>
    <w:rsid w:val="77EF7CD2"/>
    <w:rsid w:val="77F01FC5"/>
    <w:rsid w:val="78090E99"/>
    <w:rsid w:val="782226C3"/>
    <w:rsid w:val="78224565"/>
    <w:rsid w:val="78252301"/>
    <w:rsid w:val="78286B8E"/>
    <w:rsid w:val="784F737E"/>
    <w:rsid w:val="78591FAB"/>
    <w:rsid w:val="786B57CD"/>
    <w:rsid w:val="7880578A"/>
    <w:rsid w:val="788D1D21"/>
    <w:rsid w:val="78CA0F85"/>
    <w:rsid w:val="78D6402D"/>
    <w:rsid w:val="78D75D30"/>
    <w:rsid w:val="78E605C7"/>
    <w:rsid w:val="78EC72C3"/>
    <w:rsid w:val="78F13F23"/>
    <w:rsid w:val="79127F7F"/>
    <w:rsid w:val="793F3454"/>
    <w:rsid w:val="796D49B4"/>
    <w:rsid w:val="7975017B"/>
    <w:rsid w:val="79772D5C"/>
    <w:rsid w:val="799552DD"/>
    <w:rsid w:val="79A05F27"/>
    <w:rsid w:val="79B32366"/>
    <w:rsid w:val="79C12DC4"/>
    <w:rsid w:val="79DA35C0"/>
    <w:rsid w:val="79E641FE"/>
    <w:rsid w:val="79EE0383"/>
    <w:rsid w:val="79FB3051"/>
    <w:rsid w:val="7A2D4AB3"/>
    <w:rsid w:val="7A3031E0"/>
    <w:rsid w:val="7A340F22"/>
    <w:rsid w:val="7A5223BA"/>
    <w:rsid w:val="7A6C40DB"/>
    <w:rsid w:val="7A722B8B"/>
    <w:rsid w:val="7A7856F5"/>
    <w:rsid w:val="7A8A28F0"/>
    <w:rsid w:val="7A8B195D"/>
    <w:rsid w:val="7AA41266"/>
    <w:rsid w:val="7B011906"/>
    <w:rsid w:val="7B045D1E"/>
    <w:rsid w:val="7B2014A6"/>
    <w:rsid w:val="7B296CC6"/>
    <w:rsid w:val="7B2F1B69"/>
    <w:rsid w:val="7B3D1106"/>
    <w:rsid w:val="7B411B15"/>
    <w:rsid w:val="7B5036BE"/>
    <w:rsid w:val="7B5C27A2"/>
    <w:rsid w:val="7B6608AB"/>
    <w:rsid w:val="7B67180A"/>
    <w:rsid w:val="7B6D527B"/>
    <w:rsid w:val="7B7F3506"/>
    <w:rsid w:val="7B8661D1"/>
    <w:rsid w:val="7B8D04FE"/>
    <w:rsid w:val="7BBA1679"/>
    <w:rsid w:val="7BC92E10"/>
    <w:rsid w:val="7BD02FE0"/>
    <w:rsid w:val="7BE16B02"/>
    <w:rsid w:val="7BF777E9"/>
    <w:rsid w:val="7C076FCC"/>
    <w:rsid w:val="7C1B6FBB"/>
    <w:rsid w:val="7C2C06E4"/>
    <w:rsid w:val="7C303738"/>
    <w:rsid w:val="7C317622"/>
    <w:rsid w:val="7C3E6E64"/>
    <w:rsid w:val="7C5D57A5"/>
    <w:rsid w:val="7C5F57C2"/>
    <w:rsid w:val="7C7C13A4"/>
    <w:rsid w:val="7C9E76E5"/>
    <w:rsid w:val="7CA37877"/>
    <w:rsid w:val="7CA5135D"/>
    <w:rsid w:val="7CB9580B"/>
    <w:rsid w:val="7CC86358"/>
    <w:rsid w:val="7CFC39FA"/>
    <w:rsid w:val="7CFD6867"/>
    <w:rsid w:val="7CFE20CC"/>
    <w:rsid w:val="7D07647A"/>
    <w:rsid w:val="7D255B4A"/>
    <w:rsid w:val="7D256900"/>
    <w:rsid w:val="7D437205"/>
    <w:rsid w:val="7D5B0252"/>
    <w:rsid w:val="7D762C53"/>
    <w:rsid w:val="7D971A5F"/>
    <w:rsid w:val="7D9B2290"/>
    <w:rsid w:val="7DC76919"/>
    <w:rsid w:val="7DCD6ED9"/>
    <w:rsid w:val="7DD04CE4"/>
    <w:rsid w:val="7DD345AE"/>
    <w:rsid w:val="7DDF4257"/>
    <w:rsid w:val="7DF804B8"/>
    <w:rsid w:val="7DFE5623"/>
    <w:rsid w:val="7E120586"/>
    <w:rsid w:val="7E232407"/>
    <w:rsid w:val="7E3236F4"/>
    <w:rsid w:val="7E400C4A"/>
    <w:rsid w:val="7E50347C"/>
    <w:rsid w:val="7E5576B9"/>
    <w:rsid w:val="7E5A55FC"/>
    <w:rsid w:val="7E6B0A8F"/>
    <w:rsid w:val="7E6C18F1"/>
    <w:rsid w:val="7EAA4834"/>
    <w:rsid w:val="7ED735C0"/>
    <w:rsid w:val="7EF0490A"/>
    <w:rsid w:val="7F0B7D77"/>
    <w:rsid w:val="7F2A77E5"/>
    <w:rsid w:val="7F35715D"/>
    <w:rsid w:val="7F480FCB"/>
    <w:rsid w:val="7F5D6825"/>
    <w:rsid w:val="7F68581B"/>
    <w:rsid w:val="7F7D75A3"/>
    <w:rsid w:val="7FCD260E"/>
    <w:rsid w:val="7FD11037"/>
    <w:rsid w:val="7FF900DB"/>
    <w:rsid w:val="7FF972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Theme="minorHAnsi" w:hAnsiTheme="minorHAnsi" w:eastAsiaTheme="minorHAnsi" w:cstheme="minorBidi"/>
      <w:sz w:val="22"/>
      <w:szCs w:val="22"/>
      <w:lang w:val="en-US" w:eastAsia="en-US" w:bidi="ar-SA"/>
    </w:rPr>
  </w:style>
  <w:style w:type="paragraph" w:styleId="4">
    <w:name w:val="heading 1"/>
    <w:basedOn w:val="1"/>
    <w:next w:val="1"/>
    <w:autoRedefine/>
    <w:qFormat/>
    <w:uiPriority w:val="1"/>
    <w:pPr>
      <w:ind w:left="-4"/>
      <w:outlineLvl w:val="0"/>
    </w:pPr>
    <w:rPr>
      <w:rFonts w:ascii="宋体" w:hAnsi="宋体" w:eastAsia="宋体"/>
      <w:b/>
      <w:bCs/>
      <w:sz w:val="44"/>
      <w:szCs w:val="44"/>
    </w:rPr>
  </w:style>
  <w:style w:type="paragraph" w:styleId="5">
    <w:name w:val="heading 2"/>
    <w:basedOn w:val="1"/>
    <w:next w:val="1"/>
    <w:autoRedefine/>
    <w:qFormat/>
    <w:uiPriority w:val="1"/>
    <w:pPr>
      <w:spacing w:before="7"/>
      <w:ind w:left="142"/>
      <w:outlineLvl w:val="1"/>
    </w:pPr>
    <w:rPr>
      <w:rFonts w:ascii="宋体" w:hAnsi="宋体" w:eastAsia="宋体"/>
      <w:b/>
      <w:bCs/>
      <w:sz w:val="30"/>
      <w:szCs w:val="30"/>
    </w:rPr>
  </w:style>
  <w:style w:type="paragraph" w:styleId="6">
    <w:name w:val="heading 3"/>
    <w:basedOn w:val="1"/>
    <w:next w:val="1"/>
    <w:qFormat/>
    <w:uiPriority w:val="1"/>
    <w:pPr>
      <w:ind w:left="142"/>
      <w:outlineLvl w:val="2"/>
    </w:pPr>
    <w:rPr>
      <w:rFonts w:ascii="宋体" w:hAnsi="宋体" w:eastAsia="宋体"/>
      <w:b/>
      <w:bCs/>
      <w:sz w:val="28"/>
      <w:szCs w:val="28"/>
    </w:rPr>
  </w:style>
  <w:style w:type="paragraph" w:styleId="7">
    <w:name w:val="heading 4"/>
    <w:basedOn w:val="1"/>
    <w:next w:val="1"/>
    <w:autoRedefine/>
    <w:qFormat/>
    <w:uiPriority w:val="1"/>
    <w:pPr>
      <w:outlineLvl w:val="3"/>
    </w:pPr>
    <w:rPr>
      <w:rFonts w:ascii="黑体" w:hAnsi="黑体" w:eastAsia="黑体"/>
      <w:sz w:val="28"/>
      <w:szCs w:val="28"/>
    </w:rPr>
  </w:style>
  <w:style w:type="paragraph" w:styleId="8">
    <w:name w:val="heading 5"/>
    <w:basedOn w:val="1"/>
    <w:next w:val="1"/>
    <w:autoRedefine/>
    <w:qFormat/>
    <w:uiPriority w:val="1"/>
    <w:pPr>
      <w:ind w:left="624"/>
      <w:outlineLvl w:val="4"/>
    </w:pPr>
    <w:rPr>
      <w:rFonts w:ascii="宋体" w:hAnsi="宋体" w:eastAsia="宋体"/>
      <w:b/>
      <w:bCs/>
      <w:sz w:val="24"/>
      <w:szCs w:val="24"/>
    </w:rPr>
  </w:style>
  <w:style w:type="character" w:default="1" w:styleId="27">
    <w:name w:val="Default Paragraph Font"/>
    <w:autoRedefine/>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ind w:firstLine="420" w:firstLineChars="100"/>
    </w:pPr>
    <w:rPr>
      <w:rFonts w:ascii="Times New Roman" w:hAnsi="Times New Roman" w:cs="Times New Roman"/>
      <w:sz w:val="21"/>
      <w:szCs w:val="20"/>
    </w:rPr>
  </w:style>
  <w:style w:type="paragraph" w:styleId="3">
    <w:name w:val="Body Text"/>
    <w:basedOn w:val="1"/>
    <w:autoRedefine/>
    <w:qFormat/>
    <w:uiPriority w:val="1"/>
    <w:pPr>
      <w:spacing w:before="154"/>
      <w:ind w:left="142"/>
    </w:pPr>
    <w:rPr>
      <w:rFonts w:ascii="宋体" w:hAnsi="宋体" w:eastAsia="宋体"/>
      <w:sz w:val="24"/>
      <w:szCs w:val="24"/>
    </w:rPr>
  </w:style>
  <w:style w:type="paragraph" w:styleId="9">
    <w:name w:val="Normal Indent"/>
    <w:basedOn w:val="1"/>
    <w:autoRedefine/>
    <w:qFormat/>
    <w:uiPriority w:val="0"/>
    <w:pPr>
      <w:ind w:firstLine="420"/>
    </w:pPr>
    <w:rPr>
      <w:szCs w:val="20"/>
    </w:rPr>
  </w:style>
  <w:style w:type="paragraph" w:styleId="10">
    <w:name w:val="annotation text"/>
    <w:basedOn w:val="1"/>
    <w:link w:val="40"/>
    <w:autoRedefine/>
    <w:qFormat/>
    <w:uiPriority w:val="0"/>
  </w:style>
  <w:style w:type="paragraph" w:styleId="11">
    <w:name w:val="Body Text Indent"/>
    <w:basedOn w:val="1"/>
    <w:next w:val="12"/>
    <w:autoRedefine/>
    <w:unhideWhenUsed/>
    <w:qFormat/>
    <w:uiPriority w:val="0"/>
    <w:pPr>
      <w:spacing w:after="120"/>
      <w:ind w:left="420" w:leftChars="200"/>
    </w:pPr>
  </w:style>
  <w:style w:type="paragraph" w:styleId="12">
    <w:name w:val="envelope return"/>
    <w:basedOn w:val="1"/>
    <w:autoRedefine/>
    <w:qFormat/>
    <w:uiPriority w:val="0"/>
    <w:pPr>
      <w:snapToGrid w:val="0"/>
    </w:pPr>
    <w:rPr>
      <w:rFonts w:ascii="Arial" w:hAnsi="Arial" w:eastAsia="宋体" w:cs="Times New Roman"/>
      <w:sz w:val="21"/>
    </w:rPr>
  </w:style>
  <w:style w:type="paragraph" w:styleId="13">
    <w:name w:val="List 2"/>
    <w:basedOn w:val="1"/>
    <w:autoRedefine/>
    <w:qFormat/>
    <w:uiPriority w:val="0"/>
    <w:pPr>
      <w:spacing w:beforeAutospacing="1" w:afterAutospacing="1" w:line="360" w:lineRule="auto"/>
      <w:ind w:left="100" w:leftChars="200" w:hanging="200" w:hangingChars="200"/>
      <w:contextualSpacing/>
    </w:pPr>
    <w:rPr>
      <w:rFonts w:ascii="Times New Roman" w:hAnsi="Times New Roman" w:eastAsia="宋体" w:cs="Times New Roman"/>
      <w:sz w:val="24"/>
    </w:rPr>
  </w:style>
  <w:style w:type="paragraph" w:styleId="14">
    <w:name w:val="toc 3"/>
    <w:basedOn w:val="1"/>
    <w:next w:val="1"/>
    <w:autoRedefine/>
    <w:qFormat/>
    <w:uiPriority w:val="0"/>
    <w:pPr>
      <w:ind w:left="840" w:leftChars="400"/>
    </w:pPr>
    <w:rPr>
      <w:rFonts w:ascii="Times New Roman" w:hAnsi="Times New Roman" w:eastAsia="宋体" w:cs="Times New Roman"/>
      <w:sz w:val="21"/>
    </w:rPr>
  </w:style>
  <w:style w:type="paragraph" w:styleId="15">
    <w:name w:val="Plain Text"/>
    <w:basedOn w:val="1"/>
    <w:autoRedefine/>
    <w:qFormat/>
    <w:uiPriority w:val="0"/>
    <w:rPr>
      <w:rFonts w:ascii="宋体" w:hAnsi="Courier New" w:cs="Courier New"/>
      <w:szCs w:val="21"/>
    </w:rPr>
  </w:style>
  <w:style w:type="paragraph" w:styleId="16">
    <w:name w:val="Balloon Text"/>
    <w:basedOn w:val="1"/>
    <w:link w:val="39"/>
    <w:autoRedefine/>
    <w:qFormat/>
    <w:uiPriority w:val="0"/>
    <w:rPr>
      <w:sz w:val="18"/>
      <w:szCs w:val="18"/>
    </w:rPr>
  </w:style>
  <w:style w:type="paragraph" w:styleId="17">
    <w:name w:val="footer"/>
    <w:basedOn w:val="1"/>
    <w:autoRedefine/>
    <w:qFormat/>
    <w:uiPriority w:val="0"/>
    <w:pPr>
      <w:tabs>
        <w:tab w:val="center" w:pos="4153"/>
        <w:tab w:val="right" w:pos="8306"/>
      </w:tabs>
      <w:snapToGrid w:val="0"/>
    </w:pPr>
    <w:rPr>
      <w:sz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9">
    <w:name w:val="toc 1"/>
    <w:basedOn w:val="1"/>
    <w:next w:val="1"/>
    <w:autoRedefine/>
    <w:qFormat/>
    <w:uiPriority w:val="39"/>
    <w:pPr>
      <w:spacing w:before="154"/>
      <w:ind w:left="142"/>
    </w:pPr>
    <w:rPr>
      <w:rFonts w:ascii="宋体" w:hAnsi="宋体" w:eastAsia="宋体"/>
      <w:sz w:val="24"/>
      <w:szCs w:val="24"/>
    </w:rPr>
  </w:style>
  <w:style w:type="paragraph" w:styleId="20">
    <w:name w:val="toc 2"/>
    <w:basedOn w:val="1"/>
    <w:next w:val="1"/>
    <w:autoRedefine/>
    <w:qFormat/>
    <w:uiPriority w:val="39"/>
    <w:pPr>
      <w:spacing w:before="154"/>
      <w:ind w:left="883"/>
    </w:pPr>
    <w:rPr>
      <w:rFonts w:ascii="宋体" w:hAnsi="宋体" w:eastAsia="宋体"/>
      <w:sz w:val="24"/>
      <w:szCs w:val="24"/>
    </w:rPr>
  </w:style>
  <w:style w:type="paragraph" w:styleId="21">
    <w:name w:val="Body Text 2"/>
    <w:basedOn w:val="1"/>
    <w:next w:val="3"/>
    <w:autoRedefine/>
    <w:qFormat/>
    <w:uiPriority w:val="99"/>
    <w:pPr>
      <w:spacing w:after="120" w:line="480" w:lineRule="auto"/>
    </w:pPr>
    <w:rPr>
      <w:sz w:val="20"/>
      <w:szCs w:val="20"/>
    </w:rPr>
  </w:style>
  <w:style w:type="paragraph" w:styleId="22">
    <w:name w:val="Message Header"/>
    <w:basedOn w:val="1"/>
    <w:next w:val="1"/>
    <w:autoRedefine/>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eastAsia="仿宋_GB2312"/>
      <w:sz w:val="24"/>
      <w:szCs w:val="24"/>
    </w:rPr>
  </w:style>
  <w:style w:type="paragraph" w:styleId="23">
    <w:name w:val="annotation subject"/>
    <w:basedOn w:val="10"/>
    <w:next w:val="10"/>
    <w:link w:val="41"/>
    <w:autoRedefine/>
    <w:qFormat/>
    <w:uiPriority w:val="0"/>
    <w:rPr>
      <w:b/>
      <w:bCs/>
    </w:rPr>
  </w:style>
  <w:style w:type="paragraph" w:styleId="24">
    <w:name w:val="Body Text First Indent 2"/>
    <w:basedOn w:val="11"/>
    <w:next w:val="1"/>
    <w:autoRedefine/>
    <w:qFormat/>
    <w:uiPriority w:val="0"/>
    <w:pPr>
      <w:ind w:firstLine="420" w:firstLineChars="200"/>
    </w:pPr>
    <w:rPr>
      <w:rFonts w:ascii="Times New Roman" w:hAnsi="Times New Roman" w:eastAsia="宋体" w:cs="Times New Roman"/>
      <w:sz w:val="21"/>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autoRedefine/>
    <w:qFormat/>
    <w:uiPriority w:val="0"/>
  </w:style>
  <w:style w:type="character" w:styleId="29">
    <w:name w:val="Hyperlink"/>
    <w:basedOn w:val="27"/>
    <w:autoRedefine/>
    <w:qFormat/>
    <w:uiPriority w:val="99"/>
    <w:rPr>
      <w:color w:val="0000FF"/>
      <w:u w:val="single"/>
    </w:rPr>
  </w:style>
  <w:style w:type="character" w:styleId="30">
    <w:name w:val="annotation reference"/>
    <w:basedOn w:val="27"/>
    <w:autoRedefine/>
    <w:qFormat/>
    <w:uiPriority w:val="0"/>
    <w:rPr>
      <w:sz w:val="21"/>
      <w:szCs w:val="21"/>
    </w:rPr>
  </w:style>
  <w:style w:type="paragraph" w:customStyle="1" w:styleId="31">
    <w:name w:val="Body Text 21"/>
    <w:basedOn w:val="1"/>
    <w:autoRedefine/>
    <w:qFormat/>
    <w:uiPriority w:val="0"/>
    <w:pPr>
      <w:spacing w:line="360" w:lineRule="auto"/>
    </w:pPr>
    <w:rPr>
      <w:rFonts w:ascii="Times New Roman" w:hAnsi="Times New Roman" w:eastAsia="宋体" w:cs="Times New Roman"/>
      <w:sz w:val="24"/>
      <w:szCs w:val="20"/>
    </w:rPr>
  </w:style>
  <w:style w:type="paragraph" w:customStyle="1" w:styleId="32">
    <w:name w:val="无间隔1"/>
    <w:autoRedefine/>
    <w:qFormat/>
    <w:uiPriority w:val="1"/>
    <w:pPr>
      <w:widowControl w:val="0"/>
      <w:jc w:val="both"/>
    </w:pPr>
    <w:rPr>
      <w:rFonts w:ascii="Times New Roman" w:hAnsi="Times New Roman" w:eastAsia="宋体" w:cs="Times New Roman"/>
      <w:kern w:val="2"/>
      <w:sz w:val="21"/>
      <w:szCs w:val="22"/>
      <w:lang w:val="en-US" w:eastAsia="zh-CN" w:bidi="ar-SA"/>
    </w:rPr>
  </w:style>
  <w:style w:type="table" w:customStyle="1" w:styleId="33">
    <w:name w:val="Table Normal"/>
    <w:autoRedefine/>
    <w:semiHidden/>
    <w:unhideWhenUsed/>
    <w:qFormat/>
    <w:uiPriority w:val="2"/>
    <w:tblPr>
      <w:tblCellMar>
        <w:top w:w="0" w:type="dxa"/>
        <w:left w:w="0" w:type="dxa"/>
        <w:bottom w:w="0" w:type="dxa"/>
        <w:right w:w="0" w:type="dxa"/>
      </w:tblCellMar>
    </w:tblPr>
  </w:style>
  <w:style w:type="paragraph" w:styleId="34">
    <w:name w:val="List Paragraph"/>
    <w:basedOn w:val="1"/>
    <w:autoRedefine/>
    <w:qFormat/>
    <w:uiPriority w:val="1"/>
  </w:style>
  <w:style w:type="paragraph" w:customStyle="1" w:styleId="35">
    <w:name w:val="Table Paragraph"/>
    <w:basedOn w:val="1"/>
    <w:autoRedefine/>
    <w:qFormat/>
    <w:uiPriority w:val="1"/>
  </w:style>
  <w:style w:type="paragraph" w:customStyle="1" w:styleId="36">
    <w:name w:val="文档正文 Char"/>
    <w:basedOn w:val="1"/>
    <w:autoRedefine/>
    <w:qFormat/>
    <w:uiPriority w:val="0"/>
    <w:pPr>
      <w:adjustRightInd w:val="0"/>
      <w:spacing w:line="500" w:lineRule="exact"/>
      <w:ind w:firstLine="567"/>
      <w:textAlignment w:val="baseline"/>
    </w:pPr>
    <w:rPr>
      <w:rFonts w:ascii="仿宋_GB2312" w:eastAsia="仿宋_GB2312"/>
      <w:sz w:val="28"/>
      <w:szCs w:val="24"/>
    </w:rPr>
  </w:style>
  <w:style w:type="paragraph" w:customStyle="1" w:styleId="37">
    <w:name w:val="样式 标题 2 + Times New Roman 四号 非加粗 段前: 5 磅 段后: 0 磅 行距: 固定值 20..."/>
    <w:basedOn w:val="5"/>
    <w:autoRedefine/>
    <w:qFormat/>
    <w:uiPriority w:val="0"/>
    <w:pPr>
      <w:spacing w:before="100" w:line="400" w:lineRule="exact"/>
    </w:pPr>
    <w:rPr>
      <w:rFonts w:ascii="Times New Roman" w:hAnsi="Times New Roman" w:eastAsia="黑体"/>
      <w:b w:val="0"/>
      <w:bCs w:val="0"/>
      <w:sz w:val="28"/>
      <w:szCs w:val="20"/>
    </w:rPr>
  </w:style>
  <w:style w:type="paragraph" w:customStyle="1" w:styleId="38">
    <w:name w:val="WPSOffice手动目录 1"/>
    <w:autoRedefine/>
    <w:qFormat/>
    <w:uiPriority w:val="0"/>
    <w:rPr>
      <w:rFonts w:ascii="Times New Roman" w:hAnsi="Times New Roman" w:eastAsia="宋体" w:cs="Times New Roman"/>
      <w:lang w:val="en-US" w:eastAsia="zh-CN" w:bidi="ar-SA"/>
    </w:rPr>
  </w:style>
  <w:style w:type="character" w:customStyle="1" w:styleId="39">
    <w:name w:val="批注框文本 字符"/>
    <w:basedOn w:val="27"/>
    <w:link w:val="16"/>
    <w:autoRedefine/>
    <w:qFormat/>
    <w:uiPriority w:val="0"/>
    <w:rPr>
      <w:rFonts w:eastAsiaTheme="minorHAnsi"/>
      <w:sz w:val="18"/>
      <w:szCs w:val="18"/>
      <w:lang w:eastAsia="en-US"/>
    </w:rPr>
  </w:style>
  <w:style w:type="character" w:customStyle="1" w:styleId="40">
    <w:name w:val="批注文字 字符"/>
    <w:basedOn w:val="27"/>
    <w:link w:val="10"/>
    <w:autoRedefine/>
    <w:qFormat/>
    <w:uiPriority w:val="0"/>
    <w:rPr>
      <w:rFonts w:asciiTheme="minorHAnsi" w:hAnsiTheme="minorHAnsi" w:eastAsiaTheme="minorHAnsi" w:cstheme="minorBidi"/>
      <w:sz w:val="22"/>
      <w:szCs w:val="22"/>
      <w:lang w:eastAsia="en-US"/>
    </w:rPr>
  </w:style>
  <w:style w:type="character" w:customStyle="1" w:styleId="41">
    <w:name w:val="批注主题 字符"/>
    <w:basedOn w:val="40"/>
    <w:link w:val="23"/>
    <w:autoRedefine/>
    <w:qFormat/>
    <w:uiPriority w:val="0"/>
    <w:rPr>
      <w:rFonts w:asciiTheme="minorHAnsi" w:hAnsiTheme="minorHAnsi" w:eastAsiaTheme="minorHAnsi" w:cstheme="minorBidi"/>
      <w:b/>
      <w:bCs/>
      <w:sz w:val="22"/>
      <w:szCs w:val="22"/>
      <w:lang w:eastAsia="en-US"/>
    </w:rPr>
  </w:style>
  <w:style w:type="paragraph" w:customStyle="1" w:styleId="42">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43">
    <w:name w:val="正文文本缩进 21"/>
    <w:basedOn w:val="1"/>
    <w:autoRedefine/>
    <w:qFormat/>
    <w:uiPriority w:val="0"/>
    <w:pPr>
      <w:ind w:firstLine="570"/>
    </w:pPr>
    <w:rPr>
      <w:rFonts w:ascii="Times New Roman" w:hAnsi="Times New Roman" w:cs="Times New Roman"/>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31F52D-5E37-4663-800F-D8E5AAA8333F}">
  <ds:schemaRefs/>
</ds:datastoreItem>
</file>

<file path=docProps/app.xml><?xml version="1.0" encoding="utf-8"?>
<Properties xmlns="http://schemas.openxmlformats.org/officeDocument/2006/extended-properties" xmlns:vt="http://schemas.openxmlformats.org/officeDocument/2006/docPropsVTypes">
  <Template>Normal</Template>
  <Company>河南大学民生学院</Company>
  <Pages>40</Pages>
  <Words>26875</Words>
  <Characters>28090</Characters>
  <Lines>173</Lines>
  <Paragraphs>48</Paragraphs>
  <TotalTime>207</TotalTime>
  <ScaleCrop>false</ScaleCrop>
  <LinksUpToDate>false</LinksUpToDate>
  <CharactersWithSpaces>30628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2023-06-19T02:24:00Z</dcterms:created>
  <dc:creator>NTKO</dc:creator>
  <cp:lastModifiedBy>清风明月</cp:lastModifiedBy>
  <cp:lastPrinted>2024-06-25T02:09:00Z</cp:lastPrinted>
  <dcterms:modified xsi:type="dcterms:W3CDTF">2024-08-23T06:54:57Z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2020-08-24T00:00:00Z</vt:filetime>
  </property>
  <property fmtid="{D5CDD505-2E9C-101B-9397-08002B2CF9AE}" pid="3" name="Creator">
    <vt:lpwstr>Microsoft® Word 2010</vt:lpwstr>
  </property>
  <property fmtid="{D5CDD505-2E9C-101B-9397-08002B2CF9AE}" pid="4" name="LastSaved">
    <vt:filetime>2020-09-24T00:00:00Z</vt:filetime>
  </property>
  <property fmtid="{D5CDD505-2E9C-101B-9397-08002B2CF9AE}" pid="5" name="KSOProductBuildVer">
    <vt:lpwstr>2052-12.1.0.16120</vt:lpwstr>
  </property>
  <property fmtid="{D5CDD505-2E9C-101B-9397-08002B2CF9AE}" pid="6" name="ICV">
    <vt:lpwstr>A5E0388C7D3F479AB01223F5EE4DF12F_13</vt:lpwstr>
  </property>
</Properties>
</file>