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color w:val="auto"/>
          <w:sz w:val="28"/>
          <w:lang w:val="en-US" w:eastAsia="zh-CN"/>
        </w:rPr>
      </w:pPr>
      <w:r>
        <w:rPr>
          <w:rFonts w:hint="eastAsia" w:ascii="宋体" w:cs="宋体"/>
          <w:sz w:val="28"/>
        </w:rPr>
        <w:t>合同编号：</w:t>
      </w:r>
      <w:r>
        <w:rPr>
          <w:rFonts w:hint="eastAsia" w:ascii="宋体" w:cs="宋体"/>
          <w:sz w:val="28"/>
          <w:lang w:val="en-US" w:eastAsia="zh-CN"/>
        </w:rPr>
        <w:t>豫财单一采购-2023-99</w:t>
      </w:r>
      <w:r>
        <w:rPr>
          <w:rFonts w:hint="eastAsia" w:ascii="宋体" w:cs="宋体"/>
          <w:color w:val="auto"/>
          <w:sz w:val="28"/>
          <w:lang w:val="en-US" w:eastAsia="zh-CN"/>
        </w:rPr>
        <w:t>包15</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项目名称：</w:t>
      </w:r>
      <w:r>
        <w:rPr>
          <w:rFonts w:hint="eastAsia" w:ascii="宋体" w:cs="宋体"/>
          <w:sz w:val="36"/>
          <w:u w:val="single"/>
          <w:lang w:eastAsia="zh-CN"/>
        </w:rPr>
        <w:t>河南大学2023年知网等数据库项目</w:t>
      </w:r>
    </w:p>
    <w:p>
      <w:pPr>
        <w:rPr>
          <w:rFonts w:ascii="宋体" w:cs="宋体"/>
          <w:sz w:val="36"/>
          <w:u w:val="single"/>
        </w:rPr>
      </w:pPr>
    </w:p>
    <w:p>
      <w:pPr>
        <w:rPr>
          <w:rFonts w:ascii="宋体" w:cs="宋体"/>
          <w:sz w:val="36"/>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受托方（乙方）：</w:t>
      </w:r>
      <w:r>
        <w:rPr>
          <w:rFonts w:hint="eastAsia" w:ascii="宋体" w:cs="宋体"/>
          <w:color w:val="000000" w:themeColor="text1"/>
          <w:sz w:val="36"/>
          <w:highlight w:val="none"/>
          <w:u w:val="single"/>
          <w:lang w:eastAsia="zh-CN"/>
          <w14:textFill>
            <w14:solidFill>
              <w14:schemeClr w14:val="tx1"/>
            </w14:solidFill>
          </w14:textFill>
        </w:rPr>
        <w:t>北京汇云博图科技有限公司</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w:t>
      </w:r>
      <w:r>
        <w:rPr>
          <w:rFonts w:hint="eastAsia" w:ascii="宋体" w:cs="宋体"/>
          <w:sz w:val="36"/>
          <w:u w:val="single"/>
          <w:lang w:val="en-US" w:eastAsia="zh-CN"/>
        </w:rPr>
        <w:t xml:space="preserve">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lang w:val="en-US" w:eastAsia="zh-CN"/>
        </w:rPr>
        <w:t>2024年1月1日-2024年12月31日</w:t>
      </w:r>
    </w:p>
    <w:p>
      <w:pPr>
        <w:pStyle w:val="6"/>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hint="eastAsia" w:ascii="宋体" w:cs="宋体"/>
          <w:b/>
          <w:color w:val="000000" w:themeColor="text1"/>
          <w:sz w:val="24"/>
          <w:highlight w:val="none"/>
          <w:u w:val="single"/>
          <w:lang w:eastAsia="zh-CN"/>
          <w14:textFill>
            <w14:solidFill>
              <w14:schemeClr w14:val="tx1"/>
            </w14:solidFill>
          </w14:textFill>
        </w:rPr>
        <w:t>北京汇云博图科技有限公司</w:t>
      </w:r>
      <w:r>
        <w:rPr>
          <w:rFonts w:hint="eastAsia" w:ascii="宋体" w:cs="宋体"/>
          <w:b/>
          <w:sz w:val="24"/>
        </w:rPr>
        <w:t xml:space="preserve">   </w:t>
      </w:r>
      <w:r>
        <w:rPr>
          <w:rFonts w:ascii="宋体" w:cs="宋体"/>
          <w:b/>
          <w:sz w:val="24"/>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color w:val="auto"/>
          <w:sz w:val="24"/>
        </w:rPr>
      </w:pPr>
      <w:r>
        <w:rPr>
          <w:rFonts w:hint="eastAsia" w:ascii="宋体" w:cs="宋体"/>
          <w:sz w:val="24"/>
        </w:rPr>
        <w:t xml:space="preserve">    供、需双方根</w:t>
      </w:r>
      <w:r>
        <w:rPr>
          <w:rFonts w:hint="eastAsia" w:ascii="宋体" w:cs="宋体"/>
          <w:color w:val="auto"/>
          <w:sz w:val="24"/>
        </w:rPr>
        <w:t>据</w:t>
      </w:r>
      <w:r>
        <w:rPr>
          <w:rFonts w:ascii="宋体" w:cs="宋体"/>
          <w:color w:val="auto"/>
          <w:sz w:val="24"/>
          <w:u w:val="single"/>
        </w:rPr>
        <w:t xml:space="preserve"> </w:t>
      </w:r>
      <w:r>
        <w:rPr>
          <w:rFonts w:hint="eastAsia" w:ascii="宋体" w:cs="宋体"/>
          <w:color w:val="auto"/>
          <w:sz w:val="24"/>
          <w:u w:val="single"/>
          <w:lang w:val="en-US" w:eastAsia="zh-CN"/>
        </w:rPr>
        <w:t>15</w:t>
      </w:r>
      <w:r>
        <w:rPr>
          <w:rFonts w:ascii="宋体" w:cs="宋体"/>
          <w:color w:val="auto"/>
          <w:sz w:val="24"/>
          <w:u w:val="single"/>
        </w:rPr>
        <w:t xml:space="preserve"> </w:t>
      </w:r>
      <w:r>
        <w:rPr>
          <w:rFonts w:hint="eastAsia" w:ascii="宋体" w:cs="宋体"/>
          <w:color w:val="auto"/>
          <w:sz w:val="24"/>
        </w:rPr>
        <w:t xml:space="preserve">包的成交通知书和招、投标文件，经双方协商一致，达成以下合同条款： </w:t>
      </w:r>
    </w:p>
    <w:p>
      <w:pPr>
        <w:spacing w:line="360" w:lineRule="auto"/>
        <w:ind w:firstLine="482" w:firstLineChars="200"/>
        <w:rPr>
          <w:rFonts w:ascii="宋体" w:cs="宋体"/>
          <w:b/>
          <w:color w:val="auto"/>
          <w:sz w:val="24"/>
        </w:rPr>
      </w:pPr>
      <w:r>
        <w:rPr>
          <w:rFonts w:hint="eastAsia" w:ascii="宋体" w:cs="宋体"/>
          <w:b/>
          <w:color w:val="auto"/>
          <w:sz w:val="24"/>
        </w:rPr>
        <w:t>一、合同金额</w:t>
      </w:r>
    </w:p>
    <w:p>
      <w:pPr>
        <w:spacing w:line="360" w:lineRule="auto"/>
        <w:ind w:firstLine="480" w:firstLineChars="200"/>
        <w:rPr>
          <w:rFonts w:ascii="宋体" w:cs="宋体"/>
          <w:sz w:val="24"/>
        </w:rPr>
      </w:pPr>
      <w:r>
        <w:rPr>
          <w:rFonts w:hint="eastAsia" w:ascii="宋体" w:cs="宋体"/>
          <w:color w:val="auto"/>
          <w:sz w:val="24"/>
        </w:rPr>
        <w:t>本合同的总金额为人民币</w:t>
      </w:r>
      <w:r>
        <w:rPr>
          <w:rFonts w:hint="eastAsia" w:ascii="宋体" w:cs="宋体"/>
          <w:color w:val="auto"/>
          <w:sz w:val="24"/>
          <w:u w:val="single"/>
        </w:rPr>
        <w:t>：</w:t>
      </w:r>
      <w:r>
        <w:rPr>
          <w:rFonts w:hint="eastAsia" w:ascii="宋体" w:cs="宋体"/>
          <w:color w:val="auto"/>
          <w:sz w:val="24"/>
          <w:u w:val="single"/>
          <w:lang w:val="en-US" w:eastAsia="zh-CN"/>
        </w:rPr>
        <w:t>壹拾万</w:t>
      </w:r>
      <w:r>
        <w:rPr>
          <w:rFonts w:ascii="宋体" w:cs="宋体"/>
          <w:color w:val="auto"/>
          <w:sz w:val="24"/>
          <w:u w:val="single"/>
        </w:rPr>
        <w:t xml:space="preserve"> </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10"/>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color w:val="000000" w:themeColor="text1"/>
                <w:sz w:val="24"/>
                <w:highlight w:val="none"/>
                <w14:textFill>
                  <w14:solidFill>
                    <w14:schemeClr w14:val="tx1"/>
                  </w14:solidFill>
                </w14:textFill>
              </w:rPr>
              <w:t>汇云书舍电子书（京东读书专业版）</w:t>
            </w:r>
          </w:p>
        </w:tc>
        <w:tc>
          <w:tcPr>
            <w:tcW w:w="3015" w:type="dxa"/>
            <w:tcBorders>
              <w:top w:val="single" w:color="auto" w:sz="8" w:space="0"/>
              <w:left w:val="nil"/>
              <w:bottom w:val="single" w:color="auto" w:sz="8" w:space="0"/>
              <w:right w:val="single" w:color="auto" w:sz="8" w:space="0"/>
            </w:tcBorders>
            <w:vAlign w:val="center"/>
          </w:tcPr>
          <w:p>
            <w:pPr>
              <w:jc w:val="lef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中文电子图书/远程访问；</w:t>
            </w:r>
          </w:p>
          <w:p>
            <w:pPr>
              <w:jc w:val="left"/>
            </w:pPr>
            <w:r>
              <w:rPr>
                <w:rFonts w:hint="eastAsia" w:ascii="宋体" w:hAnsi="宋体" w:cs="宋体"/>
                <w:color w:val="000000" w:themeColor="text1"/>
                <w:sz w:val="24"/>
                <w:highlight w:val="none"/>
                <w:lang w:val="en-US" w:eastAsia="zh-CN"/>
                <w14:textFill>
                  <w14:solidFill>
                    <w14:schemeClr w14:val="tx1"/>
                  </w14:solidFill>
                </w14:textFill>
              </w:rPr>
              <w:t>资源总量</w:t>
            </w:r>
            <w:r>
              <w:rPr>
                <w:rFonts w:hint="eastAsia" w:ascii="宋体" w:hAnsi="宋体" w:cs="宋体"/>
                <w:color w:val="000000" w:themeColor="text1"/>
                <w:sz w:val="24"/>
                <w:szCs w:val="24"/>
                <w:highlight w:val="none"/>
                <w:lang w:val="en-US" w:eastAsia="zh-CN"/>
                <w14:textFill>
                  <w14:solidFill>
                    <w14:schemeClr w14:val="tx1"/>
                  </w14:solidFill>
                </w14:textFill>
              </w:rPr>
              <w:t>20万种，每月更新，年更新量 3-4 万种。</w:t>
            </w:r>
          </w:p>
        </w:tc>
        <w:tc>
          <w:tcPr>
            <w:tcW w:w="1080" w:type="dxa"/>
            <w:tcBorders>
              <w:top w:val="single" w:color="auto" w:sz="8" w:space="0"/>
              <w:left w:val="nil"/>
              <w:bottom w:val="single" w:color="auto" w:sz="8" w:space="0"/>
              <w:right w:val="single" w:color="auto" w:sz="8" w:space="0"/>
            </w:tcBorders>
            <w:vAlign w:val="center"/>
          </w:tcPr>
          <w:p>
            <w:pPr>
              <w:jc w:val="left"/>
              <w:rPr>
                <w:rFonts w:ascii="宋体" w:cs="宋体"/>
                <w:sz w:val="24"/>
              </w:rPr>
            </w:pPr>
            <w:r>
              <w:rPr>
                <w:rFonts w:hint="eastAsia" w:ascii="宋体" w:cs="宋体"/>
                <w:color w:val="000000" w:themeColor="text1"/>
                <w:sz w:val="24"/>
                <w:highlight w:val="none"/>
                <w:lang w:val="en-US" w:eastAsia="zh-CN"/>
                <w14:textFill>
                  <w14:solidFill>
                    <w14:schemeClr w14:val="tx1"/>
                  </w14:solidFill>
                </w14:textFill>
              </w:rPr>
              <w:t>2024</w:t>
            </w:r>
            <w:r>
              <w:rPr>
                <w:rFonts w:ascii="宋体" w:cs="宋体"/>
                <w:color w:val="000000" w:themeColor="text1"/>
                <w:sz w:val="24"/>
                <w:highlight w:val="none"/>
                <w14:textFill>
                  <w14:solidFill>
                    <w14:schemeClr w14:val="tx1"/>
                  </w14:solidFill>
                </w14:textFill>
              </w:rPr>
              <w:t>年</w:t>
            </w:r>
            <w:r>
              <w:rPr>
                <w:rFonts w:hint="eastAsia" w:ascii="宋体" w:cs="宋体"/>
                <w:color w:val="000000" w:themeColor="text1"/>
                <w:sz w:val="24"/>
                <w:highlight w:val="none"/>
                <w:lang w:val="en-US" w:eastAsia="zh-CN"/>
                <w14:textFill>
                  <w14:solidFill>
                    <w14:schemeClr w14:val="tx1"/>
                  </w14:solidFill>
                </w14:textFill>
              </w:rPr>
              <w:t>1</w:t>
            </w:r>
            <w:r>
              <w:rPr>
                <w:rFonts w:ascii="宋体" w:cs="宋体"/>
                <w:color w:val="000000" w:themeColor="text1"/>
                <w:sz w:val="24"/>
                <w:highlight w:val="none"/>
                <w14:textFill>
                  <w14:solidFill>
                    <w14:schemeClr w14:val="tx1"/>
                  </w14:solidFill>
                </w14:textFill>
              </w:rPr>
              <w:t>月</w:t>
            </w:r>
            <w:r>
              <w:rPr>
                <w:rFonts w:hint="eastAsia" w:ascii="宋体" w:cs="宋体"/>
                <w:color w:val="000000" w:themeColor="text1"/>
                <w:sz w:val="24"/>
                <w:highlight w:val="none"/>
                <w:lang w:val="en-US" w:eastAsia="zh-CN"/>
                <w14:textFill>
                  <w14:solidFill>
                    <w14:schemeClr w14:val="tx1"/>
                  </w14:solidFill>
                </w14:textFill>
              </w:rPr>
              <w:t>1</w:t>
            </w:r>
            <w:r>
              <w:rPr>
                <w:rFonts w:ascii="宋体" w:cs="宋体"/>
                <w:color w:val="000000" w:themeColor="text1"/>
                <w:sz w:val="24"/>
                <w:highlight w:val="none"/>
                <w14:textFill>
                  <w14:solidFill>
                    <w14:schemeClr w14:val="tx1"/>
                  </w14:solidFill>
                </w14:textFill>
              </w:rPr>
              <w:t>日-</w:t>
            </w:r>
            <w:r>
              <w:rPr>
                <w:rFonts w:hint="eastAsia" w:ascii="宋体" w:cs="宋体"/>
                <w:color w:val="000000" w:themeColor="text1"/>
                <w:sz w:val="24"/>
                <w:highlight w:val="none"/>
                <w:lang w:val="en-US" w:eastAsia="zh-CN"/>
                <w14:textFill>
                  <w14:solidFill>
                    <w14:schemeClr w14:val="tx1"/>
                  </w14:solidFill>
                </w14:textFill>
              </w:rPr>
              <w:t>2024</w:t>
            </w:r>
            <w:r>
              <w:rPr>
                <w:rFonts w:ascii="宋体" w:cs="宋体"/>
                <w:color w:val="000000" w:themeColor="text1"/>
                <w:sz w:val="24"/>
                <w:highlight w:val="none"/>
                <w14:textFill>
                  <w14:solidFill>
                    <w14:schemeClr w14:val="tx1"/>
                  </w14:solidFill>
                </w14:textFill>
              </w:rPr>
              <w:t>年</w:t>
            </w:r>
            <w:r>
              <w:rPr>
                <w:rFonts w:hint="eastAsia" w:ascii="宋体" w:cs="宋体"/>
                <w:color w:val="000000" w:themeColor="text1"/>
                <w:sz w:val="24"/>
                <w:highlight w:val="none"/>
                <w:lang w:val="en-US" w:eastAsia="zh-CN"/>
                <w14:textFill>
                  <w14:solidFill>
                    <w14:schemeClr w14:val="tx1"/>
                  </w14:solidFill>
                </w14:textFill>
              </w:rPr>
              <w:t>12</w:t>
            </w:r>
            <w:r>
              <w:rPr>
                <w:rFonts w:ascii="宋体" w:cs="宋体"/>
                <w:color w:val="000000" w:themeColor="text1"/>
                <w:sz w:val="24"/>
                <w:highlight w:val="none"/>
                <w14:textFill>
                  <w14:solidFill>
                    <w14:schemeClr w14:val="tx1"/>
                  </w14:solidFill>
                </w14:textFill>
              </w:rPr>
              <w:t>月</w:t>
            </w:r>
            <w:r>
              <w:rPr>
                <w:rFonts w:hint="eastAsia" w:ascii="宋体" w:cs="宋体"/>
                <w:color w:val="000000" w:themeColor="text1"/>
                <w:sz w:val="24"/>
                <w:highlight w:val="none"/>
                <w:lang w:val="en-US" w:eastAsia="zh-CN"/>
                <w14:textFill>
                  <w14:solidFill>
                    <w14:schemeClr w14:val="tx1"/>
                  </w14:solidFill>
                </w14:textFill>
              </w:rPr>
              <w:t>31</w:t>
            </w:r>
            <w:r>
              <w:rPr>
                <w:rFonts w:ascii="宋体" w:cs="宋体"/>
                <w:color w:val="000000" w:themeColor="text1"/>
                <w:sz w:val="24"/>
                <w:highlight w:val="none"/>
                <w14:textFill>
                  <w14:solidFill>
                    <w14:schemeClr w14:val="tx1"/>
                  </w14:solidFill>
                </w14:textFill>
              </w:rPr>
              <w:t>日</w:t>
            </w:r>
          </w:p>
        </w:tc>
        <w:tc>
          <w:tcPr>
            <w:tcW w:w="721"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color w:val="000000" w:themeColor="text1"/>
                <w:sz w:val="24"/>
                <w:highlight w:val="none"/>
                <w:lang w:val="en-US" w:eastAsia="zh-CN"/>
                <w14:textFill>
                  <w14:solidFill>
                    <w14:schemeClr w14:val="tx1"/>
                  </w14:solidFill>
                </w14:textFill>
              </w:rPr>
              <w:t>1套</w:t>
            </w:r>
          </w:p>
        </w:tc>
        <w:tc>
          <w:tcPr>
            <w:tcW w:w="1229"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color w:val="000000" w:themeColor="text1"/>
                <w:sz w:val="24"/>
                <w:highlight w:val="none"/>
                <w:lang w:val="en-US" w:eastAsia="zh-CN"/>
                <w14:textFill>
                  <w14:solidFill>
                    <w14:schemeClr w14:val="tx1"/>
                  </w14:solidFill>
                </w14:textFill>
              </w:rPr>
              <w:t>100000</w:t>
            </w:r>
          </w:p>
        </w:tc>
        <w:tc>
          <w:tcPr>
            <w:tcW w:w="1303" w:type="dxa"/>
            <w:tcBorders>
              <w:top w:val="single" w:color="auto" w:sz="8" w:space="0"/>
              <w:left w:val="nil"/>
              <w:bottom w:val="single" w:color="auto" w:sz="8" w:space="0"/>
              <w:right w:val="single" w:color="auto" w:sz="8" w:space="0"/>
            </w:tcBorders>
            <w:vAlign w:val="center"/>
          </w:tcPr>
          <w:p>
            <w:pPr>
              <w:jc w:val="center"/>
              <w:rPr>
                <w:rFonts w:hint="default" w:ascii="宋体" w:cs="宋体"/>
                <w:sz w:val="24"/>
                <w:lang w:val="en-US"/>
              </w:rPr>
            </w:pPr>
            <w:r>
              <w:rPr>
                <w:rFonts w:hint="eastAsia" w:ascii="宋体" w:cs="宋体"/>
                <w:color w:val="000000" w:themeColor="text1"/>
                <w:sz w:val="24"/>
                <w:highlight w:val="none"/>
                <w:lang w:val="en-US" w:eastAsia="zh-CN"/>
                <w14:textFill>
                  <w14:solidFill>
                    <w14:schemeClr w14:val="tx1"/>
                  </w14:solidFill>
                </w14:textFill>
              </w:rPr>
              <w:t>100000.00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hint="eastAsia" w:ascii="宋体" w:cs="宋体"/>
                <w:sz w:val="24"/>
                <w:u w:val="single"/>
                <w:lang w:val="en-US" w:eastAsia="zh-CN"/>
              </w:rPr>
              <w:t>100000.00元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w:t>
            </w:r>
            <w:r>
              <w:rPr>
                <w:rFonts w:hint="eastAsia" w:ascii="宋体" w:cs="宋体"/>
                <w:sz w:val="24"/>
                <w:u w:val="single"/>
                <w:lang w:eastAsia="zh-CN"/>
              </w:rPr>
              <w:t>人民币壹拾万元整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hint="eastAsia" w:ascii="宋体" w:cs="宋体"/>
          <w:b/>
          <w:sz w:val="24"/>
        </w:rPr>
      </w:pPr>
      <w:r>
        <w:rPr>
          <w:rFonts w:hint="eastAsia" w:ascii="宋体" w:cs="宋体"/>
          <w:b/>
          <w:sz w:val="24"/>
        </w:rPr>
        <w:t xml:space="preserve">账户名称：北京汇云博图科技有限公司      </w:t>
      </w:r>
    </w:p>
    <w:p>
      <w:pPr>
        <w:spacing w:line="360" w:lineRule="auto"/>
        <w:ind w:firstLine="482" w:firstLineChars="200"/>
        <w:rPr>
          <w:rFonts w:hint="eastAsia" w:ascii="宋体" w:cs="宋体"/>
          <w:b/>
          <w:sz w:val="24"/>
        </w:rPr>
      </w:pPr>
      <w:r>
        <w:rPr>
          <w:rFonts w:hint="eastAsia" w:ascii="宋体" w:cs="宋体"/>
          <w:b/>
          <w:sz w:val="24"/>
        </w:rPr>
        <w:t xml:space="preserve">账号：91350154800007374    </w:t>
      </w:r>
    </w:p>
    <w:p>
      <w:pPr>
        <w:spacing w:line="360" w:lineRule="auto"/>
        <w:ind w:firstLine="482" w:firstLineChars="200"/>
        <w:rPr>
          <w:rFonts w:hint="eastAsia" w:ascii="宋体" w:cs="宋体"/>
          <w:b/>
          <w:sz w:val="24"/>
        </w:rPr>
      </w:pPr>
      <w:r>
        <w:rPr>
          <w:rFonts w:hint="eastAsia" w:ascii="宋体" w:cs="宋体"/>
          <w:b/>
          <w:sz w:val="24"/>
        </w:rPr>
        <w:t xml:space="preserve">开户银行：上海浦东发展银行股份有限公司北京北沙滩支行           </w:t>
      </w:r>
    </w:p>
    <w:p>
      <w:pPr>
        <w:spacing w:line="360" w:lineRule="auto"/>
        <w:ind w:firstLine="482" w:firstLineChars="200"/>
        <w:rPr>
          <w:rFonts w:hint="eastAsia" w:ascii="宋体" w:cs="宋体"/>
          <w:b/>
          <w:sz w:val="24"/>
        </w:rPr>
      </w:pPr>
      <w:r>
        <w:rPr>
          <w:rFonts w:hint="eastAsia" w:ascii="宋体" w:cs="宋体"/>
          <w:b/>
          <w:sz w:val="24"/>
        </w:rPr>
        <w:t xml:space="preserve">统一社会信用代码：91110108064921300B  </w:t>
      </w:r>
    </w:p>
    <w:p>
      <w:pPr>
        <w:spacing w:line="360" w:lineRule="auto"/>
        <w:ind w:firstLine="482" w:firstLineChars="200"/>
        <w:rPr>
          <w:rFonts w:ascii="宋体" w:cs="宋体"/>
          <w:b/>
          <w:sz w:val="24"/>
        </w:rPr>
      </w:pPr>
      <w:r>
        <w:rPr>
          <w:rFonts w:hint="eastAsia" w:ascii="宋体" w:cs="宋体"/>
          <w:b/>
          <w:sz w:val="24"/>
        </w:rPr>
        <w:t>七、违约责任</w:t>
      </w:r>
    </w:p>
    <w:p>
      <w:pPr>
        <w:pStyle w:val="6"/>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w:t>
      </w:r>
      <w:r>
        <w:rPr>
          <w:rFonts w:ascii="宋体" w:cs="宋体"/>
          <w:sz w:val="24"/>
          <w:u w:val="single"/>
        </w:rPr>
        <w:t xml:space="preserve"> </w:t>
      </w:r>
      <w:r>
        <w:rPr>
          <w:rFonts w:hint="eastAsia" w:ascii="宋体" w:cs="宋体"/>
          <w:sz w:val="24"/>
          <w:u w:val="single"/>
          <w:lang w:eastAsia="zh-CN"/>
        </w:rPr>
        <w:t>八</w:t>
      </w:r>
      <w:r>
        <w:rPr>
          <w:rFonts w:ascii="宋体" w:cs="宋体"/>
          <w:sz w:val="24"/>
          <w:u w:val="single"/>
        </w:rPr>
        <w:t xml:space="preserve"> </w:t>
      </w:r>
      <w:r>
        <w:rPr>
          <w:rFonts w:hint="eastAsia" w:ascii="宋体" w:cs="宋体"/>
          <w:sz w:val="24"/>
        </w:rPr>
        <w:t>份，需方</w:t>
      </w:r>
      <w:r>
        <w:rPr>
          <w:rFonts w:hint="eastAsia" w:ascii="宋体" w:cs="宋体"/>
          <w:sz w:val="24"/>
          <w:u w:val="single"/>
        </w:rPr>
        <w:t xml:space="preserve"> </w:t>
      </w:r>
      <w:r>
        <w:rPr>
          <w:rFonts w:hint="eastAsia" w:ascii="宋体" w:cs="宋体"/>
          <w:sz w:val="24"/>
          <w:u w:val="single"/>
          <w:lang w:val="en-US" w:eastAsia="zh-CN"/>
        </w:rPr>
        <w:t>五</w:t>
      </w:r>
      <w:r>
        <w:rPr>
          <w:rFonts w:hint="eastAsia" w:ascii="宋体" w:cs="宋体"/>
          <w:sz w:val="24"/>
          <w:u w:val="single"/>
        </w:rPr>
        <w:t xml:space="preserve">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w:t>
      </w:r>
      <w:r>
        <w:rPr>
          <w:rFonts w:hint="eastAsia" w:ascii="宋体" w:cs="宋体"/>
          <w:sz w:val="24"/>
          <w:u w:val="single"/>
          <w:lang w:eastAsia="zh-CN"/>
        </w:rPr>
        <w:t>二</w:t>
      </w:r>
      <w:r>
        <w:rPr>
          <w:rFonts w:hint="eastAsia" w:ascii="宋体" w:cs="宋体"/>
          <w:sz w:val="24"/>
          <w:u w:val="single"/>
        </w:rPr>
        <w:t xml:space="preserve"> </w:t>
      </w:r>
      <w:r>
        <w:rPr>
          <w:rFonts w:hint="eastAsia" w:ascii="宋体" w:cs="宋体"/>
          <w:sz w:val="24"/>
        </w:rPr>
        <w:t>份、 招标公司</w:t>
      </w:r>
      <w:r>
        <w:rPr>
          <w:rFonts w:hint="eastAsia" w:ascii="宋体" w:cs="宋体"/>
          <w:sz w:val="24"/>
          <w:u w:val="single"/>
        </w:rPr>
        <w:t xml:space="preserve"> </w:t>
      </w:r>
      <w:r>
        <w:rPr>
          <w:rFonts w:hint="eastAsia" w:ascii="宋体" w:cs="宋体"/>
          <w:sz w:val="24"/>
          <w:u w:val="single"/>
          <w:lang w:eastAsia="zh-CN"/>
        </w:rPr>
        <w:t>一</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hint="eastAsia"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rPr>
          <w:rFonts w:hint="eastAsia" w:ascii="宋体" w:eastAsia="宋体" w:cs="宋体"/>
          <w:sz w:val="24"/>
          <w:lang w:eastAsia="zh-CN"/>
        </w:rPr>
      </w:pPr>
      <w:r>
        <w:rPr>
          <w:rFonts w:hint="eastAsia" w:ascii="宋体" w:eastAsia="宋体" w:cs="宋体"/>
          <w:sz w:val="24"/>
          <w:lang w:eastAsia="zh-CN"/>
        </w:rPr>
        <w:drawing>
          <wp:inline distT="0" distB="0" distL="114300" distR="114300">
            <wp:extent cx="5271135" cy="7331075"/>
            <wp:effectExtent l="0" t="0" r="5715" b="3175"/>
            <wp:docPr id="2" name="图片 2" descr="2023-99-包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99-包15"/>
                    <pic:cNvPicPr>
                      <a:picLocks noChangeAspect="1"/>
                    </pic:cNvPicPr>
                  </pic:nvPicPr>
                  <pic:blipFill>
                    <a:blip r:embed="rId5"/>
                    <a:stretch>
                      <a:fillRect/>
                    </a:stretch>
                  </pic:blipFill>
                  <pic:spPr>
                    <a:xfrm>
                      <a:off x="0" y="0"/>
                      <a:ext cx="5271135" cy="7331075"/>
                    </a:xfrm>
                    <a:prstGeom prst="rect">
                      <a:avLst/>
                    </a:prstGeom>
                  </pic:spPr>
                </pic:pic>
              </a:graphicData>
            </a:graphic>
          </wp:inline>
        </w:drawing>
      </w:r>
      <w:bookmarkStart w:id="3" w:name="_GoBack"/>
      <w:bookmarkEnd w:id="3"/>
    </w:p>
    <w:p>
      <w:pPr>
        <w:rPr>
          <w:rFonts w:hint="eastAsia" w:ascii="宋体" w:cs="宋体"/>
          <w:b/>
          <w:sz w:val="24"/>
        </w:rPr>
      </w:pPr>
      <w:r>
        <w:rPr>
          <w:rFonts w:hint="eastAsia" w:ascii="宋体" w:cs="宋体"/>
          <w:b/>
          <w:sz w:val="24"/>
        </w:rPr>
        <w:br w:type="page"/>
      </w:r>
    </w:p>
    <w:p>
      <w:pPr>
        <w:rPr>
          <w:rFonts w:hint="eastAsia" w:ascii="宋体" w:cs="宋体"/>
          <w:b/>
          <w:sz w:val="24"/>
        </w:rPr>
      </w:pPr>
      <w:r>
        <w:rPr>
          <w:rFonts w:hint="eastAsia" w:ascii="宋体" w:cs="宋体"/>
          <w:b/>
          <w:sz w:val="24"/>
        </w:rPr>
        <w:t>附件（2）：售后服务计划</w:t>
      </w:r>
    </w:p>
    <w:p>
      <w:pPr>
        <w:spacing w:line="360" w:lineRule="auto"/>
        <w:rPr>
          <w:rFonts w:hint="eastAsia" w:ascii="宋体" w:hAnsi="宋体" w:eastAsia="宋体" w:cs="宋体"/>
          <w:b/>
          <w:bCs/>
          <w:color w:val="auto"/>
          <w:sz w:val="21"/>
          <w:szCs w:val="21"/>
          <w:lang w:val="en-US" w:eastAsia="zh-CN"/>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（一）数字化产品质量</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我公司保证供货的数字化产品解决全部的图书版权和软件著作权，符合国家关于电子出版物的相关标准和规定，亦完全符合国家技术质量规范和合同规定的质量、规格、性能和技术规范等要求。</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如贵方发现所供的数字化产品中电子出版物、软件著作权为盗版，由此引起的一切法律纠纷及费用和给贵方造成的损失由我公司承担。</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（二）产品安装</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我公司严格按照采购合同要求，为客户提供最新版本数字化产品，包括系统功能、收录图书资源及客户定制内容，均为安装硬盘打包时最新产品；协助客户完成系统定期检修、维护。</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（三）培训服务</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为客户提供指定场所的产品集中培训服务，对客户指定的技术管理人员进行一次现场产品各项功能的使用、系统维护技术等培训。并提供产品使用手册、管理系统的功能操作手册。</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（四）更新服务</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“汇云书舍电子图书（京东读书</w:t>
      </w:r>
      <w:r>
        <w:rPr>
          <w:rFonts w:hint="eastAsia"/>
          <w:color w:val="000000" w:themeColor="text1"/>
          <w:highlight w:val="none"/>
          <w:lang w:eastAsia="zh-CN"/>
          <w14:textFill>
            <w14:solidFill>
              <w14:schemeClr w14:val="tx1"/>
            </w14:solidFill>
          </w14:textFill>
        </w:rPr>
        <w:t>专业</w:t>
      </w:r>
      <w:r>
        <w:rPr>
          <w:rFonts w:hint="eastAsia"/>
          <w:color w:val="000000" w:themeColor="text1"/>
          <w:highlight w:val="none"/>
          <w14:textFill>
            <w14:solidFill>
              <w14:schemeClr w14:val="tx1"/>
            </w14:solidFill>
          </w14:textFill>
        </w:rPr>
        <w:t>版）”网络版随着我公司数字化工作进度，随时有更新。</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（五）日常维护技术支持服务</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跟客户签订合同实施培训的当天，建立一技术服务QQ群，包括邮件、电话远程技术支持软件的Bug修复和补丁更新等，随时解决客户问题；同时，对于产品故障，提供实时响应的远程维护，远程维护无法排除故障的，24小时内到达现场提供维护服务，确保产品的正常运行使用。</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（六）其他服务</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京东读书</w:t>
      </w:r>
      <w:r>
        <w:rPr>
          <w:rFonts w:hint="eastAsia"/>
          <w:color w:val="000000" w:themeColor="text1"/>
          <w:highlight w:val="none"/>
          <w:lang w:eastAsia="zh-CN"/>
          <w14:textFill>
            <w14:solidFill>
              <w14:schemeClr w14:val="tx1"/>
            </w14:solidFill>
          </w14:textFill>
        </w:rPr>
        <w:t>专业</w:t>
      </w:r>
      <w:r>
        <w:rPr>
          <w:rFonts w:hint="eastAsia"/>
          <w:color w:val="000000" w:themeColor="text1"/>
          <w:highlight w:val="none"/>
          <w14:textFill>
            <w14:solidFill>
              <w14:schemeClr w14:val="tx1"/>
            </w14:solidFill>
          </w14:textFill>
        </w:rPr>
        <w:t>版提供阅读精细化服务，每学期线上线下同时展开阅读推广活动，配合学校举办一次现场读书活动并为学院提供平台资源使用培训服务。不定期组织线下推广交流活动，每年组织至少一次全国性的阅读活动。微信客服24小时在线解决读者疑惑，接受读者意见反馈。</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6、联系方式：</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电话： 010-57451700</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崔慧冰</w:t>
      </w:r>
      <w:r>
        <w:rPr>
          <w:rFonts w:hint="eastAsia"/>
          <w:color w:val="000000" w:themeColor="text1"/>
          <w:highlight w:val="none"/>
          <w14:textFill>
            <w14:solidFill>
              <w14:schemeClr w14:val="tx1"/>
            </w14:solidFill>
          </w14:textFill>
        </w:rPr>
        <w:t xml:space="preserve">    </w:t>
      </w:r>
    </w:p>
    <w:p>
      <w:pPr>
        <w:spacing w:line="360" w:lineRule="auto"/>
        <w:ind w:firstLine="420" w:firstLineChars="200"/>
        <w:rPr>
          <w:rFonts w:hint="eastAsia" w:ascii="宋体" w:hAnsi="宋体" w:eastAsia="宋体" w:cs="宋体"/>
          <w:sz w:val="21"/>
          <w:szCs w:val="21"/>
        </w:rPr>
      </w:pPr>
      <w:r>
        <w:rPr>
          <w:rFonts w:hint="eastAsia"/>
          <w:color w:val="000000" w:themeColor="text1"/>
          <w:highlight w:val="none"/>
          <w14:textFill>
            <w14:solidFill>
              <w14:schemeClr w14:val="tx1"/>
            </w14:solidFill>
          </w14:textFill>
        </w:rPr>
        <w:t>地址：北京市朝阳区天畅园5号楼二单元</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02</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9"/>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385CC0"/>
    <w:rsid w:val="004F52E9"/>
    <w:rsid w:val="006F3871"/>
    <w:rsid w:val="00890717"/>
    <w:rsid w:val="00924C4C"/>
    <w:rsid w:val="00982F36"/>
    <w:rsid w:val="00B40D3F"/>
    <w:rsid w:val="00B6584F"/>
    <w:rsid w:val="00D440F9"/>
    <w:rsid w:val="00E5418A"/>
    <w:rsid w:val="00F37F68"/>
    <w:rsid w:val="07B046FE"/>
    <w:rsid w:val="0DD26DD4"/>
    <w:rsid w:val="23B10C3E"/>
    <w:rsid w:val="2F8524F1"/>
    <w:rsid w:val="3F2731D2"/>
    <w:rsid w:val="4A53045F"/>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2">
    <w:name w:val="heading 3"/>
    <w:basedOn w:val="1"/>
    <w:next w:val="1"/>
    <w:semiHidden/>
    <w:unhideWhenUsed/>
    <w:qFormat/>
    <w:uiPriority w:val="9"/>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before="25" w:beforeLines="25" w:after="60" w:line="0" w:lineRule="atLeast"/>
      <w:ind w:firstLine="200" w:firstLineChars="200"/>
    </w:pPr>
  </w:style>
  <w:style w:type="paragraph" w:styleId="6">
    <w:name w:val="Body Text"/>
    <w:basedOn w:val="1"/>
    <w:next w:val="7"/>
    <w:qFormat/>
    <w:uiPriority w:val="0"/>
    <w:pPr>
      <w:spacing w:line="360" w:lineRule="auto"/>
    </w:pPr>
    <w:rPr>
      <w:color w:val="000000"/>
      <w:sz w:val="24"/>
    </w:rPr>
  </w:style>
  <w:style w:type="paragraph" w:customStyle="1" w:styleId="7">
    <w:name w:val="样式1"/>
    <w:basedOn w:val="1"/>
    <w:next w:val="8"/>
    <w:qFormat/>
    <w:uiPriority w:val="0"/>
    <w:rPr>
      <w:b/>
      <w:color w:val="538135"/>
      <w:sz w:val="2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styleId="9">
    <w:name w:val="footer"/>
    <w:basedOn w:val="1"/>
    <w:qFormat/>
    <w:uiPriority w:val="0"/>
    <w:pPr>
      <w:tabs>
        <w:tab w:val="center" w:pos="4153"/>
        <w:tab w:val="right" w:pos="8306"/>
      </w:tabs>
      <w:snapToGrid w:val="0"/>
      <w:jc w:val="left"/>
    </w:pPr>
    <w:rPr>
      <w:rFonts w:cs="Arial"/>
      <w:sz w:val="18"/>
      <w:szCs w:val="18"/>
    </w:rPr>
  </w:style>
  <w:style w:type="paragraph" w:customStyle="1" w:styleId="12">
    <w:name w:val="彩色列表 - 强调文字颜色 11"/>
    <w:basedOn w:val="1"/>
    <w:qFormat/>
    <w:uiPriority w:val="0"/>
    <w:pPr>
      <w:widowControl w:val="0"/>
      <w:spacing w:line="360" w:lineRule="auto"/>
      <w:ind w:firstLine="420" w:firstLineChars="200"/>
      <w:jc w:val="left"/>
      <w:textAlignment w:val="auto"/>
    </w:pPr>
    <w:rPr>
      <w:rFonts w:ascii="Calibri" w:hAnsi="Calibri"/>
      <w:color w:val="auto"/>
      <w:kern w:val="2"/>
      <w:sz w:val="24"/>
      <w:szCs w:val="22"/>
      <w:u w:val="none" w:color="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3</TotalTime>
  <ScaleCrop>false</ScaleCrop>
  <LinksUpToDate>false</LinksUpToDate>
  <CharactersWithSpaces>2776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2023-09-15T09:08:04Z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D2D9B86D65CE42A49987E65EB3353FFC_13</vt:lpwstr>
  </property>
</Properties>
</file>