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F4B48">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2238074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14:paraId="78EE361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w:t>
      </w:r>
      <w:r>
        <w:rPr>
          <w:rFonts w:hint="eastAsia" w:ascii="宋体" w:hAnsi="宋体" w:eastAsia="宋体" w:cs="宋体"/>
          <w:spacing w:val="-1"/>
          <w:sz w:val="52"/>
          <w:szCs w:val="52"/>
          <w:lang w:eastAsia="zh-CN"/>
          <w14:textOutline w14:w="3844" w14:cap="flat" w14:cmpd="sng">
            <w14:solidFill>
              <w14:srgbClr w14:val="000000"/>
            </w14:solidFill>
            <w14:prstDash w14:val="solid"/>
            <w14:miter w14:val="0"/>
          </w14:textOutline>
        </w:rPr>
        <w:t>谈判</w:t>
      </w: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文件</w:t>
      </w:r>
    </w:p>
    <w:p w14:paraId="4FA379B1">
      <w:pPr>
        <w:spacing w:line="248" w:lineRule="auto"/>
        <w:rPr>
          <w:rFonts w:ascii="Arial"/>
          <w:sz w:val="21"/>
        </w:rPr>
      </w:pPr>
    </w:p>
    <w:p w14:paraId="3D267F4B">
      <w:pPr>
        <w:spacing w:line="249" w:lineRule="auto"/>
        <w:rPr>
          <w:rFonts w:ascii="Arial"/>
          <w:sz w:val="21"/>
        </w:rPr>
      </w:pPr>
    </w:p>
    <w:p w14:paraId="14CBBA72">
      <w:pPr>
        <w:spacing w:line="249" w:lineRule="auto"/>
        <w:rPr>
          <w:rFonts w:ascii="Arial"/>
          <w:sz w:val="21"/>
        </w:rPr>
      </w:pPr>
    </w:p>
    <w:p w14:paraId="2595DF1C">
      <w:pPr>
        <w:spacing w:line="249" w:lineRule="auto"/>
        <w:rPr>
          <w:rFonts w:ascii="Arial"/>
          <w:sz w:val="21"/>
        </w:rPr>
      </w:pPr>
    </w:p>
    <w:p w14:paraId="104F075E">
      <w:pPr>
        <w:spacing w:line="249" w:lineRule="auto"/>
        <w:rPr>
          <w:rFonts w:ascii="Arial"/>
          <w:sz w:val="21"/>
        </w:rPr>
      </w:pPr>
    </w:p>
    <w:p w14:paraId="2D85D5AD">
      <w:pPr>
        <w:spacing w:line="249" w:lineRule="auto"/>
        <w:rPr>
          <w:rFonts w:ascii="Arial"/>
          <w:sz w:val="21"/>
        </w:rPr>
      </w:pPr>
    </w:p>
    <w:p w14:paraId="78C66840">
      <w:pPr>
        <w:spacing w:line="249" w:lineRule="auto"/>
        <w:rPr>
          <w:rFonts w:ascii="Arial"/>
          <w:sz w:val="21"/>
        </w:rPr>
      </w:pPr>
    </w:p>
    <w:p w14:paraId="779AB9B1">
      <w:pPr>
        <w:spacing w:line="249" w:lineRule="auto"/>
        <w:rPr>
          <w:rFonts w:ascii="Arial"/>
          <w:sz w:val="21"/>
        </w:rPr>
      </w:pPr>
    </w:p>
    <w:p w14:paraId="425A5481">
      <w:pPr>
        <w:kinsoku/>
        <w:wordWrap w:val="0"/>
        <w:spacing w:line="360" w:lineRule="auto"/>
        <w:ind w:left="2529" w:leftChars="504" w:hanging="1471" w:hangingChars="512"/>
        <w:jc w:val="both"/>
        <w:rPr>
          <w:rFonts w:hint="eastAsia" w:asciiTheme="minorEastAsia" w:hAnsiTheme="minorEastAsia" w:eastAsiaTheme="minorEastAsia" w:cstheme="minorEastAsia"/>
          <w:b/>
          <w:bCs/>
          <w:spacing w:val="-17"/>
          <w:sz w:val="32"/>
          <w:szCs w:val="32"/>
          <w:u w:val="single"/>
          <w:lang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eastAsia="zh-CN"/>
        </w:rPr>
        <w:t xml:space="preserve"> 南阳市宛西中等专业学校双优建设</w:t>
      </w:r>
    </w:p>
    <w:p w14:paraId="58B3DD06">
      <w:pPr>
        <w:kinsoku/>
        <w:wordWrap w:val="0"/>
        <w:spacing w:line="360" w:lineRule="auto"/>
        <w:ind w:left="2529" w:leftChars="504" w:hanging="1471" w:hangingChars="512"/>
        <w:jc w:val="both"/>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电</w:t>
      </w:r>
      <w:r>
        <w:rPr>
          <w:rFonts w:hint="eastAsia" w:asciiTheme="minorEastAsia" w:hAnsiTheme="minorEastAsia" w:eastAsiaTheme="minorEastAsia" w:cstheme="minorEastAsia"/>
          <w:b/>
          <w:bCs/>
          <w:spacing w:val="-17"/>
          <w:sz w:val="32"/>
          <w:szCs w:val="32"/>
          <w:u w:val="single"/>
          <w:lang w:eastAsia="zh-CN"/>
        </w:rPr>
        <w:t xml:space="preserve">子商务实训室建设项目 </w:t>
      </w:r>
      <w:r>
        <w:rPr>
          <w:rFonts w:hint="eastAsia" w:asciiTheme="minorEastAsia" w:hAnsiTheme="minorEastAsia" w:eastAsiaTheme="minorEastAsia" w:cstheme="minorEastAsia"/>
          <w:b/>
          <w:bCs/>
          <w:spacing w:val="-17"/>
          <w:sz w:val="32"/>
          <w:szCs w:val="32"/>
          <w:u w:val="single"/>
          <w:lang w:val="en-US" w:eastAsia="zh-CN"/>
        </w:rPr>
        <w:t xml:space="preserve">     </w:t>
      </w:r>
    </w:p>
    <w:p w14:paraId="5F0C4F83">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南阳政采谈判-2026-13      </w:t>
      </w:r>
    </w:p>
    <w:p w14:paraId="3A2E389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南阳政采谈判-2026-13-1     </w:t>
      </w:r>
    </w:p>
    <w:p w14:paraId="6B7F243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南阳市宛西中等专业学校      </w:t>
      </w:r>
    </w:p>
    <w:p w14:paraId="6661C7CE">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13CF32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14:paraId="1364DA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14:paraId="01948F5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sz w:val="36"/>
          <w:szCs w:val="36"/>
        </w:rPr>
        <w:sectPr>
          <w:footerReference r:id="rId5" w:type="default"/>
          <w:pgSz w:w="11906" w:h="16839"/>
          <w:pgMar w:top="1440" w:right="1800" w:bottom="1440" w:left="1800" w:header="0" w:footer="0" w:gutter="0"/>
          <w:pgNumType w:fmt="decimal" w:start="1"/>
          <w:cols w:space="720" w:num="1"/>
        </w:sectPr>
      </w:pPr>
    </w:p>
    <w:sdt>
      <w:sdtPr>
        <w:rPr>
          <w:rFonts w:ascii="宋体" w:hAnsi="宋体" w:eastAsia="宋体" w:cs="宋体"/>
          <w:sz w:val="36"/>
          <w:szCs w:val="36"/>
        </w:rPr>
        <w:id w:val="1"/>
        <w:docPartObj>
          <w:docPartGallery w:val="Table of Contents"/>
          <w:docPartUnique/>
        </w:docPartObj>
      </w:sdtPr>
      <w:sdtEndPr>
        <w:rPr>
          <w:rFonts w:ascii="宋体" w:hAnsi="宋体" w:eastAsia="宋体" w:cs="宋体"/>
          <w:sz w:val="28"/>
          <w:szCs w:val="28"/>
        </w:rPr>
      </w:sdtEndPr>
      <w:sdtContent>
        <w:p w14:paraId="504490FB">
          <w:pPr>
            <w:pStyle w:val="4"/>
            <w:keepNext w:val="0"/>
            <w:keepLines w:val="0"/>
            <w:pageBreakBefore w:val="0"/>
            <w:kinsoku/>
            <w:wordWrap w:val="0"/>
            <w:overflowPunct/>
            <w:topLinePunct w:val="0"/>
            <w:bidi w:val="0"/>
            <w:spacing w:before="117" w:line="222" w:lineRule="auto"/>
            <w:ind w:left="3716"/>
            <w:jc w:val="both"/>
            <w:rPr>
              <w:spacing w:val="-42"/>
              <w:sz w:val="36"/>
              <w:szCs w:val="36"/>
              <w14:textOutline w14:w="2306" w14:cap="flat" w14:cmpd="sng">
                <w14:solidFill>
                  <w14:srgbClr w14:val="000000"/>
                </w14:solidFill>
                <w14:prstDash w14:val="solid"/>
                <w14:miter w14:val="0"/>
              </w14:textOutline>
            </w:rPr>
          </w:pPr>
          <w:bookmarkStart w:id="0" w:name="bookmark1"/>
          <w:bookmarkEnd w:id="0"/>
          <w:r>
            <w:rPr>
              <w:spacing w:val="-42"/>
              <w:sz w:val="36"/>
              <w:szCs w:val="36"/>
              <w14:textOutline w14:w="2306" w14:cap="flat" w14:cmpd="sng">
                <w14:solidFill>
                  <w14:srgbClr w14:val="000000"/>
                </w14:solidFill>
                <w14:prstDash w14:val="solid"/>
                <w14:miter w14:val="0"/>
              </w14:textOutline>
            </w:rPr>
            <w:t>目</w:t>
          </w:r>
          <w:r>
            <w:rPr>
              <w:rFonts w:hint="eastAsia"/>
              <w:spacing w:val="-42"/>
              <w:sz w:val="36"/>
              <w:szCs w:val="36"/>
              <w:lang w:val="en-US" w:eastAsia="zh-CN"/>
              <w14:textOutline w14:w="2306" w14:cap="flat" w14:cmpd="sng">
                <w14:solidFill>
                  <w14:srgbClr w14:val="000000"/>
                </w14:solidFill>
                <w14:prstDash w14:val="solid"/>
                <w14:miter w14:val="0"/>
              </w14:textOutline>
            </w:rPr>
            <w:t xml:space="preserve">  </w:t>
          </w:r>
          <w:r>
            <w:rPr>
              <w:spacing w:val="-42"/>
              <w:sz w:val="36"/>
              <w:szCs w:val="36"/>
              <w14:textOutline w14:w="2306" w14:cap="flat" w14:cmpd="sng">
                <w14:solidFill>
                  <w14:srgbClr w14:val="000000"/>
                </w14:solidFill>
                <w14:prstDash w14:val="solid"/>
                <w14:miter w14:val="0"/>
              </w14:textOutline>
            </w:rPr>
            <w:t>录</w:t>
          </w:r>
        </w:p>
        <w:p w14:paraId="7FD6E412">
          <w:pPr>
            <w:pStyle w:val="14"/>
          </w:pPr>
        </w:p>
        <w:p w14:paraId="7E1CB4F8">
          <w:pPr>
            <w:pStyle w:val="4"/>
            <w:bidi w:val="0"/>
            <w:spacing w:line="360" w:lineRule="auto"/>
            <w:rPr>
              <w:sz w:val="28"/>
              <w:szCs w:val="28"/>
            </w:rPr>
          </w:pPr>
          <w:r>
            <w:rPr>
              <w:sz w:val="28"/>
              <w:szCs w:val="28"/>
            </w:rPr>
            <w:fldChar w:fldCharType="begin"/>
          </w:r>
          <w:r>
            <w:rPr>
              <w:sz w:val="28"/>
              <w:szCs w:val="28"/>
            </w:rPr>
            <w:instrText xml:space="preserve">HYPERLINK\l"bookmark1"</w:instrText>
          </w:r>
          <w:r>
            <w:rPr>
              <w:sz w:val="28"/>
              <w:szCs w:val="28"/>
            </w:rPr>
            <w:fldChar w:fldCharType="separate"/>
          </w:r>
          <w:r>
            <w:rPr>
              <w:sz w:val="28"/>
              <w:szCs w:val="28"/>
            </w:rPr>
            <w:t>第一章</w:t>
          </w:r>
          <w:r>
            <w:rPr>
              <w:rFonts w:hint="eastAsia"/>
              <w:sz w:val="28"/>
              <w:szCs w:val="28"/>
              <w:lang w:val="en-US" w:eastAsia="zh-CN"/>
            </w:rPr>
            <w:t xml:space="preserve"> </w:t>
          </w:r>
          <w:r>
            <w:rPr>
              <w:rFonts w:hint="eastAsia"/>
              <w:sz w:val="28"/>
              <w:szCs w:val="28"/>
              <w:lang w:eastAsia="zh-CN"/>
            </w:rPr>
            <w:t>竞争性谈判公告</w:t>
          </w:r>
          <w:r>
            <w:rPr>
              <w:sz w:val="28"/>
              <w:szCs w:val="28"/>
            </w:rPr>
            <w:fldChar w:fldCharType="end"/>
          </w:r>
        </w:p>
        <w:p w14:paraId="06A42858">
          <w:pPr>
            <w:pStyle w:val="4"/>
            <w:bidi w:val="0"/>
            <w:spacing w:line="360" w:lineRule="auto"/>
            <w:rPr>
              <w:rFonts w:hint="eastAsia"/>
              <w:sz w:val="28"/>
              <w:szCs w:val="28"/>
              <w:lang w:eastAsia="zh-CN"/>
            </w:rPr>
          </w:pPr>
          <w:r>
            <w:rPr>
              <w:sz w:val="28"/>
              <w:szCs w:val="28"/>
            </w:rPr>
            <w:t>第二章</w:t>
          </w:r>
          <w:r>
            <w:rPr>
              <w:rFonts w:hint="eastAsia"/>
              <w:sz w:val="28"/>
              <w:szCs w:val="28"/>
              <w:lang w:val="en-US" w:eastAsia="zh-CN"/>
            </w:rPr>
            <w:t xml:space="preserve"> </w:t>
          </w:r>
          <w:r>
            <w:rPr>
              <w:sz w:val="28"/>
              <w:szCs w:val="28"/>
            </w:rPr>
            <w:t>采购需求</w:t>
          </w:r>
        </w:p>
        <w:p w14:paraId="1C865CAD">
          <w:pPr>
            <w:pStyle w:val="4"/>
            <w:bidi w:val="0"/>
            <w:spacing w:line="360" w:lineRule="auto"/>
            <w:rPr>
              <w:rFonts w:hint="eastAsia"/>
              <w:sz w:val="28"/>
              <w:szCs w:val="28"/>
              <w:lang w:eastAsia="zh-CN"/>
            </w:rPr>
          </w:pPr>
          <w:r>
            <w:rPr>
              <w:sz w:val="28"/>
              <w:szCs w:val="28"/>
            </w:rPr>
            <w:t>第三章</w:t>
          </w:r>
          <w:r>
            <w:rPr>
              <w:rFonts w:hint="eastAsia"/>
              <w:sz w:val="28"/>
              <w:szCs w:val="28"/>
              <w:lang w:val="en-US" w:eastAsia="zh-CN"/>
            </w:rPr>
            <w:t xml:space="preserve"> </w:t>
          </w:r>
          <w:r>
            <w:rPr>
              <w:sz w:val="28"/>
              <w:szCs w:val="28"/>
            </w:rPr>
            <w:t>供应商须知</w:t>
          </w:r>
        </w:p>
        <w:p w14:paraId="0B598676">
          <w:pPr>
            <w:pStyle w:val="4"/>
            <w:bidi w:val="0"/>
            <w:spacing w:line="360" w:lineRule="auto"/>
            <w:rPr>
              <w:rFonts w:hint="default"/>
              <w:sz w:val="28"/>
              <w:szCs w:val="28"/>
              <w:lang w:val="en-US" w:eastAsia="zh-CN"/>
            </w:rPr>
          </w:pPr>
          <w:r>
            <w:rPr>
              <w:sz w:val="28"/>
              <w:szCs w:val="28"/>
            </w:rPr>
            <w:t>第四章</w:t>
          </w:r>
          <w:r>
            <w:rPr>
              <w:rFonts w:hint="eastAsia"/>
              <w:sz w:val="28"/>
              <w:szCs w:val="28"/>
              <w:lang w:val="en-US" w:eastAsia="zh-CN"/>
            </w:rPr>
            <w:t xml:space="preserve"> </w:t>
          </w:r>
          <w:r>
            <w:rPr>
              <w:rFonts w:hint="eastAsia"/>
              <w:sz w:val="28"/>
              <w:szCs w:val="28"/>
              <w:lang w:eastAsia="zh-CN"/>
            </w:rPr>
            <w:t>评审程序和评定成交的标准</w:t>
          </w:r>
        </w:p>
        <w:p w14:paraId="308C3D4B">
          <w:pPr>
            <w:pStyle w:val="4"/>
            <w:bidi w:val="0"/>
            <w:spacing w:line="360" w:lineRule="auto"/>
            <w:rPr>
              <w:rFonts w:hint="default"/>
              <w:sz w:val="28"/>
              <w:szCs w:val="28"/>
              <w:lang w:val="en-US" w:eastAsia="zh-CN"/>
            </w:rPr>
          </w:pPr>
          <w:r>
            <w:rPr>
              <w:sz w:val="28"/>
              <w:szCs w:val="28"/>
            </w:rPr>
            <w:t>第五章</w:t>
          </w:r>
          <w:r>
            <w:rPr>
              <w:rFonts w:hint="eastAsia"/>
              <w:sz w:val="28"/>
              <w:szCs w:val="28"/>
              <w:lang w:val="en-US" w:eastAsia="zh-CN"/>
            </w:rPr>
            <w:t xml:space="preserve"> </w:t>
          </w:r>
          <w:r>
            <w:rPr>
              <w:rFonts w:hint="eastAsia"/>
              <w:sz w:val="28"/>
              <w:szCs w:val="28"/>
              <w:lang w:eastAsia="zh-CN"/>
            </w:rPr>
            <w:t>政府采购合同（草案）</w:t>
          </w:r>
        </w:p>
        <w:p w14:paraId="698B6695">
          <w:pPr>
            <w:pStyle w:val="4"/>
            <w:bidi w:val="0"/>
            <w:spacing w:line="360" w:lineRule="auto"/>
            <w:rPr>
              <w:sz w:val="28"/>
              <w:szCs w:val="28"/>
            </w:rPr>
          </w:pPr>
          <w:r>
            <w:rPr>
              <w:sz w:val="28"/>
              <w:szCs w:val="28"/>
            </w:rPr>
            <w:t>第六章</w:t>
          </w:r>
          <w:r>
            <w:rPr>
              <w:rFonts w:hint="eastAsia"/>
              <w:sz w:val="28"/>
              <w:szCs w:val="28"/>
              <w:lang w:val="en-US" w:eastAsia="zh-CN"/>
            </w:rPr>
            <w:t xml:space="preserve"> </w:t>
          </w:r>
          <w:r>
            <w:rPr>
              <w:sz w:val="28"/>
              <w:szCs w:val="28"/>
            </w:rPr>
            <w:t>响应文件格式</w:t>
          </w:r>
        </w:p>
      </w:sdtContent>
    </w:sdt>
    <w:p w14:paraId="6152077B">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50FC3DD">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17A2AD03">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234F9115">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6DD43D8">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4C5B9FF9">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32081826">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41893DD2">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2E75DC0">
      <w:pPr>
        <w:pStyle w:val="4"/>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7BD4D269">
      <w:pPr>
        <w:pStyle w:val="4"/>
        <w:keepNext w:val="0"/>
        <w:keepLines w:val="0"/>
        <w:pageBreakBefore w:val="0"/>
        <w:kinsoku/>
        <w:wordWrap w:val="0"/>
        <w:overflowPunct/>
        <w:topLinePunct w:val="0"/>
        <w:bidi w:val="0"/>
        <w:spacing w:before="358" w:line="360" w:lineRule="auto"/>
        <w:jc w:val="center"/>
        <w:rPr>
          <w:rFonts w:hint="eastAsia" w:eastAsia="宋体"/>
          <w:sz w:val="36"/>
          <w:szCs w:val="36"/>
          <w:lang w:eastAsia="zh-CN"/>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竞争性谈判公告</w:t>
      </w:r>
    </w:p>
    <w:p w14:paraId="08E4673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竞争性谈判</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谈判</w:t>
      </w:r>
      <w:r>
        <w:rPr>
          <w:spacing w:val="-6"/>
          <w:sz w:val="24"/>
          <w:szCs w:val="24"/>
        </w:rPr>
        <w:t>。</w:t>
      </w:r>
    </w:p>
    <w:p w14:paraId="0F720009">
      <w:pPr>
        <w:pStyle w:val="4"/>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14:paraId="0869F28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5"/>
          <w:sz w:val="24"/>
          <w:szCs w:val="24"/>
        </w:rPr>
        <w:t>1.项目编号：南阳政采谈判-2026-1</w:t>
      </w:r>
      <w:r>
        <w:rPr>
          <w:rFonts w:hint="eastAsia" w:asciiTheme="minorEastAsia" w:hAnsiTheme="minorEastAsia" w:eastAsiaTheme="minorEastAsia" w:cstheme="minorEastAsia"/>
          <w:spacing w:val="-25"/>
          <w:sz w:val="24"/>
          <w:szCs w:val="24"/>
          <w:lang w:val="en-US" w:eastAsia="zh-CN"/>
        </w:rPr>
        <w:t>3</w:t>
      </w:r>
    </w:p>
    <w:p w14:paraId="65961B4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2.项目名称：南阳市宛西中等专业学校双优建设电子商务实训室建设项目</w:t>
      </w:r>
    </w:p>
    <w:p w14:paraId="474F3E7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79.5001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79.5001 </w:t>
      </w:r>
      <w:r>
        <w:rPr>
          <w:rFonts w:hint="eastAsia" w:asciiTheme="minorEastAsia" w:hAnsiTheme="minorEastAsia" w:eastAsiaTheme="minorEastAsia" w:cstheme="minorEastAsia"/>
          <w:spacing w:val="-14"/>
          <w:sz w:val="24"/>
          <w:szCs w:val="24"/>
        </w:rPr>
        <w:t>万元</w:t>
      </w:r>
    </w:p>
    <w:p w14:paraId="73B7FBA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6"/>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168AF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3AFA157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510117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38DB1FE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592D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9E5076B">
            <w:pPr>
              <w:pStyle w:val="1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南阳政采谈判-2026-13-1</w:t>
            </w:r>
          </w:p>
        </w:tc>
        <w:tc>
          <w:tcPr>
            <w:tcW w:w="4215" w:type="dxa"/>
            <w:vAlign w:val="center"/>
          </w:tcPr>
          <w:p w14:paraId="589EE9C0">
            <w:pPr>
              <w:pStyle w:val="1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南阳市宛西中等专业学校双优建设电子商务实训室建设项目</w:t>
            </w:r>
          </w:p>
        </w:tc>
        <w:tc>
          <w:tcPr>
            <w:tcW w:w="2321" w:type="dxa"/>
            <w:vAlign w:val="center"/>
          </w:tcPr>
          <w:p w14:paraId="04DF4E61">
            <w:pPr>
              <w:pStyle w:val="1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795001</w:t>
            </w:r>
          </w:p>
        </w:tc>
      </w:tr>
    </w:tbl>
    <w:p w14:paraId="2F71D1E9">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w:t>
      </w:r>
    </w:p>
    <w:tbl>
      <w:tblPr>
        <w:tblStyle w:val="16"/>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79"/>
        <w:gridCol w:w="3901"/>
        <w:gridCol w:w="1517"/>
        <w:gridCol w:w="1717"/>
      </w:tblGrid>
      <w:tr w14:paraId="310C5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768226D4">
            <w:pPr>
              <w:pStyle w:val="19"/>
              <w:widowControl w:val="0"/>
              <w:kinsoku/>
              <w:adjustRightInd/>
              <w:snapToGrid/>
              <w:jc w:val="center"/>
              <w:textAlignment w:val="auto"/>
              <w:rPr>
                <w:sz w:val="24"/>
                <w:szCs w:val="24"/>
              </w:rPr>
            </w:pPr>
            <w:r>
              <w:rPr>
                <w:rFonts w:hint="eastAsia" w:ascii="宋体" w:hAnsi="宋体" w:eastAsia="宋体" w:cs="宋体"/>
                <w:sz w:val="24"/>
                <w:szCs w:val="24"/>
              </w:rPr>
              <w:t>序</w:t>
            </w:r>
            <w:r>
              <w:rPr>
                <w:sz w:val="24"/>
                <w:szCs w:val="24"/>
              </w:rPr>
              <w:t>号</w:t>
            </w:r>
          </w:p>
        </w:tc>
        <w:tc>
          <w:tcPr>
            <w:tcW w:w="2345" w:type="pct"/>
            <w:vAlign w:val="center"/>
          </w:tcPr>
          <w:p w14:paraId="324C8840">
            <w:pPr>
              <w:pStyle w:val="19"/>
              <w:widowControl w:val="0"/>
              <w:kinsoku/>
              <w:adjustRightInd/>
              <w:snapToGrid/>
              <w:jc w:val="center"/>
              <w:textAlignment w:val="auto"/>
              <w:rPr>
                <w:sz w:val="24"/>
                <w:szCs w:val="24"/>
              </w:rPr>
            </w:pPr>
            <w:r>
              <w:rPr>
                <w:sz w:val="24"/>
                <w:szCs w:val="24"/>
              </w:rPr>
              <w:t>货物名称</w:t>
            </w:r>
          </w:p>
        </w:tc>
        <w:tc>
          <w:tcPr>
            <w:tcW w:w="912" w:type="pct"/>
            <w:vAlign w:val="center"/>
          </w:tcPr>
          <w:p w14:paraId="69EC5791">
            <w:pPr>
              <w:pStyle w:val="19"/>
              <w:widowControl w:val="0"/>
              <w:kinsoku/>
              <w:adjustRightInd/>
              <w:snapToGrid/>
              <w:jc w:val="center"/>
              <w:textAlignment w:val="auto"/>
              <w:rPr>
                <w:sz w:val="24"/>
                <w:szCs w:val="24"/>
              </w:rPr>
            </w:pPr>
            <w:r>
              <w:rPr>
                <w:sz w:val="24"/>
                <w:szCs w:val="24"/>
              </w:rPr>
              <w:t>数量</w:t>
            </w:r>
          </w:p>
        </w:tc>
        <w:tc>
          <w:tcPr>
            <w:tcW w:w="1032" w:type="pct"/>
            <w:vAlign w:val="center"/>
          </w:tcPr>
          <w:p w14:paraId="626DB4C5">
            <w:pPr>
              <w:pStyle w:val="19"/>
              <w:widowControl w:val="0"/>
              <w:kinsoku/>
              <w:adjustRightInd/>
              <w:snapToGrid/>
              <w:jc w:val="center"/>
              <w:textAlignment w:val="auto"/>
              <w:rPr>
                <w:sz w:val="24"/>
                <w:szCs w:val="24"/>
              </w:rPr>
            </w:pPr>
            <w:r>
              <w:rPr>
                <w:sz w:val="24"/>
                <w:szCs w:val="24"/>
              </w:rPr>
              <w:t>单位</w:t>
            </w:r>
          </w:p>
        </w:tc>
      </w:tr>
      <w:tr w14:paraId="54DB0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29877EC9">
            <w:pPr>
              <w:pStyle w:val="19"/>
              <w:widowControl w:val="0"/>
              <w:kinsoku/>
              <w:adjustRightInd/>
              <w:snapToGrid/>
              <w:ind w:left="6"/>
              <w:jc w:val="center"/>
              <w:textAlignment w:val="auto"/>
              <w:rPr>
                <w:sz w:val="24"/>
                <w:szCs w:val="24"/>
              </w:rPr>
            </w:pPr>
            <w:r>
              <w:rPr>
                <w:sz w:val="24"/>
                <w:szCs w:val="24"/>
              </w:rPr>
              <w:t>1</w:t>
            </w:r>
          </w:p>
        </w:tc>
        <w:tc>
          <w:tcPr>
            <w:tcW w:w="2345" w:type="pct"/>
            <w:vAlign w:val="center"/>
          </w:tcPr>
          <w:p w14:paraId="0CE829B1">
            <w:pPr>
              <w:pStyle w:val="19"/>
              <w:widowControl w:val="0"/>
              <w:kinsoku/>
              <w:adjustRightInd/>
              <w:snapToGrid/>
              <w:jc w:val="center"/>
              <w:textAlignment w:val="auto"/>
              <w:rPr>
                <w:sz w:val="24"/>
                <w:szCs w:val="24"/>
              </w:rPr>
            </w:pPr>
            <w:r>
              <w:rPr>
                <w:rFonts w:hint="eastAsia"/>
                <w:sz w:val="24"/>
                <w:szCs w:val="24"/>
              </w:rPr>
              <w:t>云桌面管理软件</w:t>
            </w:r>
          </w:p>
        </w:tc>
        <w:tc>
          <w:tcPr>
            <w:tcW w:w="912" w:type="pct"/>
            <w:vAlign w:val="center"/>
          </w:tcPr>
          <w:p w14:paraId="447AEB4A">
            <w:pPr>
              <w:pStyle w:val="19"/>
              <w:widowControl w:val="0"/>
              <w:kinsoku/>
              <w:adjustRightInd/>
              <w:snapToGrid/>
              <w:jc w:val="center"/>
              <w:textAlignment w:val="auto"/>
              <w:rPr>
                <w:sz w:val="24"/>
                <w:szCs w:val="24"/>
              </w:rPr>
            </w:pPr>
            <w:r>
              <w:rPr>
                <w:rFonts w:hint="eastAsia"/>
                <w:sz w:val="24"/>
                <w:szCs w:val="24"/>
              </w:rPr>
              <w:t>51</w:t>
            </w:r>
          </w:p>
        </w:tc>
        <w:tc>
          <w:tcPr>
            <w:tcW w:w="1032" w:type="pct"/>
            <w:vAlign w:val="center"/>
          </w:tcPr>
          <w:p w14:paraId="1D2A1D5C">
            <w:pPr>
              <w:pStyle w:val="19"/>
              <w:widowControl w:val="0"/>
              <w:kinsoku/>
              <w:adjustRightInd/>
              <w:snapToGrid/>
              <w:jc w:val="center"/>
              <w:textAlignment w:val="auto"/>
              <w:rPr>
                <w:sz w:val="24"/>
                <w:szCs w:val="24"/>
              </w:rPr>
            </w:pPr>
            <w:r>
              <w:rPr>
                <w:rFonts w:hint="eastAsia"/>
                <w:sz w:val="24"/>
                <w:szCs w:val="24"/>
              </w:rPr>
              <w:t>套</w:t>
            </w:r>
          </w:p>
        </w:tc>
      </w:tr>
      <w:tr w14:paraId="38C35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46F09E74">
            <w:pPr>
              <w:pStyle w:val="19"/>
              <w:widowControl w:val="0"/>
              <w:kinsoku/>
              <w:adjustRightInd/>
              <w:snapToGrid/>
              <w:ind w:left="6"/>
              <w:jc w:val="center"/>
              <w:textAlignment w:val="auto"/>
              <w:rPr>
                <w:sz w:val="24"/>
                <w:szCs w:val="24"/>
              </w:rPr>
            </w:pPr>
            <w:r>
              <w:rPr>
                <w:sz w:val="24"/>
                <w:szCs w:val="24"/>
              </w:rPr>
              <w:t>2</w:t>
            </w:r>
          </w:p>
        </w:tc>
        <w:tc>
          <w:tcPr>
            <w:tcW w:w="2345" w:type="pct"/>
            <w:vAlign w:val="center"/>
          </w:tcPr>
          <w:p w14:paraId="502FCED8">
            <w:pPr>
              <w:pStyle w:val="19"/>
              <w:widowControl w:val="0"/>
              <w:kinsoku/>
              <w:adjustRightInd/>
              <w:snapToGrid/>
              <w:jc w:val="center"/>
              <w:textAlignment w:val="auto"/>
              <w:rPr>
                <w:sz w:val="24"/>
                <w:szCs w:val="24"/>
              </w:rPr>
            </w:pPr>
            <w:r>
              <w:rPr>
                <w:rFonts w:hint="eastAsia"/>
                <w:sz w:val="24"/>
                <w:szCs w:val="24"/>
              </w:rPr>
              <w:t>台式</w:t>
            </w:r>
            <w:r>
              <w:rPr>
                <w:sz w:val="24"/>
                <w:szCs w:val="24"/>
              </w:rPr>
              <w:t>计算机</w:t>
            </w:r>
          </w:p>
        </w:tc>
        <w:tc>
          <w:tcPr>
            <w:tcW w:w="912" w:type="pct"/>
            <w:vAlign w:val="center"/>
          </w:tcPr>
          <w:p w14:paraId="55905E60">
            <w:pPr>
              <w:pStyle w:val="19"/>
              <w:widowControl w:val="0"/>
              <w:kinsoku/>
              <w:adjustRightInd/>
              <w:snapToGrid/>
              <w:jc w:val="center"/>
              <w:textAlignment w:val="auto"/>
              <w:rPr>
                <w:sz w:val="24"/>
                <w:szCs w:val="24"/>
              </w:rPr>
            </w:pPr>
            <w:r>
              <w:rPr>
                <w:rFonts w:hint="eastAsia"/>
                <w:sz w:val="24"/>
                <w:szCs w:val="24"/>
              </w:rPr>
              <w:t>51</w:t>
            </w:r>
          </w:p>
        </w:tc>
        <w:tc>
          <w:tcPr>
            <w:tcW w:w="1032" w:type="pct"/>
            <w:vAlign w:val="center"/>
          </w:tcPr>
          <w:p w14:paraId="213901F2">
            <w:pPr>
              <w:pStyle w:val="19"/>
              <w:widowControl w:val="0"/>
              <w:kinsoku/>
              <w:adjustRightInd/>
              <w:snapToGrid/>
              <w:jc w:val="center"/>
              <w:textAlignment w:val="auto"/>
              <w:rPr>
                <w:sz w:val="24"/>
                <w:szCs w:val="24"/>
              </w:rPr>
            </w:pPr>
            <w:r>
              <w:rPr>
                <w:sz w:val="24"/>
                <w:szCs w:val="24"/>
              </w:rPr>
              <w:t>台</w:t>
            </w:r>
          </w:p>
        </w:tc>
      </w:tr>
      <w:tr w14:paraId="523A2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7E112ADA">
            <w:pPr>
              <w:pStyle w:val="19"/>
              <w:widowControl w:val="0"/>
              <w:kinsoku/>
              <w:adjustRightInd/>
              <w:snapToGrid/>
              <w:ind w:left="6"/>
              <w:jc w:val="center"/>
              <w:textAlignment w:val="auto"/>
              <w:rPr>
                <w:sz w:val="24"/>
                <w:szCs w:val="24"/>
              </w:rPr>
            </w:pPr>
            <w:r>
              <w:rPr>
                <w:rFonts w:hint="eastAsia"/>
                <w:sz w:val="24"/>
                <w:szCs w:val="24"/>
              </w:rPr>
              <w:t>3</w:t>
            </w:r>
          </w:p>
        </w:tc>
        <w:tc>
          <w:tcPr>
            <w:tcW w:w="2345" w:type="pct"/>
            <w:vAlign w:val="center"/>
          </w:tcPr>
          <w:p w14:paraId="67EFA779">
            <w:pPr>
              <w:pStyle w:val="19"/>
              <w:widowControl w:val="0"/>
              <w:kinsoku/>
              <w:adjustRightInd/>
              <w:snapToGrid/>
              <w:jc w:val="center"/>
              <w:textAlignment w:val="auto"/>
              <w:rPr>
                <w:sz w:val="24"/>
                <w:szCs w:val="24"/>
              </w:rPr>
            </w:pPr>
            <w:r>
              <w:rPr>
                <w:rFonts w:hint="eastAsia"/>
                <w:sz w:val="24"/>
                <w:szCs w:val="24"/>
              </w:rPr>
              <w:t>交换机</w:t>
            </w:r>
          </w:p>
        </w:tc>
        <w:tc>
          <w:tcPr>
            <w:tcW w:w="912" w:type="pct"/>
            <w:vAlign w:val="center"/>
          </w:tcPr>
          <w:p w14:paraId="4C8B5836">
            <w:pPr>
              <w:pStyle w:val="19"/>
              <w:widowControl w:val="0"/>
              <w:kinsoku/>
              <w:adjustRightInd/>
              <w:snapToGrid/>
              <w:jc w:val="center"/>
              <w:textAlignment w:val="auto"/>
              <w:rPr>
                <w:sz w:val="24"/>
                <w:szCs w:val="24"/>
              </w:rPr>
            </w:pPr>
            <w:r>
              <w:rPr>
                <w:rFonts w:hint="eastAsia"/>
                <w:sz w:val="24"/>
                <w:szCs w:val="24"/>
              </w:rPr>
              <w:t>3</w:t>
            </w:r>
          </w:p>
        </w:tc>
        <w:tc>
          <w:tcPr>
            <w:tcW w:w="1032" w:type="pct"/>
            <w:vAlign w:val="center"/>
          </w:tcPr>
          <w:p w14:paraId="35A12D01">
            <w:pPr>
              <w:pStyle w:val="19"/>
              <w:widowControl w:val="0"/>
              <w:kinsoku/>
              <w:adjustRightInd/>
              <w:snapToGrid/>
              <w:jc w:val="center"/>
              <w:textAlignment w:val="auto"/>
              <w:rPr>
                <w:sz w:val="24"/>
                <w:szCs w:val="24"/>
              </w:rPr>
            </w:pPr>
            <w:r>
              <w:rPr>
                <w:rFonts w:hint="eastAsia"/>
                <w:sz w:val="24"/>
                <w:szCs w:val="24"/>
              </w:rPr>
              <w:t>台</w:t>
            </w:r>
          </w:p>
        </w:tc>
      </w:tr>
      <w:tr w14:paraId="37E18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7A2A0F8C">
            <w:pPr>
              <w:pStyle w:val="19"/>
              <w:widowControl w:val="0"/>
              <w:kinsoku/>
              <w:adjustRightInd/>
              <w:snapToGrid/>
              <w:ind w:left="6"/>
              <w:jc w:val="center"/>
              <w:textAlignment w:val="auto"/>
              <w:rPr>
                <w:sz w:val="24"/>
                <w:szCs w:val="24"/>
              </w:rPr>
            </w:pPr>
            <w:r>
              <w:rPr>
                <w:rFonts w:hint="eastAsia"/>
                <w:sz w:val="24"/>
                <w:szCs w:val="24"/>
              </w:rPr>
              <w:t>4</w:t>
            </w:r>
          </w:p>
        </w:tc>
        <w:tc>
          <w:tcPr>
            <w:tcW w:w="2345" w:type="pct"/>
            <w:vAlign w:val="center"/>
          </w:tcPr>
          <w:p w14:paraId="0C0D6903">
            <w:pPr>
              <w:pStyle w:val="19"/>
              <w:widowControl w:val="0"/>
              <w:kinsoku/>
              <w:adjustRightInd/>
              <w:snapToGrid/>
              <w:jc w:val="center"/>
              <w:textAlignment w:val="auto"/>
              <w:rPr>
                <w:sz w:val="24"/>
                <w:szCs w:val="24"/>
              </w:rPr>
            </w:pPr>
            <w:r>
              <w:rPr>
                <w:rFonts w:hint="eastAsia"/>
                <w:sz w:val="24"/>
                <w:szCs w:val="24"/>
              </w:rPr>
              <w:t>机柜</w:t>
            </w:r>
          </w:p>
        </w:tc>
        <w:tc>
          <w:tcPr>
            <w:tcW w:w="912" w:type="pct"/>
            <w:vAlign w:val="center"/>
          </w:tcPr>
          <w:p w14:paraId="463315CE">
            <w:pPr>
              <w:pStyle w:val="19"/>
              <w:widowControl w:val="0"/>
              <w:kinsoku/>
              <w:adjustRightInd/>
              <w:snapToGrid/>
              <w:jc w:val="center"/>
              <w:textAlignment w:val="auto"/>
              <w:rPr>
                <w:sz w:val="24"/>
                <w:szCs w:val="24"/>
              </w:rPr>
            </w:pPr>
            <w:r>
              <w:rPr>
                <w:rFonts w:hint="eastAsia"/>
                <w:sz w:val="24"/>
                <w:szCs w:val="24"/>
              </w:rPr>
              <w:t>1</w:t>
            </w:r>
          </w:p>
        </w:tc>
        <w:tc>
          <w:tcPr>
            <w:tcW w:w="1032" w:type="pct"/>
            <w:vAlign w:val="center"/>
          </w:tcPr>
          <w:p w14:paraId="6C1EE3BA">
            <w:pPr>
              <w:pStyle w:val="19"/>
              <w:widowControl w:val="0"/>
              <w:kinsoku/>
              <w:adjustRightInd/>
              <w:snapToGrid/>
              <w:jc w:val="center"/>
              <w:textAlignment w:val="auto"/>
              <w:rPr>
                <w:sz w:val="24"/>
                <w:szCs w:val="24"/>
              </w:rPr>
            </w:pPr>
            <w:r>
              <w:rPr>
                <w:rFonts w:hint="eastAsia"/>
                <w:sz w:val="24"/>
                <w:szCs w:val="24"/>
              </w:rPr>
              <w:t>台</w:t>
            </w:r>
          </w:p>
        </w:tc>
      </w:tr>
      <w:tr w14:paraId="489AD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68769CEB">
            <w:pPr>
              <w:pStyle w:val="19"/>
              <w:widowControl w:val="0"/>
              <w:kinsoku/>
              <w:adjustRightInd/>
              <w:snapToGrid/>
              <w:ind w:left="6"/>
              <w:jc w:val="center"/>
              <w:textAlignment w:val="auto"/>
              <w:rPr>
                <w:sz w:val="24"/>
                <w:szCs w:val="24"/>
              </w:rPr>
            </w:pPr>
            <w:r>
              <w:rPr>
                <w:rFonts w:hint="eastAsia"/>
                <w:sz w:val="24"/>
                <w:szCs w:val="24"/>
              </w:rPr>
              <w:t>5</w:t>
            </w:r>
          </w:p>
        </w:tc>
        <w:tc>
          <w:tcPr>
            <w:tcW w:w="2345" w:type="pct"/>
            <w:vAlign w:val="center"/>
          </w:tcPr>
          <w:p w14:paraId="7104D4EB">
            <w:pPr>
              <w:pStyle w:val="19"/>
              <w:widowControl w:val="0"/>
              <w:kinsoku/>
              <w:adjustRightInd/>
              <w:snapToGrid/>
              <w:jc w:val="center"/>
              <w:textAlignment w:val="auto"/>
              <w:rPr>
                <w:sz w:val="24"/>
                <w:szCs w:val="24"/>
              </w:rPr>
            </w:pPr>
            <w:r>
              <w:rPr>
                <w:rFonts w:hint="eastAsia"/>
                <w:sz w:val="24"/>
                <w:szCs w:val="24"/>
              </w:rPr>
              <w:t>学生桌</w:t>
            </w:r>
          </w:p>
        </w:tc>
        <w:tc>
          <w:tcPr>
            <w:tcW w:w="912" w:type="pct"/>
            <w:vAlign w:val="center"/>
          </w:tcPr>
          <w:p w14:paraId="6A2ED3C7">
            <w:pPr>
              <w:pStyle w:val="19"/>
              <w:widowControl w:val="0"/>
              <w:kinsoku/>
              <w:adjustRightInd/>
              <w:snapToGrid/>
              <w:jc w:val="center"/>
              <w:textAlignment w:val="auto"/>
              <w:rPr>
                <w:sz w:val="24"/>
                <w:szCs w:val="24"/>
              </w:rPr>
            </w:pPr>
            <w:r>
              <w:rPr>
                <w:rFonts w:hint="eastAsia"/>
                <w:sz w:val="24"/>
                <w:szCs w:val="24"/>
              </w:rPr>
              <w:t>25</w:t>
            </w:r>
          </w:p>
        </w:tc>
        <w:tc>
          <w:tcPr>
            <w:tcW w:w="1032" w:type="pct"/>
            <w:vAlign w:val="center"/>
          </w:tcPr>
          <w:p w14:paraId="4F4EBA85">
            <w:pPr>
              <w:pStyle w:val="19"/>
              <w:widowControl w:val="0"/>
              <w:kinsoku/>
              <w:adjustRightInd/>
              <w:snapToGrid/>
              <w:jc w:val="center"/>
              <w:textAlignment w:val="auto"/>
              <w:rPr>
                <w:sz w:val="24"/>
                <w:szCs w:val="24"/>
              </w:rPr>
            </w:pPr>
            <w:r>
              <w:rPr>
                <w:rFonts w:hint="eastAsia"/>
                <w:sz w:val="24"/>
                <w:szCs w:val="24"/>
              </w:rPr>
              <w:t>张</w:t>
            </w:r>
          </w:p>
        </w:tc>
      </w:tr>
      <w:tr w14:paraId="7578F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4FE45BC9">
            <w:pPr>
              <w:pStyle w:val="19"/>
              <w:widowControl w:val="0"/>
              <w:kinsoku/>
              <w:adjustRightInd/>
              <w:snapToGrid/>
              <w:ind w:left="6"/>
              <w:jc w:val="center"/>
              <w:textAlignment w:val="auto"/>
              <w:rPr>
                <w:sz w:val="24"/>
                <w:szCs w:val="24"/>
              </w:rPr>
            </w:pPr>
            <w:r>
              <w:rPr>
                <w:rFonts w:hint="eastAsia"/>
                <w:sz w:val="24"/>
                <w:szCs w:val="24"/>
              </w:rPr>
              <w:t>6</w:t>
            </w:r>
          </w:p>
        </w:tc>
        <w:tc>
          <w:tcPr>
            <w:tcW w:w="2345" w:type="pct"/>
            <w:vAlign w:val="center"/>
          </w:tcPr>
          <w:p w14:paraId="459647BA">
            <w:pPr>
              <w:pStyle w:val="19"/>
              <w:widowControl w:val="0"/>
              <w:kinsoku/>
              <w:adjustRightInd/>
              <w:snapToGrid/>
              <w:jc w:val="center"/>
              <w:textAlignment w:val="auto"/>
              <w:rPr>
                <w:sz w:val="24"/>
                <w:szCs w:val="24"/>
              </w:rPr>
            </w:pPr>
            <w:r>
              <w:rPr>
                <w:rFonts w:hint="eastAsia"/>
                <w:sz w:val="24"/>
                <w:szCs w:val="24"/>
              </w:rPr>
              <w:t>学生座椅</w:t>
            </w:r>
          </w:p>
        </w:tc>
        <w:tc>
          <w:tcPr>
            <w:tcW w:w="912" w:type="pct"/>
            <w:vAlign w:val="center"/>
          </w:tcPr>
          <w:p w14:paraId="252DCF56">
            <w:pPr>
              <w:pStyle w:val="19"/>
              <w:widowControl w:val="0"/>
              <w:kinsoku/>
              <w:adjustRightInd/>
              <w:snapToGrid/>
              <w:jc w:val="center"/>
              <w:textAlignment w:val="auto"/>
              <w:rPr>
                <w:sz w:val="24"/>
                <w:szCs w:val="24"/>
              </w:rPr>
            </w:pPr>
            <w:r>
              <w:rPr>
                <w:rFonts w:hint="eastAsia"/>
                <w:sz w:val="24"/>
                <w:szCs w:val="24"/>
              </w:rPr>
              <w:t>51</w:t>
            </w:r>
          </w:p>
        </w:tc>
        <w:tc>
          <w:tcPr>
            <w:tcW w:w="1032" w:type="pct"/>
            <w:vAlign w:val="center"/>
          </w:tcPr>
          <w:p w14:paraId="63988337">
            <w:pPr>
              <w:pStyle w:val="19"/>
              <w:widowControl w:val="0"/>
              <w:kinsoku/>
              <w:adjustRightInd/>
              <w:snapToGrid/>
              <w:jc w:val="center"/>
              <w:textAlignment w:val="auto"/>
              <w:rPr>
                <w:sz w:val="24"/>
                <w:szCs w:val="24"/>
              </w:rPr>
            </w:pPr>
            <w:r>
              <w:rPr>
                <w:rFonts w:hint="eastAsia"/>
                <w:sz w:val="24"/>
                <w:szCs w:val="24"/>
              </w:rPr>
              <w:t>把</w:t>
            </w:r>
          </w:p>
        </w:tc>
      </w:tr>
      <w:tr w14:paraId="355C6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0D652FB5">
            <w:pPr>
              <w:pStyle w:val="19"/>
              <w:widowControl w:val="0"/>
              <w:kinsoku/>
              <w:adjustRightInd/>
              <w:snapToGrid/>
              <w:ind w:left="6"/>
              <w:jc w:val="center"/>
              <w:textAlignment w:val="auto"/>
              <w:rPr>
                <w:sz w:val="24"/>
                <w:szCs w:val="24"/>
              </w:rPr>
            </w:pPr>
            <w:r>
              <w:rPr>
                <w:rFonts w:hint="eastAsia"/>
                <w:sz w:val="24"/>
                <w:szCs w:val="24"/>
              </w:rPr>
              <w:t>7</w:t>
            </w:r>
          </w:p>
        </w:tc>
        <w:tc>
          <w:tcPr>
            <w:tcW w:w="2345" w:type="pct"/>
            <w:vAlign w:val="center"/>
          </w:tcPr>
          <w:p w14:paraId="6B1210B1">
            <w:pPr>
              <w:pStyle w:val="19"/>
              <w:widowControl w:val="0"/>
              <w:kinsoku/>
              <w:adjustRightInd/>
              <w:snapToGrid/>
              <w:jc w:val="center"/>
              <w:textAlignment w:val="auto"/>
              <w:rPr>
                <w:sz w:val="24"/>
                <w:szCs w:val="24"/>
              </w:rPr>
            </w:pPr>
            <w:r>
              <w:rPr>
                <w:rFonts w:hint="eastAsia"/>
                <w:sz w:val="24"/>
                <w:szCs w:val="24"/>
              </w:rPr>
              <w:t>教师座椅</w:t>
            </w:r>
          </w:p>
        </w:tc>
        <w:tc>
          <w:tcPr>
            <w:tcW w:w="912" w:type="pct"/>
            <w:vAlign w:val="center"/>
          </w:tcPr>
          <w:p w14:paraId="09D00A33">
            <w:pPr>
              <w:pStyle w:val="19"/>
              <w:widowControl w:val="0"/>
              <w:kinsoku/>
              <w:adjustRightInd/>
              <w:snapToGrid/>
              <w:jc w:val="center"/>
              <w:textAlignment w:val="auto"/>
              <w:rPr>
                <w:sz w:val="24"/>
                <w:szCs w:val="24"/>
              </w:rPr>
            </w:pPr>
            <w:r>
              <w:rPr>
                <w:rFonts w:hint="eastAsia"/>
                <w:sz w:val="24"/>
                <w:szCs w:val="24"/>
              </w:rPr>
              <w:t>1</w:t>
            </w:r>
          </w:p>
        </w:tc>
        <w:tc>
          <w:tcPr>
            <w:tcW w:w="1032" w:type="pct"/>
            <w:vAlign w:val="center"/>
          </w:tcPr>
          <w:p w14:paraId="4CE7EBEC">
            <w:pPr>
              <w:pStyle w:val="19"/>
              <w:widowControl w:val="0"/>
              <w:kinsoku/>
              <w:adjustRightInd/>
              <w:snapToGrid/>
              <w:jc w:val="center"/>
              <w:textAlignment w:val="auto"/>
              <w:rPr>
                <w:sz w:val="24"/>
                <w:szCs w:val="24"/>
              </w:rPr>
            </w:pPr>
            <w:r>
              <w:rPr>
                <w:rFonts w:hint="eastAsia"/>
                <w:sz w:val="24"/>
                <w:szCs w:val="24"/>
              </w:rPr>
              <w:t>套</w:t>
            </w:r>
          </w:p>
        </w:tc>
      </w:tr>
      <w:tr w14:paraId="55DAA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6D78E59F">
            <w:pPr>
              <w:pStyle w:val="19"/>
              <w:widowControl w:val="0"/>
              <w:kinsoku/>
              <w:adjustRightInd/>
              <w:snapToGrid/>
              <w:ind w:left="6"/>
              <w:jc w:val="center"/>
              <w:textAlignment w:val="auto"/>
              <w:rPr>
                <w:sz w:val="24"/>
                <w:szCs w:val="24"/>
              </w:rPr>
            </w:pPr>
            <w:r>
              <w:rPr>
                <w:rFonts w:hint="eastAsia"/>
                <w:sz w:val="24"/>
                <w:szCs w:val="24"/>
              </w:rPr>
              <w:t>8</w:t>
            </w:r>
          </w:p>
        </w:tc>
        <w:tc>
          <w:tcPr>
            <w:tcW w:w="2345" w:type="pct"/>
            <w:vAlign w:val="center"/>
          </w:tcPr>
          <w:p w14:paraId="601D421A">
            <w:pPr>
              <w:pStyle w:val="19"/>
              <w:widowControl w:val="0"/>
              <w:kinsoku/>
              <w:adjustRightInd/>
              <w:snapToGrid/>
              <w:jc w:val="center"/>
              <w:textAlignment w:val="auto"/>
              <w:rPr>
                <w:sz w:val="24"/>
                <w:szCs w:val="24"/>
              </w:rPr>
            </w:pPr>
            <w:r>
              <w:rPr>
                <w:rFonts w:hint="eastAsia"/>
                <w:sz w:val="24"/>
                <w:szCs w:val="24"/>
              </w:rPr>
              <w:t>空调</w:t>
            </w:r>
          </w:p>
        </w:tc>
        <w:tc>
          <w:tcPr>
            <w:tcW w:w="912" w:type="pct"/>
            <w:vAlign w:val="center"/>
          </w:tcPr>
          <w:p w14:paraId="3E2320A3">
            <w:pPr>
              <w:pStyle w:val="19"/>
              <w:widowControl w:val="0"/>
              <w:kinsoku/>
              <w:adjustRightInd/>
              <w:snapToGrid/>
              <w:jc w:val="center"/>
              <w:textAlignment w:val="auto"/>
              <w:rPr>
                <w:sz w:val="24"/>
                <w:szCs w:val="24"/>
              </w:rPr>
            </w:pPr>
            <w:r>
              <w:rPr>
                <w:rFonts w:hint="eastAsia"/>
                <w:sz w:val="24"/>
                <w:szCs w:val="24"/>
              </w:rPr>
              <w:t>2</w:t>
            </w:r>
          </w:p>
        </w:tc>
        <w:tc>
          <w:tcPr>
            <w:tcW w:w="1032" w:type="pct"/>
            <w:vAlign w:val="center"/>
          </w:tcPr>
          <w:p w14:paraId="397E5531">
            <w:pPr>
              <w:pStyle w:val="19"/>
              <w:widowControl w:val="0"/>
              <w:kinsoku/>
              <w:adjustRightInd/>
              <w:snapToGrid/>
              <w:jc w:val="center"/>
              <w:textAlignment w:val="auto"/>
              <w:rPr>
                <w:sz w:val="24"/>
                <w:szCs w:val="24"/>
              </w:rPr>
            </w:pPr>
            <w:r>
              <w:rPr>
                <w:rFonts w:hint="eastAsia"/>
                <w:sz w:val="24"/>
                <w:szCs w:val="24"/>
              </w:rPr>
              <w:t>台</w:t>
            </w:r>
          </w:p>
        </w:tc>
      </w:tr>
      <w:tr w14:paraId="7921F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09" w:type="pct"/>
            <w:vAlign w:val="center"/>
          </w:tcPr>
          <w:p w14:paraId="752B13FF">
            <w:pPr>
              <w:pStyle w:val="19"/>
              <w:widowControl w:val="0"/>
              <w:kinsoku/>
              <w:adjustRightInd/>
              <w:snapToGrid/>
              <w:ind w:left="6"/>
              <w:jc w:val="center"/>
              <w:textAlignment w:val="auto"/>
              <w:rPr>
                <w:sz w:val="24"/>
                <w:szCs w:val="24"/>
              </w:rPr>
            </w:pPr>
            <w:r>
              <w:rPr>
                <w:rFonts w:hint="eastAsia"/>
                <w:sz w:val="24"/>
                <w:szCs w:val="24"/>
              </w:rPr>
              <w:t>9</w:t>
            </w:r>
          </w:p>
        </w:tc>
        <w:tc>
          <w:tcPr>
            <w:tcW w:w="2345" w:type="pct"/>
            <w:vAlign w:val="center"/>
          </w:tcPr>
          <w:p w14:paraId="7B3A481E">
            <w:pPr>
              <w:pStyle w:val="19"/>
              <w:widowControl w:val="0"/>
              <w:kinsoku/>
              <w:adjustRightInd/>
              <w:snapToGrid/>
              <w:jc w:val="center"/>
              <w:textAlignment w:val="auto"/>
              <w:rPr>
                <w:sz w:val="24"/>
                <w:szCs w:val="24"/>
              </w:rPr>
            </w:pPr>
            <w:r>
              <w:rPr>
                <w:rFonts w:hint="eastAsia"/>
                <w:sz w:val="24"/>
                <w:szCs w:val="24"/>
              </w:rPr>
              <w:t>综合布线</w:t>
            </w:r>
          </w:p>
        </w:tc>
        <w:tc>
          <w:tcPr>
            <w:tcW w:w="912" w:type="pct"/>
            <w:vAlign w:val="center"/>
          </w:tcPr>
          <w:p w14:paraId="4FAE20C5">
            <w:pPr>
              <w:pStyle w:val="19"/>
              <w:widowControl w:val="0"/>
              <w:kinsoku/>
              <w:adjustRightInd/>
              <w:snapToGrid/>
              <w:jc w:val="center"/>
              <w:textAlignment w:val="auto"/>
              <w:rPr>
                <w:sz w:val="24"/>
                <w:szCs w:val="24"/>
              </w:rPr>
            </w:pPr>
            <w:r>
              <w:rPr>
                <w:rFonts w:hint="eastAsia"/>
                <w:sz w:val="24"/>
                <w:szCs w:val="24"/>
              </w:rPr>
              <w:t>1</w:t>
            </w:r>
          </w:p>
        </w:tc>
        <w:tc>
          <w:tcPr>
            <w:tcW w:w="1032" w:type="pct"/>
            <w:vAlign w:val="center"/>
          </w:tcPr>
          <w:p w14:paraId="1B38DDCD">
            <w:pPr>
              <w:pStyle w:val="19"/>
              <w:widowControl w:val="0"/>
              <w:kinsoku/>
              <w:adjustRightInd/>
              <w:snapToGrid/>
              <w:jc w:val="center"/>
              <w:textAlignment w:val="auto"/>
              <w:rPr>
                <w:sz w:val="24"/>
                <w:szCs w:val="24"/>
              </w:rPr>
            </w:pPr>
            <w:r>
              <w:rPr>
                <w:rFonts w:hint="eastAsia"/>
                <w:sz w:val="24"/>
                <w:szCs w:val="24"/>
              </w:rPr>
              <w:t>批</w:t>
            </w:r>
          </w:p>
        </w:tc>
      </w:tr>
    </w:tbl>
    <w:p w14:paraId="4926084B">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注：采购清单中的台式计算机、空调为强制节能产品。</w:t>
      </w:r>
    </w:p>
    <w:p w14:paraId="7D156A8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.合同履行期限：签订合同后30日历天内供货完毕</w:t>
      </w:r>
    </w:p>
    <w:p w14:paraId="16F14F6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153DDD5C">
      <w:pPr>
        <w:pStyle w:val="4"/>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14:paraId="29F8A302">
      <w:pPr>
        <w:pStyle w:val="4"/>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14:paraId="2186F28B">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773DBEA7">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1375702B">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36105343">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31BE7506">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53FFE7F3">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31C359B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7839E4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61068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7311C53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14:paraId="7E002BB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14:paraId="57CC940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14:paraId="77937E9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none"/>
          <w:lang w:val="en-US" w:eastAsia="zh-CN"/>
        </w:rPr>
        <w:t>预留金额</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万元或预留</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%份额</w:t>
      </w:r>
      <w:r>
        <w:rPr>
          <w:rFonts w:hint="eastAsia" w:asciiTheme="minorEastAsia" w:hAnsiTheme="minorEastAsia" w:eastAsiaTheme="minorEastAsia" w:cstheme="minorEastAsia"/>
          <w:spacing w:val="-2"/>
          <w:position w:val="17"/>
          <w:sz w:val="24"/>
          <w:szCs w:val="24"/>
        </w:rPr>
        <w:t>。</w:t>
      </w:r>
    </w:p>
    <w:p w14:paraId="1FB3F10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DCC473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3E0A67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10DE3D6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5419C0E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6BDE5767">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4D2DE1FE">
      <w:pPr>
        <w:keepNext w:val="0"/>
        <w:keepLines w:val="0"/>
        <w:pageBreakBefore w:val="0"/>
        <w:kinsoku/>
        <w:wordWrap w:val="0"/>
        <w:overflowPunct/>
        <w:topLinePunct w:val="0"/>
        <w:bidi w:val="0"/>
        <w:spacing w:line="259" w:lineRule="auto"/>
        <w:jc w:val="both"/>
        <w:rPr>
          <w:rFonts w:ascii="Arial"/>
          <w:sz w:val="21"/>
        </w:rPr>
      </w:pPr>
    </w:p>
    <w:p w14:paraId="58AC853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14:paraId="6DD922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14:paraId="35064C6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21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25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12A5833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eastAsia="zh-CN"/>
        </w:rPr>
        <w:t>全国公共资源交易平台（河南省·南阳市）</w:t>
      </w:r>
      <w:r>
        <w:rPr>
          <w:rFonts w:hint="eastAsia" w:asciiTheme="minorEastAsia" w:hAnsiTheme="minorEastAsia" w:eastAsiaTheme="minorEastAsia" w:cstheme="minorEastAsia"/>
          <w:sz w:val="24"/>
          <w:szCs w:val="24"/>
        </w:rPr>
        <w:t>https://ggzyjy.nanyang.gov.cn</w:t>
      </w:r>
    </w:p>
    <w:p w14:paraId="13195D9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1" w:name="_Hlk117068952"/>
      <w:r>
        <w:rPr>
          <w:rFonts w:hint="eastAsia" w:asciiTheme="minorEastAsia" w:hAnsiTheme="minorEastAsia" w:eastAsiaTheme="minorEastAsia" w:cstheme="minorEastAsia"/>
          <w:spacing w:val="-4"/>
          <w:sz w:val="24"/>
          <w:szCs w:val="24"/>
          <w:lang w:eastAsia="zh-CN"/>
        </w:rPr>
        <w:t>111.6.77.187:8081</w:t>
      </w:r>
      <w:bookmarkEnd w:id="1"/>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14:paraId="1382408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00477C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F716B79">
      <w:pPr>
        <w:pStyle w:val="4"/>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14:paraId="6B89CD1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600"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竞争性谈判</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文件视为无效文件。</w:t>
      </w:r>
    </w:p>
    <w:p w14:paraId="293D8C9A">
      <w:pPr>
        <w:keepNext w:val="0"/>
        <w:keepLines w:val="0"/>
        <w:pageBreakBefore w:val="0"/>
        <w:widowControl w:val="0"/>
        <w:kinsoku/>
        <w:wordWrap w:val="0"/>
        <w:overflowPunct/>
        <w:topLinePunct w:val="0"/>
        <w:bidi w:val="0"/>
        <w:spacing w:after="0" w:line="360" w:lineRule="auto"/>
        <w:ind w:left="9" w:firstLine="424" w:firstLineChars="183"/>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14:paraId="205A659C">
      <w:pPr>
        <w:pStyle w:val="4"/>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14:paraId="037FCD35">
      <w:pPr>
        <w:pStyle w:val="4"/>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14:paraId="3DDD0663">
      <w:pPr>
        <w:pStyle w:val="4"/>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8 </w:t>
      </w:r>
      <w:r>
        <w:rPr>
          <w:rFonts w:hint="eastAsia" w:asciiTheme="minorEastAsia" w:hAnsiTheme="minorEastAsia" w:eastAsiaTheme="minorEastAsia" w:cstheme="minorEastAsia"/>
          <w:snapToGrid w:val="0"/>
          <w:color w:val="000000"/>
          <w:spacing w:val="-4"/>
          <w:kern w:val="0"/>
          <w:sz w:val="24"/>
          <w:szCs w:val="24"/>
          <w:lang w:val="en-US" w:eastAsia="zh-CN" w:bidi="ar-SA"/>
        </w:rPr>
        <w:t>月</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26 </w:t>
      </w:r>
      <w:r>
        <w:rPr>
          <w:rFonts w:hint="eastAsia" w:asciiTheme="minorEastAsia" w:hAnsiTheme="minorEastAsia" w:eastAsiaTheme="minorEastAsia" w:cstheme="minorEastAsia"/>
          <w:snapToGrid w:val="0"/>
          <w:color w:val="000000"/>
          <w:spacing w:val="-4"/>
          <w:kern w:val="0"/>
          <w:sz w:val="24"/>
          <w:szCs w:val="24"/>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w:t>
      </w:r>
      <w:r>
        <w:rPr>
          <w:spacing w:val="-25"/>
          <w:sz w:val="24"/>
          <w:szCs w:val="24"/>
        </w:rPr>
        <w:t>（北京时间）。</w:t>
      </w:r>
    </w:p>
    <w:p w14:paraId="32EB2F93">
      <w:pPr>
        <w:pStyle w:val="4"/>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lang w:eastAsia="zh-CN"/>
        </w:rPr>
      </w:pPr>
      <w:r>
        <w:rPr>
          <w:rFonts w:hint="eastAsia" w:ascii="Arial" w:hAnsi="Arial" w:eastAsia="宋体" w:cs="Arial"/>
          <w:position w:val="5"/>
          <w:sz w:val="24"/>
          <w:szCs w:val="24"/>
          <w:highlight w:val="none"/>
          <w:lang w:val="en-US" w:eastAsia="zh-CN"/>
        </w:rPr>
        <w:t>地点：</w:t>
      </w:r>
      <w:r>
        <w:rPr>
          <w:rFonts w:hint="eastAsia" w:ascii="Arial" w:hAnsi="Arial" w:eastAsia="Arial" w:cs="Arial"/>
          <w:position w:val="5"/>
          <w:sz w:val="24"/>
          <w:szCs w:val="24"/>
          <w:highlight w:val="none"/>
        </w:rPr>
        <w:t>电子营业执照应用平台系统不见面开标大厅（http://111.6.77.187:8081/ggzy/）</w:t>
      </w:r>
      <w:r>
        <w:rPr>
          <w:rFonts w:hint="eastAsia" w:ascii="Arial" w:hAnsi="Arial" w:cs="Arial"/>
          <w:position w:val="5"/>
          <w:sz w:val="24"/>
          <w:szCs w:val="24"/>
          <w:lang w:eastAsia="zh-CN"/>
        </w:rPr>
        <w:t>。</w:t>
      </w:r>
    </w:p>
    <w:p w14:paraId="38032B2C">
      <w:pPr>
        <w:keepNext w:val="0"/>
        <w:keepLines w:val="0"/>
        <w:pageBreakBefore w:val="0"/>
        <w:kinsoku/>
        <w:wordWrap w:val="0"/>
        <w:overflowPunct/>
        <w:topLinePunct w:val="0"/>
        <w:bidi w:val="0"/>
        <w:spacing w:line="269" w:lineRule="auto"/>
        <w:jc w:val="both"/>
        <w:rPr>
          <w:rFonts w:ascii="Arial"/>
          <w:sz w:val="21"/>
        </w:rPr>
      </w:pPr>
    </w:p>
    <w:p w14:paraId="70A9E2A7">
      <w:pPr>
        <w:keepNext w:val="0"/>
        <w:keepLines w:val="0"/>
        <w:pageBreakBefore w:val="0"/>
        <w:kinsoku/>
        <w:wordWrap w:val="0"/>
        <w:overflowPunct/>
        <w:topLinePunct w:val="0"/>
        <w:bidi w:val="0"/>
        <w:spacing w:line="269" w:lineRule="auto"/>
        <w:jc w:val="both"/>
        <w:rPr>
          <w:rFonts w:ascii="Arial"/>
          <w:sz w:val="21"/>
        </w:rPr>
      </w:pPr>
    </w:p>
    <w:p w14:paraId="52E43E7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14:paraId="069F53F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21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25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14:paraId="41678586">
      <w:pPr>
        <w:keepNext w:val="0"/>
        <w:keepLines w:val="0"/>
        <w:pageBreakBefore w:val="0"/>
        <w:kinsoku/>
        <w:wordWrap w:val="0"/>
        <w:overflowPunct/>
        <w:topLinePunct w:val="0"/>
        <w:bidi w:val="0"/>
        <w:spacing w:line="259" w:lineRule="auto"/>
        <w:jc w:val="both"/>
        <w:rPr>
          <w:rFonts w:ascii="Arial"/>
          <w:sz w:val="21"/>
        </w:rPr>
      </w:pPr>
    </w:p>
    <w:p w14:paraId="3E1EAA4E">
      <w:pPr>
        <w:keepNext w:val="0"/>
        <w:keepLines w:val="0"/>
        <w:pageBreakBefore w:val="0"/>
        <w:kinsoku/>
        <w:wordWrap w:val="0"/>
        <w:overflowPunct/>
        <w:topLinePunct w:val="0"/>
        <w:bidi w:val="0"/>
        <w:spacing w:line="260" w:lineRule="auto"/>
        <w:jc w:val="both"/>
        <w:rPr>
          <w:rFonts w:ascii="Arial"/>
          <w:sz w:val="21"/>
        </w:rPr>
      </w:pPr>
    </w:p>
    <w:p w14:paraId="06F4694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14:paraId="505185B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44" w:firstLineChars="20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本次招标公告在河南省政府采购网、全国公共资源交易平台(河南省·南阳市)发布。</w:t>
      </w:r>
    </w:p>
    <w:p w14:paraId="33AAA0E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722681D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703FFA2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名称：南阳市宛西中等专业学校</w:t>
      </w:r>
    </w:p>
    <w:p w14:paraId="1D77621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地址：河南省内乡县城关镇文化路214号</w:t>
      </w:r>
    </w:p>
    <w:p w14:paraId="2ABDC62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联系人：张先生</w:t>
      </w:r>
    </w:p>
    <w:p w14:paraId="33B09D2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13663700388</w:t>
      </w:r>
    </w:p>
    <w:p w14:paraId="5FEA87B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14:paraId="61221CB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4E35C29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3C98B48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地址：南阳市民服务中心中区3号楼5楼</w:t>
      </w:r>
    </w:p>
    <w:p w14:paraId="5C3B889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4996693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联系方式：0377-61176178</w:t>
      </w:r>
    </w:p>
    <w:p w14:paraId="44BF94A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046246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E-mail:nyszfcgzx@126.com</w:t>
      </w:r>
    </w:p>
    <w:p w14:paraId="26279CA2">
      <w:pPr>
        <w:pStyle w:val="4"/>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6DC391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350" w:firstLineChars="2500"/>
        <w:jc w:val="both"/>
        <w:textAlignment w:val="baseline"/>
        <w:outlineLvl w:val="1"/>
        <w:rPr>
          <w:rFonts w:hint="default" w:asciiTheme="minorEastAsia" w:hAnsiTheme="minorEastAsia" w:eastAsiaTheme="minorEastAsia" w:cstheme="minorEastAsia"/>
          <w:spacing w:val="-13"/>
          <w:sz w:val="24"/>
          <w:szCs w:val="24"/>
          <w:u w:val="none"/>
          <w:lang w:val="en-US" w:eastAsia="zh-CN"/>
        </w:rPr>
      </w:pPr>
      <w:r>
        <w:rPr>
          <w:rFonts w:hint="eastAsia" w:asciiTheme="minorEastAsia" w:hAnsiTheme="minorEastAsia" w:eastAsiaTheme="minorEastAsia" w:cstheme="minorEastAsia"/>
          <w:spacing w:val="-13"/>
          <w:sz w:val="24"/>
          <w:szCs w:val="24"/>
          <w:u w:val="none"/>
          <w:lang w:val="en-US" w:eastAsia="zh-CN"/>
        </w:rPr>
        <w:t>南阳市公共资源交易中心</w:t>
      </w:r>
    </w:p>
    <w:p w14:paraId="5A69A69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564" w:firstLineChars="26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20 </w:t>
      </w:r>
      <w:r>
        <w:rPr>
          <w:rFonts w:hint="eastAsia" w:asciiTheme="minorEastAsia" w:hAnsiTheme="minorEastAsia" w:eastAsiaTheme="minorEastAsia" w:cstheme="minorEastAsia"/>
          <w:spacing w:val="-13"/>
          <w:sz w:val="24"/>
          <w:szCs w:val="24"/>
        </w:rPr>
        <w:t>日</w:t>
      </w:r>
    </w:p>
    <w:p w14:paraId="4BA57A3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10E622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8EC262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14248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63974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2F2D25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EDED6C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8F7DE1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A736C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19E213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648BB0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C68E39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90A231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3B111E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81C4BF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9C9316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59DA2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2AAF0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1738D5D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说明：</w:t>
      </w:r>
    </w:p>
    <w:p w14:paraId="2411664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当采购项目涉及</w:t>
      </w:r>
      <w:r>
        <w:rPr>
          <w:rFonts w:hint="eastAsia" w:asciiTheme="minorEastAsia" w:hAnsiTheme="minorEastAsia" w:eastAsiaTheme="minorEastAsia" w:cstheme="minorEastAsia"/>
          <w:spacing w:val="-1"/>
          <w:sz w:val="24"/>
          <w:szCs w:val="24"/>
          <w:lang w:val="en-US" w:eastAsia="zh-CN"/>
        </w:rPr>
        <w:t>货物</w:t>
      </w:r>
      <w:r>
        <w:rPr>
          <w:rFonts w:hint="eastAsia" w:asciiTheme="minorEastAsia" w:hAnsiTheme="minorEastAsia" w:eastAsiaTheme="minorEastAsia" w:cstheme="minorEastAsia"/>
          <w:spacing w:val="-1"/>
          <w:sz w:val="24"/>
          <w:szCs w:val="24"/>
        </w:rPr>
        <w:t>时</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供应商应按照《国务院办公厅关于在政府采购中实施本国产品标准及相关政策的通知》（国办发〔2025〕34 号）的要求，对其提供的产品出具《关于符合本国产品标准的声明函》（后附）或财政部会同有关部门规定的有关证明文件。</w:t>
      </w:r>
    </w:p>
    <w:p w14:paraId="4FB1506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34830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C74B6B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2FD30D65">
      <w:pPr>
        <w:widowControl w:val="0"/>
        <w:kinsoku/>
        <w:adjustRightInd/>
        <w:snapToGrid/>
        <w:ind w:left="600"/>
        <w:textAlignment w:val="auto"/>
        <w:rPr>
          <w:b/>
          <w:sz w:val="28"/>
        </w:rPr>
      </w:pPr>
      <w:r>
        <w:rPr>
          <w:rFonts w:hint="eastAsia" w:ascii="宋体" w:hAnsi="宋体" w:eastAsia="宋体" w:cs="宋体"/>
          <w:b/>
          <w:sz w:val="28"/>
        </w:rPr>
        <w:t>一</w:t>
      </w:r>
      <w:r>
        <w:rPr>
          <w:b/>
          <w:sz w:val="28"/>
        </w:rPr>
        <w:t>、货物需求一览表</w:t>
      </w:r>
    </w:p>
    <w:tbl>
      <w:tblPr>
        <w:tblStyle w:val="16"/>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76"/>
        <w:gridCol w:w="4062"/>
        <w:gridCol w:w="1535"/>
        <w:gridCol w:w="1541"/>
      </w:tblGrid>
      <w:tr w14:paraId="0DE5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707" w:type="pct"/>
            <w:vAlign w:val="center"/>
          </w:tcPr>
          <w:p w14:paraId="0CB88C58">
            <w:pPr>
              <w:pStyle w:val="19"/>
              <w:widowControl w:val="0"/>
              <w:kinsoku/>
              <w:adjustRightInd/>
              <w:snapToGrid/>
              <w:jc w:val="center"/>
              <w:textAlignment w:val="auto"/>
              <w:rPr>
                <w:sz w:val="28"/>
              </w:rPr>
            </w:pPr>
            <w:r>
              <w:rPr>
                <w:sz w:val="28"/>
              </w:rPr>
              <w:t>序号</w:t>
            </w:r>
          </w:p>
        </w:tc>
        <w:tc>
          <w:tcPr>
            <w:tcW w:w="2442" w:type="pct"/>
            <w:vAlign w:val="center"/>
          </w:tcPr>
          <w:p w14:paraId="792545E4">
            <w:pPr>
              <w:pStyle w:val="19"/>
              <w:widowControl w:val="0"/>
              <w:kinsoku/>
              <w:adjustRightInd/>
              <w:snapToGrid/>
              <w:jc w:val="center"/>
              <w:textAlignment w:val="auto"/>
              <w:rPr>
                <w:sz w:val="28"/>
              </w:rPr>
            </w:pPr>
            <w:r>
              <w:rPr>
                <w:sz w:val="28"/>
              </w:rPr>
              <w:t>货物名称</w:t>
            </w:r>
          </w:p>
        </w:tc>
        <w:tc>
          <w:tcPr>
            <w:tcW w:w="923" w:type="pct"/>
            <w:vAlign w:val="center"/>
          </w:tcPr>
          <w:p w14:paraId="742A2FAF">
            <w:pPr>
              <w:pStyle w:val="19"/>
              <w:widowControl w:val="0"/>
              <w:kinsoku/>
              <w:adjustRightInd/>
              <w:snapToGrid/>
              <w:jc w:val="center"/>
              <w:textAlignment w:val="auto"/>
              <w:rPr>
                <w:sz w:val="28"/>
              </w:rPr>
            </w:pPr>
            <w:r>
              <w:rPr>
                <w:sz w:val="28"/>
              </w:rPr>
              <w:t>数量</w:t>
            </w:r>
          </w:p>
        </w:tc>
        <w:tc>
          <w:tcPr>
            <w:tcW w:w="926" w:type="pct"/>
            <w:vAlign w:val="center"/>
          </w:tcPr>
          <w:p w14:paraId="05E69753">
            <w:pPr>
              <w:pStyle w:val="19"/>
              <w:widowControl w:val="0"/>
              <w:kinsoku/>
              <w:adjustRightInd/>
              <w:snapToGrid/>
              <w:jc w:val="center"/>
              <w:textAlignment w:val="auto"/>
              <w:rPr>
                <w:sz w:val="28"/>
              </w:rPr>
            </w:pPr>
            <w:r>
              <w:rPr>
                <w:sz w:val="28"/>
              </w:rPr>
              <w:t>单位</w:t>
            </w:r>
          </w:p>
        </w:tc>
      </w:tr>
      <w:tr w14:paraId="33766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707" w:type="pct"/>
            <w:vAlign w:val="center"/>
          </w:tcPr>
          <w:p w14:paraId="290B9697">
            <w:pPr>
              <w:pStyle w:val="19"/>
              <w:widowControl w:val="0"/>
              <w:kinsoku/>
              <w:adjustRightInd/>
              <w:snapToGrid/>
              <w:jc w:val="center"/>
              <w:textAlignment w:val="auto"/>
              <w:rPr>
                <w:b/>
              </w:rPr>
            </w:pPr>
          </w:p>
          <w:p w14:paraId="7CD05639">
            <w:pPr>
              <w:pStyle w:val="19"/>
              <w:widowControl w:val="0"/>
              <w:kinsoku/>
              <w:adjustRightInd/>
              <w:snapToGrid/>
              <w:ind w:left="6"/>
              <w:jc w:val="center"/>
              <w:textAlignment w:val="auto"/>
              <w:rPr>
                <w:sz w:val="28"/>
              </w:rPr>
            </w:pPr>
            <w:r>
              <w:rPr>
                <w:sz w:val="28"/>
              </w:rPr>
              <w:t>1</w:t>
            </w:r>
          </w:p>
        </w:tc>
        <w:tc>
          <w:tcPr>
            <w:tcW w:w="2442" w:type="pct"/>
            <w:vAlign w:val="center"/>
          </w:tcPr>
          <w:p w14:paraId="25ACBDC6">
            <w:pPr>
              <w:pStyle w:val="19"/>
              <w:widowControl w:val="0"/>
              <w:kinsoku/>
              <w:adjustRightInd/>
              <w:snapToGrid/>
              <w:jc w:val="center"/>
              <w:textAlignment w:val="auto"/>
              <w:rPr>
                <w:b/>
              </w:rPr>
            </w:pPr>
          </w:p>
          <w:p w14:paraId="5ABFBA51">
            <w:pPr>
              <w:pStyle w:val="19"/>
              <w:widowControl w:val="0"/>
              <w:kinsoku/>
              <w:adjustRightInd/>
              <w:snapToGrid/>
              <w:jc w:val="center"/>
              <w:textAlignment w:val="auto"/>
              <w:rPr>
                <w:sz w:val="28"/>
              </w:rPr>
            </w:pPr>
            <w:r>
              <w:rPr>
                <w:rFonts w:hint="eastAsia"/>
                <w:sz w:val="28"/>
              </w:rPr>
              <w:t>云桌面管理软件</w:t>
            </w:r>
          </w:p>
        </w:tc>
        <w:tc>
          <w:tcPr>
            <w:tcW w:w="923" w:type="pct"/>
            <w:vAlign w:val="center"/>
          </w:tcPr>
          <w:p w14:paraId="70D937AF">
            <w:pPr>
              <w:pStyle w:val="19"/>
              <w:widowControl w:val="0"/>
              <w:kinsoku/>
              <w:adjustRightInd/>
              <w:snapToGrid/>
              <w:jc w:val="center"/>
              <w:textAlignment w:val="auto"/>
              <w:rPr>
                <w:b/>
              </w:rPr>
            </w:pPr>
          </w:p>
          <w:p w14:paraId="7B32E76C">
            <w:pPr>
              <w:pStyle w:val="19"/>
              <w:widowControl w:val="0"/>
              <w:kinsoku/>
              <w:adjustRightInd/>
              <w:snapToGrid/>
              <w:jc w:val="center"/>
              <w:textAlignment w:val="auto"/>
              <w:rPr>
                <w:sz w:val="28"/>
              </w:rPr>
            </w:pPr>
            <w:r>
              <w:rPr>
                <w:rFonts w:hint="eastAsia"/>
                <w:sz w:val="28"/>
              </w:rPr>
              <w:t>51</w:t>
            </w:r>
          </w:p>
        </w:tc>
        <w:tc>
          <w:tcPr>
            <w:tcW w:w="926" w:type="pct"/>
            <w:vAlign w:val="center"/>
          </w:tcPr>
          <w:p w14:paraId="6C05C342">
            <w:pPr>
              <w:pStyle w:val="19"/>
              <w:widowControl w:val="0"/>
              <w:kinsoku/>
              <w:adjustRightInd/>
              <w:snapToGrid/>
              <w:jc w:val="center"/>
              <w:textAlignment w:val="auto"/>
              <w:rPr>
                <w:b/>
              </w:rPr>
            </w:pPr>
          </w:p>
          <w:p w14:paraId="1AE1BAA5">
            <w:pPr>
              <w:pStyle w:val="19"/>
              <w:widowControl w:val="0"/>
              <w:kinsoku/>
              <w:adjustRightInd/>
              <w:snapToGrid/>
              <w:jc w:val="center"/>
              <w:textAlignment w:val="auto"/>
              <w:rPr>
                <w:sz w:val="28"/>
              </w:rPr>
            </w:pPr>
            <w:r>
              <w:rPr>
                <w:rFonts w:hint="eastAsia"/>
                <w:sz w:val="28"/>
              </w:rPr>
              <w:t>套</w:t>
            </w:r>
          </w:p>
        </w:tc>
      </w:tr>
      <w:tr w14:paraId="001C7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07EDFED3">
            <w:pPr>
              <w:pStyle w:val="19"/>
              <w:widowControl w:val="0"/>
              <w:kinsoku/>
              <w:adjustRightInd/>
              <w:snapToGrid/>
              <w:ind w:left="6"/>
              <w:jc w:val="center"/>
              <w:textAlignment w:val="auto"/>
              <w:rPr>
                <w:sz w:val="28"/>
              </w:rPr>
            </w:pPr>
            <w:r>
              <w:rPr>
                <w:sz w:val="28"/>
              </w:rPr>
              <w:t>2</w:t>
            </w:r>
          </w:p>
        </w:tc>
        <w:tc>
          <w:tcPr>
            <w:tcW w:w="2442" w:type="pct"/>
            <w:vAlign w:val="center"/>
          </w:tcPr>
          <w:p w14:paraId="04482787">
            <w:pPr>
              <w:pStyle w:val="19"/>
              <w:widowControl w:val="0"/>
              <w:kinsoku/>
              <w:adjustRightInd/>
              <w:snapToGrid/>
              <w:jc w:val="center"/>
              <w:textAlignment w:val="auto"/>
              <w:rPr>
                <w:sz w:val="28"/>
              </w:rPr>
            </w:pPr>
            <w:r>
              <w:rPr>
                <w:rFonts w:hint="eastAsia"/>
                <w:sz w:val="28"/>
              </w:rPr>
              <w:t>台式</w:t>
            </w:r>
            <w:r>
              <w:rPr>
                <w:sz w:val="28"/>
              </w:rPr>
              <w:t>计算机</w:t>
            </w:r>
          </w:p>
        </w:tc>
        <w:tc>
          <w:tcPr>
            <w:tcW w:w="923" w:type="pct"/>
            <w:vAlign w:val="center"/>
          </w:tcPr>
          <w:p w14:paraId="37EF9544">
            <w:pPr>
              <w:pStyle w:val="19"/>
              <w:widowControl w:val="0"/>
              <w:kinsoku/>
              <w:adjustRightInd/>
              <w:snapToGrid/>
              <w:jc w:val="center"/>
              <w:textAlignment w:val="auto"/>
              <w:rPr>
                <w:sz w:val="28"/>
              </w:rPr>
            </w:pPr>
            <w:r>
              <w:rPr>
                <w:rFonts w:hint="eastAsia"/>
                <w:sz w:val="28"/>
              </w:rPr>
              <w:t>51</w:t>
            </w:r>
          </w:p>
        </w:tc>
        <w:tc>
          <w:tcPr>
            <w:tcW w:w="926" w:type="pct"/>
            <w:vAlign w:val="center"/>
          </w:tcPr>
          <w:p w14:paraId="5637DFBA">
            <w:pPr>
              <w:pStyle w:val="19"/>
              <w:widowControl w:val="0"/>
              <w:kinsoku/>
              <w:adjustRightInd/>
              <w:snapToGrid/>
              <w:ind w:left="3"/>
              <w:jc w:val="center"/>
              <w:textAlignment w:val="auto"/>
              <w:rPr>
                <w:sz w:val="28"/>
              </w:rPr>
            </w:pPr>
            <w:r>
              <w:rPr>
                <w:sz w:val="28"/>
              </w:rPr>
              <w:t>台</w:t>
            </w:r>
          </w:p>
        </w:tc>
      </w:tr>
      <w:tr w14:paraId="00FE4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0E4B7A86">
            <w:pPr>
              <w:pStyle w:val="19"/>
              <w:widowControl w:val="0"/>
              <w:kinsoku/>
              <w:adjustRightInd/>
              <w:snapToGrid/>
              <w:ind w:left="6"/>
              <w:jc w:val="center"/>
              <w:textAlignment w:val="auto"/>
              <w:rPr>
                <w:sz w:val="28"/>
              </w:rPr>
            </w:pPr>
            <w:r>
              <w:rPr>
                <w:rFonts w:hint="eastAsia"/>
                <w:sz w:val="28"/>
              </w:rPr>
              <w:t>3</w:t>
            </w:r>
          </w:p>
        </w:tc>
        <w:tc>
          <w:tcPr>
            <w:tcW w:w="2442" w:type="pct"/>
            <w:vAlign w:val="center"/>
          </w:tcPr>
          <w:p w14:paraId="072DDD8A">
            <w:pPr>
              <w:pStyle w:val="19"/>
              <w:widowControl w:val="0"/>
              <w:kinsoku/>
              <w:adjustRightInd/>
              <w:snapToGrid/>
              <w:jc w:val="center"/>
              <w:textAlignment w:val="auto"/>
              <w:rPr>
                <w:sz w:val="28"/>
              </w:rPr>
            </w:pPr>
            <w:r>
              <w:rPr>
                <w:rFonts w:hint="eastAsia"/>
                <w:sz w:val="28"/>
              </w:rPr>
              <w:t>交换机</w:t>
            </w:r>
          </w:p>
        </w:tc>
        <w:tc>
          <w:tcPr>
            <w:tcW w:w="923" w:type="pct"/>
            <w:vAlign w:val="center"/>
          </w:tcPr>
          <w:p w14:paraId="264FD176">
            <w:pPr>
              <w:pStyle w:val="19"/>
              <w:widowControl w:val="0"/>
              <w:kinsoku/>
              <w:adjustRightInd/>
              <w:snapToGrid/>
              <w:jc w:val="center"/>
              <w:textAlignment w:val="auto"/>
              <w:rPr>
                <w:sz w:val="28"/>
              </w:rPr>
            </w:pPr>
            <w:r>
              <w:rPr>
                <w:rFonts w:hint="eastAsia"/>
                <w:sz w:val="28"/>
              </w:rPr>
              <w:t>3</w:t>
            </w:r>
          </w:p>
        </w:tc>
        <w:tc>
          <w:tcPr>
            <w:tcW w:w="926" w:type="pct"/>
            <w:vAlign w:val="center"/>
          </w:tcPr>
          <w:p w14:paraId="1D07CC63">
            <w:pPr>
              <w:pStyle w:val="19"/>
              <w:widowControl w:val="0"/>
              <w:kinsoku/>
              <w:adjustRightInd/>
              <w:snapToGrid/>
              <w:ind w:left="3"/>
              <w:jc w:val="center"/>
              <w:textAlignment w:val="auto"/>
              <w:rPr>
                <w:sz w:val="28"/>
              </w:rPr>
            </w:pPr>
            <w:r>
              <w:rPr>
                <w:rFonts w:hint="eastAsia"/>
                <w:sz w:val="28"/>
              </w:rPr>
              <w:t>台</w:t>
            </w:r>
          </w:p>
        </w:tc>
      </w:tr>
      <w:tr w14:paraId="70CC1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71C739E0">
            <w:pPr>
              <w:pStyle w:val="19"/>
              <w:widowControl w:val="0"/>
              <w:kinsoku/>
              <w:adjustRightInd/>
              <w:snapToGrid/>
              <w:ind w:left="6"/>
              <w:jc w:val="center"/>
              <w:textAlignment w:val="auto"/>
              <w:rPr>
                <w:sz w:val="28"/>
              </w:rPr>
            </w:pPr>
            <w:r>
              <w:rPr>
                <w:rFonts w:hint="eastAsia"/>
                <w:sz w:val="28"/>
              </w:rPr>
              <w:t>4</w:t>
            </w:r>
          </w:p>
        </w:tc>
        <w:tc>
          <w:tcPr>
            <w:tcW w:w="2442" w:type="pct"/>
            <w:vAlign w:val="center"/>
          </w:tcPr>
          <w:p w14:paraId="17700C18">
            <w:pPr>
              <w:pStyle w:val="19"/>
              <w:widowControl w:val="0"/>
              <w:kinsoku/>
              <w:adjustRightInd/>
              <w:snapToGrid/>
              <w:jc w:val="center"/>
              <w:textAlignment w:val="auto"/>
              <w:rPr>
                <w:sz w:val="28"/>
              </w:rPr>
            </w:pPr>
            <w:r>
              <w:rPr>
                <w:rFonts w:hint="eastAsia"/>
                <w:sz w:val="28"/>
              </w:rPr>
              <w:t>机柜</w:t>
            </w:r>
          </w:p>
        </w:tc>
        <w:tc>
          <w:tcPr>
            <w:tcW w:w="923" w:type="pct"/>
            <w:vAlign w:val="center"/>
          </w:tcPr>
          <w:p w14:paraId="470D0C07">
            <w:pPr>
              <w:pStyle w:val="19"/>
              <w:widowControl w:val="0"/>
              <w:kinsoku/>
              <w:adjustRightInd/>
              <w:snapToGrid/>
              <w:jc w:val="center"/>
              <w:textAlignment w:val="auto"/>
              <w:rPr>
                <w:sz w:val="28"/>
              </w:rPr>
            </w:pPr>
            <w:r>
              <w:rPr>
                <w:rFonts w:hint="eastAsia"/>
                <w:sz w:val="28"/>
              </w:rPr>
              <w:t>1</w:t>
            </w:r>
          </w:p>
        </w:tc>
        <w:tc>
          <w:tcPr>
            <w:tcW w:w="926" w:type="pct"/>
            <w:vAlign w:val="center"/>
          </w:tcPr>
          <w:p w14:paraId="73D990F3">
            <w:pPr>
              <w:pStyle w:val="19"/>
              <w:widowControl w:val="0"/>
              <w:kinsoku/>
              <w:adjustRightInd/>
              <w:snapToGrid/>
              <w:ind w:left="3"/>
              <w:jc w:val="center"/>
              <w:textAlignment w:val="auto"/>
              <w:rPr>
                <w:sz w:val="28"/>
              </w:rPr>
            </w:pPr>
            <w:r>
              <w:rPr>
                <w:rFonts w:hint="eastAsia"/>
                <w:sz w:val="28"/>
              </w:rPr>
              <w:t>台</w:t>
            </w:r>
          </w:p>
        </w:tc>
      </w:tr>
      <w:tr w14:paraId="1FBA9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712396F7">
            <w:pPr>
              <w:pStyle w:val="19"/>
              <w:widowControl w:val="0"/>
              <w:kinsoku/>
              <w:adjustRightInd/>
              <w:snapToGrid/>
              <w:ind w:left="6"/>
              <w:jc w:val="center"/>
              <w:textAlignment w:val="auto"/>
              <w:rPr>
                <w:sz w:val="28"/>
              </w:rPr>
            </w:pPr>
            <w:r>
              <w:rPr>
                <w:rFonts w:hint="eastAsia"/>
                <w:sz w:val="28"/>
              </w:rPr>
              <w:t>5</w:t>
            </w:r>
          </w:p>
        </w:tc>
        <w:tc>
          <w:tcPr>
            <w:tcW w:w="2442" w:type="pct"/>
            <w:vAlign w:val="center"/>
          </w:tcPr>
          <w:p w14:paraId="443951D4">
            <w:pPr>
              <w:pStyle w:val="19"/>
              <w:widowControl w:val="0"/>
              <w:kinsoku/>
              <w:adjustRightInd/>
              <w:snapToGrid/>
              <w:jc w:val="center"/>
              <w:textAlignment w:val="auto"/>
              <w:rPr>
                <w:sz w:val="28"/>
              </w:rPr>
            </w:pPr>
            <w:r>
              <w:rPr>
                <w:rFonts w:hint="eastAsia"/>
                <w:sz w:val="28"/>
              </w:rPr>
              <w:t>学生桌</w:t>
            </w:r>
          </w:p>
        </w:tc>
        <w:tc>
          <w:tcPr>
            <w:tcW w:w="923" w:type="pct"/>
            <w:vAlign w:val="center"/>
          </w:tcPr>
          <w:p w14:paraId="526D4C38">
            <w:pPr>
              <w:pStyle w:val="19"/>
              <w:widowControl w:val="0"/>
              <w:kinsoku/>
              <w:adjustRightInd/>
              <w:snapToGrid/>
              <w:jc w:val="center"/>
              <w:textAlignment w:val="auto"/>
              <w:rPr>
                <w:sz w:val="28"/>
              </w:rPr>
            </w:pPr>
            <w:r>
              <w:rPr>
                <w:rFonts w:hint="eastAsia"/>
                <w:sz w:val="28"/>
              </w:rPr>
              <w:t>25</w:t>
            </w:r>
          </w:p>
        </w:tc>
        <w:tc>
          <w:tcPr>
            <w:tcW w:w="926" w:type="pct"/>
            <w:vAlign w:val="center"/>
          </w:tcPr>
          <w:p w14:paraId="1DD51ACC">
            <w:pPr>
              <w:pStyle w:val="19"/>
              <w:widowControl w:val="0"/>
              <w:kinsoku/>
              <w:adjustRightInd/>
              <w:snapToGrid/>
              <w:ind w:left="3"/>
              <w:jc w:val="center"/>
              <w:textAlignment w:val="auto"/>
              <w:rPr>
                <w:sz w:val="28"/>
              </w:rPr>
            </w:pPr>
            <w:r>
              <w:rPr>
                <w:rFonts w:hint="eastAsia"/>
                <w:sz w:val="28"/>
              </w:rPr>
              <w:t>张</w:t>
            </w:r>
          </w:p>
        </w:tc>
      </w:tr>
      <w:tr w14:paraId="10A52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4DF6348F">
            <w:pPr>
              <w:pStyle w:val="19"/>
              <w:widowControl w:val="0"/>
              <w:kinsoku/>
              <w:adjustRightInd/>
              <w:snapToGrid/>
              <w:ind w:left="6"/>
              <w:jc w:val="center"/>
              <w:textAlignment w:val="auto"/>
              <w:rPr>
                <w:sz w:val="28"/>
              </w:rPr>
            </w:pPr>
            <w:r>
              <w:rPr>
                <w:rFonts w:hint="eastAsia"/>
                <w:sz w:val="28"/>
              </w:rPr>
              <w:t>6</w:t>
            </w:r>
          </w:p>
        </w:tc>
        <w:tc>
          <w:tcPr>
            <w:tcW w:w="2442" w:type="pct"/>
            <w:vAlign w:val="center"/>
          </w:tcPr>
          <w:p w14:paraId="0497FC0B">
            <w:pPr>
              <w:pStyle w:val="19"/>
              <w:widowControl w:val="0"/>
              <w:kinsoku/>
              <w:adjustRightInd/>
              <w:snapToGrid/>
              <w:jc w:val="center"/>
              <w:textAlignment w:val="auto"/>
              <w:rPr>
                <w:sz w:val="28"/>
              </w:rPr>
            </w:pPr>
            <w:r>
              <w:rPr>
                <w:rFonts w:hint="eastAsia"/>
                <w:sz w:val="28"/>
              </w:rPr>
              <w:t>学生座椅</w:t>
            </w:r>
          </w:p>
        </w:tc>
        <w:tc>
          <w:tcPr>
            <w:tcW w:w="923" w:type="pct"/>
            <w:vAlign w:val="center"/>
          </w:tcPr>
          <w:p w14:paraId="4A29A2B4">
            <w:pPr>
              <w:pStyle w:val="19"/>
              <w:widowControl w:val="0"/>
              <w:kinsoku/>
              <w:adjustRightInd/>
              <w:snapToGrid/>
              <w:jc w:val="center"/>
              <w:textAlignment w:val="auto"/>
              <w:rPr>
                <w:sz w:val="28"/>
              </w:rPr>
            </w:pPr>
            <w:r>
              <w:rPr>
                <w:rFonts w:hint="eastAsia"/>
                <w:sz w:val="28"/>
              </w:rPr>
              <w:t>51</w:t>
            </w:r>
          </w:p>
        </w:tc>
        <w:tc>
          <w:tcPr>
            <w:tcW w:w="926" w:type="pct"/>
            <w:vAlign w:val="center"/>
          </w:tcPr>
          <w:p w14:paraId="30ECB269">
            <w:pPr>
              <w:pStyle w:val="19"/>
              <w:widowControl w:val="0"/>
              <w:kinsoku/>
              <w:adjustRightInd/>
              <w:snapToGrid/>
              <w:ind w:left="3"/>
              <w:jc w:val="center"/>
              <w:textAlignment w:val="auto"/>
              <w:rPr>
                <w:sz w:val="28"/>
              </w:rPr>
            </w:pPr>
            <w:r>
              <w:rPr>
                <w:rFonts w:hint="eastAsia"/>
                <w:sz w:val="28"/>
              </w:rPr>
              <w:t>把</w:t>
            </w:r>
          </w:p>
        </w:tc>
      </w:tr>
      <w:tr w14:paraId="2CF57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163B6B95">
            <w:pPr>
              <w:pStyle w:val="19"/>
              <w:widowControl w:val="0"/>
              <w:kinsoku/>
              <w:adjustRightInd/>
              <w:snapToGrid/>
              <w:ind w:left="6"/>
              <w:jc w:val="center"/>
              <w:textAlignment w:val="auto"/>
              <w:rPr>
                <w:sz w:val="28"/>
              </w:rPr>
            </w:pPr>
            <w:r>
              <w:rPr>
                <w:rFonts w:hint="eastAsia"/>
                <w:sz w:val="28"/>
              </w:rPr>
              <w:t>7</w:t>
            </w:r>
          </w:p>
        </w:tc>
        <w:tc>
          <w:tcPr>
            <w:tcW w:w="2442" w:type="pct"/>
            <w:vAlign w:val="center"/>
          </w:tcPr>
          <w:p w14:paraId="48803595">
            <w:pPr>
              <w:pStyle w:val="19"/>
              <w:widowControl w:val="0"/>
              <w:kinsoku/>
              <w:adjustRightInd/>
              <w:snapToGrid/>
              <w:jc w:val="center"/>
              <w:textAlignment w:val="auto"/>
              <w:rPr>
                <w:sz w:val="28"/>
              </w:rPr>
            </w:pPr>
            <w:r>
              <w:rPr>
                <w:rFonts w:hint="eastAsia"/>
                <w:sz w:val="28"/>
              </w:rPr>
              <w:t>教师座椅</w:t>
            </w:r>
          </w:p>
        </w:tc>
        <w:tc>
          <w:tcPr>
            <w:tcW w:w="923" w:type="pct"/>
            <w:vAlign w:val="center"/>
          </w:tcPr>
          <w:p w14:paraId="3FF7E654">
            <w:pPr>
              <w:pStyle w:val="19"/>
              <w:widowControl w:val="0"/>
              <w:kinsoku/>
              <w:adjustRightInd/>
              <w:snapToGrid/>
              <w:jc w:val="center"/>
              <w:textAlignment w:val="auto"/>
              <w:rPr>
                <w:sz w:val="28"/>
              </w:rPr>
            </w:pPr>
            <w:r>
              <w:rPr>
                <w:rFonts w:hint="eastAsia"/>
                <w:sz w:val="28"/>
              </w:rPr>
              <w:t>1</w:t>
            </w:r>
          </w:p>
        </w:tc>
        <w:tc>
          <w:tcPr>
            <w:tcW w:w="926" w:type="pct"/>
            <w:vAlign w:val="center"/>
          </w:tcPr>
          <w:p w14:paraId="61D9E530">
            <w:pPr>
              <w:pStyle w:val="19"/>
              <w:widowControl w:val="0"/>
              <w:kinsoku/>
              <w:adjustRightInd/>
              <w:snapToGrid/>
              <w:ind w:left="3"/>
              <w:jc w:val="center"/>
              <w:textAlignment w:val="auto"/>
              <w:rPr>
                <w:sz w:val="28"/>
              </w:rPr>
            </w:pPr>
            <w:r>
              <w:rPr>
                <w:rFonts w:hint="eastAsia"/>
                <w:sz w:val="28"/>
              </w:rPr>
              <w:t>套</w:t>
            </w:r>
          </w:p>
        </w:tc>
      </w:tr>
      <w:tr w14:paraId="4C593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34A7DC2B">
            <w:pPr>
              <w:pStyle w:val="19"/>
              <w:widowControl w:val="0"/>
              <w:kinsoku/>
              <w:adjustRightInd/>
              <w:snapToGrid/>
              <w:ind w:left="6"/>
              <w:jc w:val="center"/>
              <w:textAlignment w:val="auto"/>
              <w:rPr>
                <w:sz w:val="28"/>
              </w:rPr>
            </w:pPr>
            <w:r>
              <w:rPr>
                <w:rFonts w:hint="eastAsia"/>
                <w:sz w:val="28"/>
              </w:rPr>
              <w:t>8</w:t>
            </w:r>
          </w:p>
        </w:tc>
        <w:tc>
          <w:tcPr>
            <w:tcW w:w="2442" w:type="pct"/>
            <w:vAlign w:val="center"/>
          </w:tcPr>
          <w:p w14:paraId="41D8DBD4">
            <w:pPr>
              <w:pStyle w:val="19"/>
              <w:widowControl w:val="0"/>
              <w:kinsoku/>
              <w:adjustRightInd/>
              <w:snapToGrid/>
              <w:jc w:val="center"/>
              <w:textAlignment w:val="auto"/>
              <w:rPr>
                <w:sz w:val="28"/>
              </w:rPr>
            </w:pPr>
            <w:r>
              <w:rPr>
                <w:rFonts w:hint="eastAsia"/>
                <w:sz w:val="28"/>
              </w:rPr>
              <w:t>空调</w:t>
            </w:r>
          </w:p>
        </w:tc>
        <w:tc>
          <w:tcPr>
            <w:tcW w:w="923" w:type="pct"/>
            <w:vAlign w:val="center"/>
          </w:tcPr>
          <w:p w14:paraId="5AD96FFF">
            <w:pPr>
              <w:pStyle w:val="19"/>
              <w:widowControl w:val="0"/>
              <w:kinsoku/>
              <w:adjustRightInd/>
              <w:snapToGrid/>
              <w:jc w:val="center"/>
              <w:textAlignment w:val="auto"/>
              <w:rPr>
                <w:sz w:val="28"/>
              </w:rPr>
            </w:pPr>
            <w:r>
              <w:rPr>
                <w:rFonts w:hint="eastAsia"/>
                <w:sz w:val="28"/>
              </w:rPr>
              <w:t>2</w:t>
            </w:r>
          </w:p>
        </w:tc>
        <w:tc>
          <w:tcPr>
            <w:tcW w:w="926" w:type="pct"/>
            <w:vAlign w:val="center"/>
          </w:tcPr>
          <w:p w14:paraId="55FA60FD">
            <w:pPr>
              <w:pStyle w:val="19"/>
              <w:widowControl w:val="0"/>
              <w:kinsoku/>
              <w:adjustRightInd/>
              <w:snapToGrid/>
              <w:ind w:left="3"/>
              <w:jc w:val="center"/>
              <w:textAlignment w:val="auto"/>
              <w:rPr>
                <w:sz w:val="28"/>
              </w:rPr>
            </w:pPr>
            <w:r>
              <w:rPr>
                <w:rFonts w:hint="eastAsia"/>
                <w:sz w:val="28"/>
              </w:rPr>
              <w:t>台</w:t>
            </w:r>
          </w:p>
        </w:tc>
      </w:tr>
      <w:tr w14:paraId="46181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07" w:type="pct"/>
            <w:vAlign w:val="center"/>
          </w:tcPr>
          <w:p w14:paraId="2F7A6A5A">
            <w:pPr>
              <w:pStyle w:val="19"/>
              <w:widowControl w:val="0"/>
              <w:kinsoku/>
              <w:adjustRightInd/>
              <w:snapToGrid/>
              <w:ind w:left="6"/>
              <w:jc w:val="center"/>
              <w:textAlignment w:val="auto"/>
              <w:rPr>
                <w:sz w:val="28"/>
              </w:rPr>
            </w:pPr>
            <w:r>
              <w:rPr>
                <w:rFonts w:hint="eastAsia"/>
                <w:sz w:val="28"/>
              </w:rPr>
              <w:t>9</w:t>
            </w:r>
          </w:p>
        </w:tc>
        <w:tc>
          <w:tcPr>
            <w:tcW w:w="2442" w:type="pct"/>
            <w:vAlign w:val="center"/>
          </w:tcPr>
          <w:p w14:paraId="6BFFB5C5">
            <w:pPr>
              <w:pStyle w:val="19"/>
              <w:widowControl w:val="0"/>
              <w:kinsoku/>
              <w:adjustRightInd/>
              <w:snapToGrid/>
              <w:jc w:val="center"/>
              <w:textAlignment w:val="auto"/>
              <w:rPr>
                <w:sz w:val="28"/>
              </w:rPr>
            </w:pPr>
            <w:r>
              <w:rPr>
                <w:rFonts w:hint="eastAsia"/>
                <w:sz w:val="28"/>
              </w:rPr>
              <w:t>综合布线</w:t>
            </w:r>
          </w:p>
        </w:tc>
        <w:tc>
          <w:tcPr>
            <w:tcW w:w="923" w:type="pct"/>
            <w:vAlign w:val="center"/>
          </w:tcPr>
          <w:p w14:paraId="4ED1498F">
            <w:pPr>
              <w:pStyle w:val="19"/>
              <w:widowControl w:val="0"/>
              <w:kinsoku/>
              <w:adjustRightInd/>
              <w:snapToGrid/>
              <w:jc w:val="center"/>
              <w:textAlignment w:val="auto"/>
              <w:rPr>
                <w:sz w:val="28"/>
              </w:rPr>
            </w:pPr>
            <w:r>
              <w:rPr>
                <w:rFonts w:hint="eastAsia"/>
                <w:sz w:val="28"/>
              </w:rPr>
              <w:t>1</w:t>
            </w:r>
          </w:p>
        </w:tc>
        <w:tc>
          <w:tcPr>
            <w:tcW w:w="926" w:type="pct"/>
            <w:vAlign w:val="center"/>
          </w:tcPr>
          <w:p w14:paraId="1116E575">
            <w:pPr>
              <w:pStyle w:val="19"/>
              <w:widowControl w:val="0"/>
              <w:kinsoku/>
              <w:adjustRightInd/>
              <w:snapToGrid/>
              <w:jc w:val="center"/>
              <w:textAlignment w:val="auto"/>
              <w:rPr>
                <w:sz w:val="28"/>
              </w:rPr>
            </w:pPr>
            <w:r>
              <w:rPr>
                <w:rFonts w:hint="eastAsia"/>
                <w:sz w:val="28"/>
              </w:rPr>
              <w:t>批</w:t>
            </w:r>
          </w:p>
        </w:tc>
      </w:tr>
    </w:tbl>
    <w:p w14:paraId="0462B9A9">
      <w:pPr>
        <w:widowControl w:val="0"/>
        <w:kinsoku/>
        <w:adjustRightInd/>
        <w:snapToGrid/>
        <w:ind w:left="600"/>
        <w:textAlignment w:val="auto"/>
        <w:rPr>
          <w:b/>
          <w:sz w:val="28"/>
        </w:rPr>
      </w:pPr>
      <w:bookmarkStart w:id="2" w:name="_bookmark71"/>
      <w:bookmarkEnd w:id="2"/>
      <w:r>
        <w:rPr>
          <w:b/>
          <w:sz w:val="28"/>
        </w:rPr>
        <w:t>二、技术要求：</w:t>
      </w:r>
    </w:p>
    <w:tbl>
      <w:tblPr>
        <w:tblStyle w:val="11"/>
        <w:tblpPr w:leftFromText="180" w:rightFromText="180" w:vertAnchor="text" w:horzAnchor="page" w:tblpX="1480" w:tblpY="440"/>
        <w:tblOverlap w:val="never"/>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828"/>
        <w:gridCol w:w="6776"/>
        <w:gridCol w:w="475"/>
        <w:gridCol w:w="568"/>
      </w:tblGrid>
      <w:tr w14:paraId="247B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17" w:type="pct"/>
            <w:vAlign w:val="center"/>
          </w:tcPr>
          <w:p w14:paraId="21E13D3E">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序号</w:t>
            </w:r>
          </w:p>
        </w:tc>
        <w:tc>
          <w:tcPr>
            <w:tcW w:w="458" w:type="pct"/>
            <w:vAlign w:val="center"/>
          </w:tcPr>
          <w:p w14:paraId="49872CF9">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设备</w:t>
            </w:r>
            <w:r>
              <w:rPr>
                <w:rFonts w:asciiTheme="minorEastAsia" w:hAnsiTheme="minorEastAsia" w:eastAsiaTheme="minorEastAsia"/>
              </w:rPr>
              <w:t>/</w:t>
            </w:r>
            <w:r>
              <w:rPr>
                <w:rFonts w:hint="eastAsia" w:asciiTheme="minorEastAsia" w:hAnsiTheme="minorEastAsia" w:eastAsiaTheme="minorEastAsia"/>
              </w:rPr>
              <w:t>货物名称</w:t>
            </w:r>
          </w:p>
        </w:tc>
        <w:tc>
          <w:tcPr>
            <w:tcW w:w="3748" w:type="pct"/>
            <w:vAlign w:val="center"/>
          </w:tcPr>
          <w:p w14:paraId="3E9B8B3C">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主要技术参数</w:t>
            </w:r>
          </w:p>
        </w:tc>
        <w:tc>
          <w:tcPr>
            <w:tcW w:w="263" w:type="pct"/>
            <w:vAlign w:val="center"/>
          </w:tcPr>
          <w:p w14:paraId="5CC0880E">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数量</w:t>
            </w:r>
          </w:p>
        </w:tc>
        <w:tc>
          <w:tcPr>
            <w:tcW w:w="314" w:type="pct"/>
            <w:vAlign w:val="center"/>
          </w:tcPr>
          <w:p w14:paraId="5D93F086">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单位</w:t>
            </w:r>
          </w:p>
        </w:tc>
      </w:tr>
      <w:tr w14:paraId="1399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79244680">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1</w:t>
            </w:r>
          </w:p>
        </w:tc>
        <w:tc>
          <w:tcPr>
            <w:tcW w:w="458" w:type="pct"/>
            <w:vAlign w:val="center"/>
          </w:tcPr>
          <w:p w14:paraId="3741E448">
            <w:pPr>
              <w:widowControl w:val="0"/>
              <w:kinsoku/>
              <w:adjustRightInd/>
              <w:snapToGrid/>
              <w:textAlignment w:val="auto"/>
              <w:rPr>
                <w:rFonts w:hint="eastAsia" w:cs="Times New Roman" w:asciiTheme="minorEastAsia" w:hAnsiTheme="minorEastAsia" w:eastAsiaTheme="minorEastAsia"/>
              </w:rPr>
            </w:pPr>
            <w:r>
              <w:rPr>
                <w:rFonts w:hint="eastAsia" w:asciiTheme="minorEastAsia" w:hAnsiTheme="minorEastAsia" w:eastAsiaTheme="minorEastAsia"/>
              </w:rPr>
              <w:t>云桌面管理软件</w:t>
            </w:r>
          </w:p>
        </w:tc>
        <w:tc>
          <w:tcPr>
            <w:tcW w:w="3748" w:type="pct"/>
            <w:tcBorders>
              <w:top w:val="single" w:color="auto" w:sz="4" w:space="0"/>
              <w:left w:val="single" w:color="auto" w:sz="4" w:space="0"/>
              <w:bottom w:val="single" w:color="auto" w:sz="4" w:space="0"/>
              <w:right w:val="single" w:color="auto" w:sz="4" w:space="0"/>
            </w:tcBorders>
            <w:noWrap/>
            <w:vAlign w:val="center"/>
          </w:tcPr>
          <w:p w14:paraId="09A244E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1、支持Legacy与UEFI两种方式启动系统，支持管理双网卡、双硬盘，支持NVME、M.2新型高速固态硬盘，同时兼容新老机型部署。</w:t>
            </w:r>
          </w:p>
          <w:p w14:paraId="2AC85CF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2、支持从服务器端对客户端发起远程开机、关机、发送通知消息、发送远程命令等指令，支持管理员对客户端远程协助排障。</w:t>
            </w:r>
          </w:p>
          <w:p w14:paraId="2D058DF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3、★硬件资产管理：支持收集平台中所有终端硬件配置信息，包含但不限于终端名称、主板型号、CPU型号、内存容量、最近运行时间、合计运行时间、硬件变更和记录信息等。（提供此功能界面截图证明）</w:t>
            </w:r>
          </w:p>
          <w:p w14:paraId="5FCC8D3A">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4、软件资产管理：支持收集平台中所有终端的软件信息，包含但不限于程序名称、运行次数、运行时长、版本、程序大小等。</w:t>
            </w:r>
          </w:p>
          <w:p w14:paraId="4FB9034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5、★支持大数据展示，可展示包括但不限于资产统计、设备详情、开关机对比、日志、系统使用情况等信息。（提供此功能界面截图证明）</w:t>
            </w:r>
          </w:p>
          <w:p w14:paraId="162952E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6、终端支持多盘缓存模式，即在终端固态盘容量小导致无法多镜像缓存时，支持固态盘和机械盘混合缓存载入，充分利用终端现有存储资源。</w:t>
            </w:r>
          </w:p>
          <w:p w14:paraId="47B12FD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7、★终端支持部署多操作系统：支持统信UOS、麒麟KOS、Linux、 Windows全系列。支持从管理端或客户端自主选择启动环境，且多个系统环境可快速切换。（提供此功能界面截图证明）</w:t>
            </w:r>
          </w:p>
          <w:p w14:paraId="0C7AF13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8、★当终端无法进入系统时，支持基于Linux和Windows两种方式进行系统数据恢复。（提供此功能界面截图证明）</w:t>
            </w:r>
          </w:p>
          <w:p w14:paraId="7037808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9、支持复杂网络环境及跨校区部署管理，支持客户端通过网络引导、光盘引导、U盘方式部署系统，客户端可通过VLAN、跨区域、跨互联网连接服务器并下发缓存。</w:t>
            </w:r>
          </w:p>
          <w:p w14:paraId="24828D63">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10、教师演示：教师可对单一、部分或全体学生进行屏幕演示，全屏、窗口方式均可。</w:t>
            </w:r>
          </w:p>
          <w:p w14:paraId="26D0C4E7">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11、分组讨论：教师可以创建多个小组进行讨论活动，并可任意选择分组加入讨论活动。同组师生支持多种方式进行交流，包括文字，表情，图片等。</w:t>
            </w:r>
          </w:p>
          <w:p w14:paraId="4E7E7FAC">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12、屏幕录制：教师机可以将本地的操作和讲解过程录制为ASF录像文件，可以用 Windows 自带的 Media Player 直接播放。</w:t>
            </w:r>
          </w:p>
          <w:p w14:paraId="7D6A81B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rPr>
              <w:t>13、上网限制：设定学生访问网站的黑名单或白名单，对学生可以访问的Internet站点进行管理。</w:t>
            </w:r>
            <w:r>
              <w:rPr>
                <w:rFonts w:hint="eastAsia" w:asciiTheme="minorEastAsia" w:hAnsiTheme="minorEastAsia" w:eastAsiaTheme="minorEastAsia"/>
                <w:lang w:eastAsia="zh-CN"/>
              </w:rPr>
              <w:t>支持多浏览器限制，如QQ、IE、谷歌、360、遨游等浏览器。</w:t>
            </w:r>
          </w:p>
          <w:p w14:paraId="376DF7A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14、程序限制：通过各种策略的应用，可防止学生在教学过程中打游戏，或使用QQ，微信，MSN等聊天工具。</w:t>
            </w:r>
          </w:p>
        </w:tc>
        <w:tc>
          <w:tcPr>
            <w:tcW w:w="263" w:type="pct"/>
            <w:vAlign w:val="center"/>
          </w:tcPr>
          <w:p w14:paraId="4481171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5</w:t>
            </w:r>
            <w:r>
              <w:rPr>
                <w:rFonts w:asciiTheme="minorEastAsia" w:hAnsiTheme="minorEastAsia" w:eastAsiaTheme="minorEastAsia"/>
              </w:rPr>
              <w:t>1</w:t>
            </w:r>
          </w:p>
        </w:tc>
        <w:tc>
          <w:tcPr>
            <w:tcW w:w="314" w:type="pct"/>
            <w:vAlign w:val="center"/>
          </w:tcPr>
          <w:p w14:paraId="04D4288E">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套</w:t>
            </w:r>
          </w:p>
        </w:tc>
      </w:tr>
      <w:tr w14:paraId="4F0F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0C386472">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2</w:t>
            </w:r>
          </w:p>
        </w:tc>
        <w:tc>
          <w:tcPr>
            <w:tcW w:w="458" w:type="pct"/>
            <w:vAlign w:val="center"/>
          </w:tcPr>
          <w:p w14:paraId="65175900">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台式计算机</w:t>
            </w:r>
          </w:p>
        </w:tc>
        <w:tc>
          <w:tcPr>
            <w:tcW w:w="3748" w:type="pct"/>
            <w:tcBorders>
              <w:top w:val="single" w:color="auto" w:sz="4" w:space="0"/>
              <w:left w:val="single" w:color="auto" w:sz="4" w:space="0"/>
              <w:bottom w:val="single" w:color="auto" w:sz="4" w:space="0"/>
              <w:right w:val="single" w:color="auto" w:sz="4" w:space="0"/>
            </w:tcBorders>
            <w:noWrap/>
            <w:vAlign w:val="center"/>
          </w:tcPr>
          <w:p w14:paraId="29312DAD">
            <w:pPr>
              <w:widowControl w:val="0"/>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参数见下表：</w:t>
            </w:r>
            <w:r>
              <w:rPr>
                <w:rFonts w:asciiTheme="minorEastAsia" w:hAnsiTheme="minorEastAsia" w:eastAsiaTheme="minorEastAsia"/>
                <w:lang w:eastAsia="zh-CN"/>
              </w:rPr>
              <w:t>台式计算机参数表</w:t>
            </w:r>
          </w:p>
        </w:tc>
        <w:tc>
          <w:tcPr>
            <w:tcW w:w="263" w:type="pct"/>
            <w:vAlign w:val="center"/>
          </w:tcPr>
          <w:p w14:paraId="5245E2E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51</w:t>
            </w:r>
          </w:p>
        </w:tc>
        <w:tc>
          <w:tcPr>
            <w:tcW w:w="314" w:type="pct"/>
            <w:vAlign w:val="center"/>
          </w:tcPr>
          <w:p w14:paraId="46362BAF">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台</w:t>
            </w:r>
          </w:p>
        </w:tc>
      </w:tr>
      <w:tr w14:paraId="78E9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1C50BA5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3</w:t>
            </w:r>
          </w:p>
        </w:tc>
        <w:tc>
          <w:tcPr>
            <w:tcW w:w="458" w:type="pct"/>
            <w:vAlign w:val="center"/>
          </w:tcPr>
          <w:p w14:paraId="430A66A4">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交换机</w:t>
            </w:r>
          </w:p>
        </w:tc>
        <w:tc>
          <w:tcPr>
            <w:tcW w:w="3748" w:type="pct"/>
            <w:tcBorders>
              <w:top w:val="single" w:color="auto" w:sz="4" w:space="0"/>
              <w:left w:val="single" w:color="auto" w:sz="4" w:space="0"/>
              <w:bottom w:val="single" w:color="auto" w:sz="4" w:space="0"/>
              <w:right w:val="single" w:color="auto" w:sz="4" w:space="0"/>
            </w:tcBorders>
            <w:noWrap/>
            <w:vAlign w:val="center"/>
          </w:tcPr>
          <w:p w14:paraId="019592E3">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、核心硬件参数</w:t>
            </w:r>
          </w:p>
          <w:p w14:paraId="145B442A">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端口：</w:t>
            </w:r>
          </w:p>
          <w:p w14:paraId="783A262F">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 xml:space="preserve">24×10/100/1000BASE-T </w:t>
            </w:r>
            <w:r>
              <w:rPr>
                <w:rFonts w:hint="eastAsia" w:asciiTheme="minorEastAsia" w:hAnsiTheme="minorEastAsia" w:eastAsiaTheme="minorEastAsia"/>
              </w:rPr>
              <w:t>电口（千兆下行）</w:t>
            </w:r>
          </w:p>
          <w:p w14:paraId="13B163F9">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 xml:space="preserve">4×10G SFP+ </w:t>
            </w:r>
            <w:r>
              <w:rPr>
                <w:rFonts w:hint="eastAsia" w:asciiTheme="minorEastAsia" w:hAnsiTheme="minorEastAsia" w:eastAsiaTheme="minorEastAsia"/>
              </w:rPr>
              <w:t>万兆光口（上行</w:t>
            </w:r>
            <w:r>
              <w:rPr>
                <w:rFonts w:asciiTheme="minorEastAsia" w:hAnsiTheme="minorEastAsia" w:eastAsiaTheme="minorEastAsia"/>
              </w:rPr>
              <w:t xml:space="preserve"> / </w:t>
            </w:r>
            <w:r>
              <w:rPr>
                <w:rFonts w:hint="eastAsia" w:asciiTheme="minorEastAsia" w:hAnsiTheme="minorEastAsia" w:eastAsiaTheme="minorEastAsia"/>
              </w:rPr>
              <w:t>堆叠）</w:t>
            </w:r>
          </w:p>
          <w:p w14:paraId="40970331">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 xml:space="preserve">1×Console </w:t>
            </w:r>
            <w:r>
              <w:rPr>
                <w:rFonts w:hint="eastAsia" w:asciiTheme="minorEastAsia" w:hAnsiTheme="minorEastAsia" w:eastAsiaTheme="minorEastAsia"/>
              </w:rPr>
              <w:t>口（</w:t>
            </w:r>
            <w:r>
              <w:rPr>
                <w:rFonts w:asciiTheme="minorEastAsia" w:hAnsiTheme="minorEastAsia" w:eastAsiaTheme="minorEastAsia"/>
              </w:rPr>
              <w:t>RJ45</w:t>
            </w:r>
            <w:r>
              <w:rPr>
                <w:rFonts w:hint="eastAsia" w:asciiTheme="minorEastAsia" w:hAnsiTheme="minorEastAsia" w:eastAsiaTheme="minorEastAsia"/>
              </w:rPr>
              <w:t>）</w:t>
            </w:r>
          </w:p>
          <w:p w14:paraId="7FA8A584">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性能：</w:t>
            </w:r>
          </w:p>
          <w:p w14:paraId="3C758E43">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交换容量：</w:t>
            </w:r>
            <w:r>
              <w:rPr>
                <w:rFonts w:asciiTheme="minorEastAsia" w:hAnsiTheme="minorEastAsia" w:eastAsiaTheme="minorEastAsia"/>
                <w:lang w:eastAsia="zh-CN"/>
              </w:rPr>
              <w:t>336Gbps/3.36Tbps</w:t>
            </w:r>
            <w:r>
              <w:rPr>
                <w:rFonts w:hint="eastAsia" w:asciiTheme="minorEastAsia" w:hAnsiTheme="minorEastAsia" w:eastAsiaTheme="minorEastAsia"/>
                <w:lang w:eastAsia="zh-CN"/>
              </w:rPr>
              <w:t>（双栈）</w:t>
            </w:r>
          </w:p>
          <w:p w14:paraId="5418242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包转发率：</w:t>
            </w:r>
            <w:r>
              <w:rPr>
                <w:rFonts w:asciiTheme="minorEastAsia" w:hAnsiTheme="minorEastAsia" w:eastAsiaTheme="minorEastAsia"/>
                <w:lang w:eastAsia="zh-CN"/>
              </w:rPr>
              <w:t>108/126Mpps</w:t>
            </w:r>
            <w:r>
              <w:rPr>
                <w:rFonts w:hint="eastAsia" w:asciiTheme="minorEastAsia" w:hAnsiTheme="minorEastAsia" w:eastAsiaTheme="minorEastAsia"/>
                <w:lang w:eastAsia="zh-CN"/>
              </w:rPr>
              <w:t>（</w:t>
            </w:r>
            <w:r>
              <w:rPr>
                <w:rFonts w:asciiTheme="minorEastAsia" w:hAnsiTheme="minorEastAsia" w:eastAsiaTheme="minorEastAsia"/>
                <w:lang w:eastAsia="zh-CN"/>
              </w:rPr>
              <w:t>IPv4/IPv6</w:t>
            </w:r>
            <w:r>
              <w:rPr>
                <w:rFonts w:hint="eastAsia" w:asciiTheme="minorEastAsia" w:hAnsiTheme="minorEastAsia" w:eastAsiaTheme="minorEastAsia"/>
                <w:lang w:eastAsia="zh-CN"/>
              </w:rPr>
              <w:t>）</w:t>
            </w:r>
          </w:p>
          <w:p w14:paraId="53809BFF">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交换方式：存储</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转发</w:t>
            </w:r>
          </w:p>
          <w:p w14:paraId="37CA1A9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尺寸</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重量：</w:t>
            </w:r>
            <w:r>
              <w:rPr>
                <w:rFonts w:asciiTheme="minorEastAsia" w:hAnsiTheme="minorEastAsia" w:eastAsiaTheme="minorEastAsia"/>
                <w:lang w:eastAsia="zh-CN"/>
              </w:rPr>
              <w:t>442×220×43.6 mm</w:t>
            </w:r>
            <w:r>
              <w:rPr>
                <w:rFonts w:hint="eastAsia" w:asciiTheme="minorEastAsia" w:hAnsiTheme="minorEastAsia" w:eastAsiaTheme="minorEastAsia"/>
                <w:lang w:eastAsia="zh-CN"/>
              </w:rPr>
              <w:t>（</w:t>
            </w:r>
            <w:r>
              <w:rPr>
                <w:rFonts w:asciiTheme="minorEastAsia" w:hAnsiTheme="minorEastAsia" w:eastAsiaTheme="minorEastAsia"/>
                <w:lang w:eastAsia="zh-CN"/>
              </w:rPr>
              <w:t xml:space="preserve">1U </w:t>
            </w:r>
            <w:r>
              <w:rPr>
                <w:rFonts w:hint="eastAsia" w:asciiTheme="minorEastAsia" w:hAnsiTheme="minorEastAsia" w:eastAsiaTheme="minorEastAsia"/>
                <w:lang w:eastAsia="zh-CN"/>
              </w:rPr>
              <w:t>机架）；约</w:t>
            </w:r>
            <w:r>
              <w:rPr>
                <w:rFonts w:asciiTheme="minorEastAsia" w:hAnsiTheme="minorEastAsia" w:eastAsiaTheme="minorEastAsia"/>
                <w:lang w:eastAsia="zh-CN"/>
              </w:rPr>
              <w:t xml:space="preserve"> 2.94kg</w:t>
            </w:r>
          </w:p>
          <w:p w14:paraId="3C2F9B5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散热</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供电：</w:t>
            </w:r>
          </w:p>
          <w:p w14:paraId="0BDC447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散热：无风扇自然散热（静音）</w:t>
            </w:r>
          </w:p>
          <w:p w14:paraId="587C45BA">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电源：内置</w:t>
            </w:r>
            <w:r>
              <w:rPr>
                <w:rFonts w:asciiTheme="minorEastAsia" w:hAnsiTheme="minorEastAsia" w:eastAsiaTheme="minorEastAsia"/>
                <w:lang w:eastAsia="zh-CN"/>
              </w:rPr>
              <w:t xml:space="preserve"> AC 90–290V</w:t>
            </w:r>
            <w:r>
              <w:rPr>
                <w:rFonts w:hint="eastAsia" w:asciiTheme="minorEastAsia" w:hAnsiTheme="minorEastAsia" w:eastAsiaTheme="minorEastAsia"/>
                <w:lang w:eastAsia="zh-CN"/>
              </w:rPr>
              <w:t>，</w:t>
            </w:r>
            <w:r>
              <w:rPr>
                <w:rFonts w:asciiTheme="minorEastAsia" w:hAnsiTheme="minorEastAsia" w:eastAsiaTheme="minorEastAsia"/>
                <w:lang w:eastAsia="zh-CN"/>
              </w:rPr>
              <w:t>50/60Hz</w:t>
            </w:r>
            <w:r>
              <w:rPr>
                <w:rFonts w:hint="eastAsia" w:asciiTheme="minorEastAsia" w:hAnsiTheme="minorEastAsia" w:eastAsiaTheme="minorEastAsia"/>
                <w:lang w:eastAsia="zh-CN"/>
              </w:rPr>
              <w:t>；最大功耗＜</w:t>
            </w:r>
            <w:r>
              <w:rPr>
                <w:rFonts w:asciiTheme="minorEastAsia" w:hAnsiTheme="minorEastAsia" w:eastAsiaTheme="minorEastAsia"/>
                <w:lang w:eastAsia="zh-CN"/>
              </w:rPr>
              <w:t>28W</w:t>
            </w:r>
          </w:p>
          <w:p w14:paraId="49CCBAA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环境：</w:t>
            </w:r>
          </w:p>
          <w:p w14:paraId="3A09246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工作温度：</w:t>
            </w:r>
            <w:r>
              <w:rPr>
                <w:rFonts w:asciiTheme="minorEastAsia" w:hAnsiTheme="minorEastAsia" w:eastAsiaTheme="minorEastAsia"/>
                <w:lang w:eastAsia="zh-CN"/>
              </w:rPr>
              <w:t>0–45</w:t>
            </w:r>
            <w:r>
              <w:rPr>
                <w:rFonts w:cs="Cambria Math" w:asciiTheme="minorEastAsia" w:hAnsiTheme="minorEastAsia" w:eastAsiaTheme="minorEastAsia"/>
                <w:lang w:eastAsia="zh-CN"/>
              </w:rPr>
              <w:t>℃</w:t>
            </w:r>
            <w:r>
              <w:rPr>
                <w:rFonts w:hint="eastAsia" w:asciiTheme="minorEastAsia" w:hAnsiTheme="minorEastAsia" w:eastAsiaTheme="minorEastAsia"/>
                <w:lang w:eastAsia="zh-CN"/>
              </w:rPr>
              <w:t>（</w:t>
            </w:r>
            <w:r>
              <w:rPr>
                <w:rFonts w:asciiTheme="minorEastAsia" w:hAnsiTheme="minorEastAsia" w:eastAsiaTheme="minorEastAsia"/>
                <w:lang w:eastAsia="zh-CN"/>
              </w:rPr>
              <w:t xml:space="preserve">0–1800m </w:t>
            </w:r>
            <w:r>
              <w:rPr>
                <w:rFonts w:hint="eastAsia" w:asciiTheme="minorEastAsia" w:hAnsiTheme="minorEastAsia" w:eastAsiaTheme="minorEastAsia"/>
                <w:lang w:eastAsia="zh-CN"/>
              </w:rPr>
              <w:t>海拔）</w:t>
            </w:r>
          </w:p>
          <w:p w14:paraId="00E00E5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湿度：</w:t>
            </w:r>
            <w:r>
              <w:rPr>
                <w:rFonts w:asciiTheme="minorEastAsia" w:hAnsiTheme="minorEastAsia" w:eastAsiaTheme="minorEastAsia"/>
                <w:lang w:eastAsia="zh-CN"/>
              </w:rPr>
              <w:t xml:space="preserve">5%–95% </w:t>
            </w:r>
            <w:r>
              <w:rPr>
                <w:rFonts w:hint="eastAsia" w:asciiTheme="minorEastAsia" w:hAnsiTheme="minorEastAsia" w:eastAsiaTheme="minorEastAsia"/>
                <w:lang w:eastAsia="zh-CN"/>
              </w:rPr>
              <w:t>非凝露</w:t>
            </w:r>
          </w:p>
          <w:p w14:paraId="4CDC11BC">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防雷：业务口共模</w:t>
            </w:r>
            <w:r>
              <w:rPr>
                <w:rFonts w:asciiTheme="minorEastAsia" w:hAnsiTheme="minorEastAsia" w:eastAsiaTheme="minorEastAsia"/>
                <w:lang w:eastAsia="zh-CN"/>
              </w:rPr>
              <w:t xml:space="preserve"> ±10kV</w:t>
            </w:r>
            <w:r>
              <w:rPr>
                <w:rFonts w:hint="eastAsia" w:asciiTheme="minorEastAsia" w:hAnsiTheme="minorEastAsia" w:eastAsiaTheme="minorEastAsia"/>
                <w:lang w:eastAsia="zh-CN"/>
              </w:rPr>
              <w:t>；电源口差模</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共模</w:t>
            </w:r>
            <w:r>
              <w:rPr>
                <w:rFonts w:asciiTheme="minorEastAsia" w:hAnsiTheme="minorEastAsia" w:eastAsiaTheme="minorEastAsia"/>
                <w:lang w:eastAsia="zh-CN"/>
              </w:rPr>
              <w:t xml:space="preserve"> ±6kV</w:t>
            </w:r>
          </w:p>
          <w:p w14:paraId="783CAFC9">
            <w:pPr>
              <w:widowControl w:val="0"/>
              <w:kinsoku/>
              <w:adjustRightInd/>
              <w:snapToGrid/>
              <w:textAlignment w:val="auto"/>
              <w:rPr>
                <w:rFonts w:hint="eastAsia"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、三层与功能特性</w:t>
            </w:r>
          </w:p>
          <w:p w14:paraId="14646149">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三层路由：</w:t>
            </w:r>
            <w:r>
              <w:rPr>
                <w:rFonts w:asciiTheme="minorEastAsia" w:hAnsiTheme="minorEastAsia" w:eastAsiaTheme="minorEastAsia"/>
                <w:lang w:eastAsia="zh-CN"/>
              </w:rPr>
              <w:t xml:space="preserve">IPv4/IPv6 </w:t>
            </w:r>
            <w:r>
              <w:rPr>
                <w:rFonts w:hint="eastAsia" w:asciiTheme="minorEastAsia" w:hAnsiTheme="minorEastAsia" w:eastAsiaTheme="minorEastAsia"/>
                <w:lang w:eastAsia="zh-CN"/>
              </w:rPr>
              <w:t>静态路由、</w:t>
            </w:r>
            <w:r>
              <w:rPr>
                <w:rFonts w:asciiTheme="minorEastAsia" w:hAnsiTheme="minorEastAsia" w:eastAsiaTheme="minorEastAsia"/>
                <w:lang w:eastAsia="zh-CN"/>
              </w:rPr>
              <w:t>RIP</w:t>
            </w:r>
            <w:r>
              <w:rPr>
                <w:rFonts w:hint="eastAsia" w:asciiTheme="minorEastAsia" w:hAnsiTheme="minorEastAsia" w:eastAsiaTheme="minorEastAsia"/>
                <w:lang w:eastAsia="zh-CN"/>
              </w:rPr>
              <w:t>、</w:t>
            </w:r>
            <w:r>
              <w:rPr>
                <w:rFonts w:asciiTheme="minorEastAsia" w:hAnsiTheme="minorEastAsia" w:eastAsiaTheme="minorEastAsia"/>
                <w:lang w:eastAsia="zh-CN"/>
              </w:rPr>
              <w:t>OSPF</w:t>
            </w:r>
            <w:r>
              <w:rPr>
                <w:rFonts w:hint="eastAsia" w:asciiTheme="minorEastAsia" w:hAnsiTheme="minorEastAsia" w:eastAsiaTheme="minorEastAsia"/>
                <w:lang w:eastAsia="zh-CN"/>
              </w:rPr>
              <w:t>、</w:t>
            </w:r>
            <w:r>
              <w:rPr>
                <w:rFonts w:asciiTheme="minorEastAsia" w:hAnsiTheme="minorEastAsia" w:eastAsiaTheme="minorEastAsia"/>
                <w:lang w:eastAsia="zh-CN"/>
              </w:rPr>
              <w:t>VRRP</w:t>
            </w:r>
            <w:r>
              <w:rPr>
                <w:rFonts w:hint="eastAsia" w:asciiTheme="minorEastAsia" w:hAnsiTheme="minorEastAsia" w:eastAsiaTheme="minorEastAsia"/>
                <w:lang w:eastAsia="zh-CN"/>
              </w:rPr>
              <w:t>、策略路由</w:t>
            </w:r>
          </w:p>
          <w:p w14:paraId="51F103AC">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交换特性：</w:t>
            </w:r>
          </w:p>
          <w:p w14:paraId="778BAAD4">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VLAN</w:t>
            </w:r>
            <w:r>
              <w:rPr>
                <w:rFonts w:hint="eastAsia" w:asciiTheme="minorEastAsia" w:hAnsiTheme="minorEastAsia" w:eastAsiaTheme="minorEastAsia"/>
              </w:rPr>
              <w:t>：</w:t>
            </w:r>
            <w:r>
              <w:rPr>
                <w:rFonts w:asciiTheme="minorEastAsia" w:hAnsiTheme="minorEastAsia" w:eastAsiaTheme="minorEastAsia"/>
              </w:rPr>
              <w:t>4K VLAN</w:t>
            </w:r>
            <w:r>
              <w:rPr>
                <w:rFonts w:hint="eastAsia" w:asciiTheme="minorEastAsia" w:hAnsiTheme="minorEastAsia" w:eastAsiaTheme="minorEastAsia"/>
              </w:rPr>
              <w:t>、</w:t>
            </w:r>
            <w:r>
              <w:rPr>
                <w:rFonts w:asciiTheme="minorEastAsia" w:hAnsiTheme="minorEastAsia" w:eastAsiaTheme="minorEastAsia"/>
              </w:rPr>
              <w:t>Access/Trunk/Hybrid</w:t>
            </w:r>
            <w:r>
              <w:rPr>
                <w:rFonts w:hint="eastAsia" w:asciiTheme="minorEastAsia" w:hAnsiTheme="minorEastAsia" w:eastAsiaTheme="minorEastAsia"/>
              </w:rPr>
              <w:t>、</w:t>
            </w:r>
            <w:r>
              <w:rPr>
                <w:rFonts w:asciiTheme="minorEastAsia" w:hAnsiTheme="minorEastAsia" w:eastAsiaTheme="minorEastAsia"/>
              </w:rPr>
              <w:t>QinQ</w:t>
            </w:r>
            <w:r>
              <w:rPr>
                <w:rFonts w:hint="eastAsia" w:asciiTheme="minorEastAsia" w:hAnsiTheme="minorEastAsia" w:eastAsiaTheme="minorEastAsia"/>
              </w:rPr>
              <w:t>、</w:t>
            </w:r>
            <w:r>
              <w:rPr>
                <w:rFonts w:asciiTheme="minorEastAsia" w:hAnsiTheme="minorEastAsia" w:eastAsiaTheme="minorEastAsia"/>
              </w:rPr>
              <w:t>Voice VLAN</w:t>
            </w:r>
          </w:p>
          <w:p w14:paraId="56EFC12A">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环网：</w:t>
            </w:r>
            <w:r>
              <w:rPr>
                <w:rFonts w:asciiTheme="minorEastAsia" w:hAnsiTheme="minorEastAsia" w:eastAsiaTheme="minorEastAsia"/>
              </w:rPr>
              <w:t>STP/RSTP/MSTP</w:t>
            </w:r>
            <w:r>
              <w:rPr>
                <w:rFonts w:hint="eastAsia" w:asciiTheme="minorEastAsia" w:hAnsiTheme="minorEastAsia" w:eastAsiaTheme="minorEastAsia"/>
              </w:rPr>
              <w:t>、</w:t>
            </w:r>
            <w:r>
              <w:rPr>
                <w:rFonts w:asciiTheme="minorEastAsia" w:hAnsiTheme="minorEastAsia" w:eastAsiaTheme="minorEastAsia"/>
              </w:rPr>
              <w:t>SEP</w:t>
            </w:r>
            <w:r>
              <w:rPr>
                <w:rFonts w:hint="eastAsia" w:asciiTheme="minorEastAsia" w:hAnsiTheme="minorEastAsia" w:eastAsiaTheme="minorEastAsia"/>
              </w:rPr>
              <w:t>（</w:t>
            </w:r>
            <w:r>
              <w:rPr>
                <w:rFonts w:asciiTheme="minorEastAsia" w:hAnsiTheme="minorEastAsia" w:eastAsiaTheme="minorEastAsia"/>
              </w:rPr>
              <w:t xml:space="preserve">50ms </w:t>
            </w:r>
            <w:r>
              <w:rPr>
                <w:rFonts w:hint="eastAsia" w:asciiTheme="minorEastAsia" w:hAnsiTheme="minorEastAsia" w:eastAsiaTheme="minorEastAsia"/>
              </w:rPr>
              <w:t>倒换）、</w:t>
            </w:r>
            <w:r>
              <w:rPr>
                <w:rFonts w:asciiTheme="minorEastAsia" w:hAnsiTheme="minorEastAsia" w:eastAsiaTheme="minorEastAsia"/>
              </w:rPr>
              <w:t>ERPS</w:t>
            </w:r>
          </w:p>
          <w:p w14:paraId="358B3C1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堆叠：支持</w:t>
            </w:r>
            <w:r>
              <w:rPr>
                <w:rFonts w:asciiTheme="minorEastAsia" w:hAnsiTheme="minorEastAsia" w:eastAsiaTheme="minorEastAsia"/>
                <w:lang w:eastAsia="zh-CN"/>
              </w:rPr>
              <w:t xml:space="preserve"> iStack </w:t>
            </w:r>
            <w:r>
              <w:rPr>
                <w:rFonts w:hint="eastAsia" w:asciiTheme="minorEastAsia" w:hAnsiTheme="minorEastAsia" w:eastAsiaTheme="minorEastAsia"/>
                <w:lang w:eastAsia="zh-CN"/>
              </w:rPr>
              <w:t>智能堆叠（多台虚拟为一台）</w:t>
            </w:r>
          </w:p>
          <w:p w14:paraId="7B48BC69">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安全：</w:t>
            </w:r>
            <w:r>
              <w:rPr>
                <w:rFonts w:asciiTheme="minorEastAsia" w:hAnsiTheme="minorEastAsia" w:eastAsiaTheme="minorEastAsia"/>
              </w:rPr>
              <w:t>802.1X</w:t>
            </w:r>
            <w:r>
              <w:rPr>
                <w:rFonts w:hint="eastAsia" w:asciiTheme="minorEastAsia" w:hAnsiTheme="minorEastAsia" w:eastAsiaTheme="minorEastAsia"/>
              </w:rPr>
              <w:t>、</w:t>
            </w:r>
            <w:r>
              <w:rPr>
                <w:rFonts w:asciiTheme="minorEastAsia" w:hAnsiTheme="minorEastAsia" w:eastAsiaTheme="minorEastAsia"/>
              </w:rPr>
              <w:t xml:space="preserve">MAC </w:t>
            </w:r>
            <w:r>
              <w:rPr>
                <w:rFonts w:hint="eastAsia" w:asciiTheme="minorEastAsia" w:hAnsiTheme="minorEastAsia" w:eastAsiaTheme="minorEastAsia"/>
              </w:rPr>
              <w:t>认证、</w:t>
            </w:r>
            <w:r>
              <w:rPr>
                <w:rFonts w:asciiTheme="minorEastAsia" w:hAnsiTheme="minorEastAsia" w:eastAsiaTheme="minorEastAsia"/>
              </w:rPr>
              <w:t>Portal</w:t>
            </w:r>
            <w:r>
              <w:rPr>
                <w:rFonts w:hint="eastAsia" w:asciiTheme="minorEastAsia" w:hAnsiTheme="minorEastAsia" w:eastAsiaTheme="minorEastAsia"/>
              </w:rPr>
              <w:t>、</w:t>
            </w:r>
            <w:r>
              <w:rPr>
                <w:rFonts w:asciiTheme="minorEastAsia" w:hAnsiTheme="minorEastAsia" w:eastAsiaTheme="minorEastAsia"/>
              </w:rPr>
              <w:t>ACL</w:t>
            </w:r>
            <w:r>
              <w:rPr>
                <w:rFonts w:hint="eastAsia" w:asciiTheme="minorEastAsia" w:hAnsiTheme="minorEastAsia" w:eastAsiaTheme="minorEastAsia"/>
              </w:rPr>
              <w:t>、端口安全、</w:t>
            </w:r>
            <w:r>
              <w:rPr>
                <w:rFonts w:asciiTheme="minorEastAsia" w:hAnsiTheme="minorEastAsia" w:eastAsiaTheme="minorEastAsia"/>
              </w:rPr>
              <w:t>DHCP Snooping</w:t>
            </w:r>
          </w:p>
          <w:p w14:paraId="155ACA7C">
            <w:pPr>
              <w:widowControl w:val="0"/>
              <w:kinsoku/>
              <w:adjustRightInd/>
              <w:snapToGrid/>
              <w:textAlignment w:val="auto"/>
              <w:rPr>
                <w:rFonts w:hint="eastAsia" w:asciiTheme="minorEastAsia" w:hAnsiTheme="minorEastAsia" w:eastAsiaTheme="minorEastAsia"/>
              </w:rPr>
            </w:pPr>
            <w:r>
              <w:rPr>
                <w:rFonts w:asciiTheme="minorEastAsia" w:hAnsiTheme="minorEastAsia" w:eastAsiaTheme="minorEastAsia"/>
              </w:rPr>
              <w:t>QoS</w:t>
            </w:r>
            <w:r>
              <w:rPr>
                <w:rFonts w:hint="eastAsia" w:asciiTheme="minorEastAsia" w:hAnsiTheme="minorEastAsia" w:eastAsiaTheme="minorEastAsia"/>
              </w:rPr>
              <w:t>：端口限速、队列调度（</w:t>
            </w:r>
            <w:r>
              <w:rPr>
                <w:rFonts w:asciiTheme="minorEastAsia" w:hAnsiTheme="minorEastAsia" w:eastAsiaTheme="minorEastAsia"/>
              </w:rPr>
              <w:t>SP/WRR/DRR</w:t>
            </w:r>
            <w:r>
              <w:rPr>
                <w:rFonts w:hint="eastAsia" w:asciiTheme="minorEastAsia" w:hAnsiTheme="minorEastAsia" w:eastAsiaTheme="minorEastAsia"/>
              </w:rPr>
              <w:t>）、流量整形、优先级映射</w:t>
            </w:r>
          </w:p>
          <w:p w14:paraId="36AE88E5">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管理：</w:t>
            </w:r>
            <w:r>
              <w:rPr>
                <w:rFonts w:asciiTheme="minorEastAsia" w:hAnsiTheme="minorEastAsia" w:eastAsiaTheme="minorEastAsia"/>
              </w:rPr>
              <w:t>Web</w:t>
            </w:r>
            <w:r>
              <w:rPr>
                <w:rFonts w:hint="eastAsia" w:asciiTheme="minorEastAsia" w:hAnsiTheme="minorEastAsia" w:eastAsiaTheme="minorEastAsia"/>
              </w:rPr>
              <w:t>、</w:t>
            </w:r>
            <w:r>
              <w:rPr>
                <w:rFonts w:asciiTheme="minorEastAsia" w:hAnsiTheme="minorEastAsia" w:eastAsiaTheme="minorEastAsia"/>
              </w:rPr>
              <w:t>CLI</w:t>
            </w:r>
            <w:r>
              <w:rPr>
                <w:rFonts w:hint="eastAsia" w:asciiTheme="minorEastAsia" w:hAnsiTheme="minorEastAsia" w:eastAsiaTheme="minorEastAsia"/>
              </w:rPr>
              <w:t>、</w:t>
            </w:r>
            <w:r>
              <w:rPr>
                <w:rFonts w:asciiTheme="minorEastAsia" w:hAnsiTheme="minorEastAsia" w:eastAsiaTheme="minorEastAsia"/>
              </w:rPr>
              <w:t>SNMP v1/v2c/v3</w:t>
            </w:r>
            <w:r>
              <w:rPr>
                <w:rFonts w:hint="eastAsia" w:asciiTheme="minorEastAsia" w:hAnsiTheme="minorEastAsia" w:eastAsiaTheme="minorEastAsia"/>
              </w:rPr>
              <w:t>、</w:t>
            </w:r>
            <w:r>
              <w:rPr>
                <w:rFonts w:asciiTheme="minorEastAsia" w:hAnsiTheme="minorEastAsia" w:eastAsiaTheme="minorEastAsia"/>
              </w:rPr>
              <w:t>Telnet/SSH2.0</w:t>
            </w:r>
            <w:r>
              <w:rPr>
                <w:rFonts w:hint="eastAsia" w:asciiTheme="minorEastAsia" w:hAnsiTheme="minorEastAsia" w:eastAsiaTheme="minorEastAsia"/>
              </w:rPr>
              <w:t>、</w:t>
            </w:r>
            <w:r>
              <w:rPr>
                <w:rFonts w:asciiTheme="minorEastAsia" w:hAnsiTheme="minorEastAsia" w:eastAsiaTheme="minorEastAsia"/>
              </w:rPr>
              <w:t>iMaster NCE-Campus</w:t>
            </w:r>
            <w:r>
              <w:rPr>
                <w:rFonts w:hint="eastAsia" w:asciiTheme="minorEastAsia" w:hAnsiTheme="minorEastAsia" w:eastAsiaTheme="minorEastAsia"/>
              </w:rPr>
              <w:t>、</w:t>
            </w:r>
            <w:r>
              <w:rPr>
                <w:rFonts w:asciiTheme="minorEastAsia" w:hAnsiTheme="minorEastAsia" w:eastAsiaTheme="minorEastAsia"/>
              </w:rPr>
              <w:t>TR069</w:t>
            </w:r>
          </w:p>
        </w:tc>
        <w:tc>
          <w:tcPr>
            <w:tcW w:w="263" w:type="pct"/>
            <w:vAlign w:val="center"/>
          </w:tcPr>
          <w:p w14:paraId="08F3BD4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3</w:t>
            </w:r>
          </w:p>
        </w:tc>
        <w:tc>
          <w:tcPr>
            <w:tcW w:w="314" w:type="pct"/>
            <w:vAlign w:val="center"/>
          </w:tcPr>
          <w:p w14:paraId="2E50311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台</w:t>
            </w:r>
          </w:p>
        </w:tc>
      </w:tr>
      <w:tr w14:paraId="744E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3B2ADD95">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4</w:t>
            </w:r>
          </w:p>
        </w:tc>
        <w:tc>
          <w:tcPr>
            <w:tcW w:w="458" w:type="pct"/>
            <w:vAlign w:val="center"/>
          </w:tcPr>
          <w:p w14:paraId="7BFB1C0B">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机柜</w:t>
            </w:r>
          </w:p>
        </w:tc>
        <w:tc>
          <w:tcPr>
            <w:tcW w:w="3748" w:type="pct"/>
            <w:tcBorders>
              <w:top w:val="single" w:color="auto" w:sz="4" w:space="0"/>
              <w:left w:val="single" w:color="auto" w:sz="4" w:space="0"/>
              <w:bottom w:val="single" w:color="auto" w:sz="4" w:space="0"/>
              <w:right w:val="single" w:color="auto" w:sz="4" w:space="0"/>
            </w:tcBorders>
            <w:noWrap/>
            <w:vAlign w:val="center"/>
          </w:tcPr>
          <w:p w14:paraId="61707F1F">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1、承重：</w:t>
            </w:r>
          </w:p>
          <w:p w14:paraId="6BD577B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网络机柜（600 深）：静态承重 500–800 kg</w:t>
            </w:r>
          </w:p>
          <w:p w14:paraId="2F93554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服务器机柜（800–1000 深）：静态承重 800–1000 kg；动态（移动）承重减半</w:t>
            </w:r>
          </w:p>
          <w:p w14:paraId="234F37C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2、材质：SPCC 优质冷轧钢板；方孔条 / 立柱 1.8–2.0 mm，框架 1.2–1.5 mm，门板 1.0–1.2 mm；表面脱脂、磷化、静电喷塑；防护等级 IP20（常规）/ IP23（防尘防潮）</w:t>
            </w:r>
          </w:p>
          <w:p w14:paraId="1FC0811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3、配件：前后网孔门 / 玻璃门、承重托盘、风扇（顶部 / 底部）、PDU 电源排插、方螺母螺丝、脚轮 + 调平地脚、并柜件</w:t>
            </w:r>
          </w:p>
          <w:p w14:paraId="7DC77C7C">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4、电气与环境参数</w:t>
            </w:r>
          </w:p>
          <w:p w14:paraId="541D0167">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电源：标配 PDU 1–2 路；输入 AC 100–240 V，50/60 Hz；可选防雷模块</w:t>
            </w:r>
          </w:p>
          <w:p w14:paraId="2D678EC8">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工作温度：0–40</w:t>
            </w:r>
            <w:r>
              <w:rPr>
                <w:rFonts w:cs="Cambria Math" w:asciiTheme="minorEastAsia" w:hAnsiTheme="minorEastAsia" w:eastAsiaTheme="minorEastAsia"/>
                <w:lang w:eastAsia="zh-CN"/>
              </w:rPr>
              <w:t>℃</w:t>
            </w:r>
            <w:r>
              <w:rPr>
                <w:rFonts w:hint="eastAsia" w:asciiTheme="minorEastAsia" w:hAnsiTheme="minorEastAsia" w:eastAsiaTheme="minorEastAsia"/>
                <w:lang w:eastAsia="zh-CN"/>
              </w:rPr>
              <w:t>（网络）/ 0–45</w:t>
            </w:r>
            <w:r>
              <w:rPr>
                <w:rFonts w:cs="Cambria Math" w:asciiTheme="minorEastAsia" w:hAnsiTheme="minorEastAsia" w:eastAsiaTheme="minorEastAsia"/>
                <w:lang w:eastAsia="zh-CN"/>
              </w:rPr>
              <w:t>℃</w:t>
            </w:r>
            <w:r>
              <w:rPr>
                <w:rFonts w:hint="eastAsia" w:asciiTheme="minorEastAsia" w:hAnsiTheme="minorEastAsia" w:eastAsiaTheme="minorEastAsia"/>
                <w:lang w:eastAsia="zh-CN"/>
              </w:rPr>
              <w:t>（服务器）；湿度 5%–95% 非凝露</w:t>
            </w:r>
          </w:p>
          <w:p w14:paraId="69E22C1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散热：顶部风扇（2–4 个轴流风机）+ 底部进风；前后网孔门保证气流；可选智能温控</w:t>
            </w:r>
          </w:p>
        </w:tc>
        <w:tc>
          <w:tcPr>
            <w:tcW w:w="263" w:type="pct"/>
            <w:vAlign w:val="center"/>
          </w:tcPr>
          <w:p w14:paraId="6364B3B5">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1</w:t>
            </w:r>
          </w:p>
        </w:tc>
        <w:tc>
          <w:tcPr>
            <w:tcW w:w="314" w:type="pct"/>
            <w:vAlign w:val="center"/>
          </w:tcPr>
          <w:p w14:paraId="5829BFB5">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台</w:t>
            </w:r>
          </w:p>
        </w:tc>
      </w:tr>
      <w:tr w14:paraId="4CD9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59A6B133">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5</w:t>
            </w:r>
          </w:p>
        </w:tc>
        <w:tc>
          <w:tcPr>
            <w:tcW w:w="458" w:type="pct"/>
            <w:vAlign w:val="center"/>
          </w:tcPr>
          <w:p w14:paraId="638906A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学生桌</w:t>
            </w:r>
          </w:p>
        </w:tc>
        <w:tc>
          <w:tcPr>
            <w:tcW w:w="3748" w:type="pct"/>
            <w:tcBorders>
              <w:top w:val="single" w:color="auto" w:sz="4" w:space="0"/>
              <w:left w:val="single" w:color="auto" w:sz="4" w:space="0"/>
              <w:bottom w:val="single" w:color="auto" w:sz="4" w:space="0"/>
              <w:right w:val="single" w:color="auto" w:sz="4" w:space="0"/>
            </w:tcBorders>
            <w:noWrap/>
            <w:vAlign w:val="center"/>
          </w:tcPr>
          <w:p w14:paraId="23157C93">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1、基础参数</w:t>
            </w:r>
          </w:p>
          <w:p w14:paraId="2EA9E3C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标准桌面高度：750mm（符合国标 GB 28009，人体工学坐姿）；部分厂商 740/760mm</w:t>
            </w:r>
          </w:p>
          <w:p w14:paraId="2907E699">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桌面深度：常规 600mm（可放 24 英寸显示器 + 键盘），宽型 650/700mm桌下净空：</w:t>
            </w:r>
            <w:r>
              <w:rPr>
                <w:rFonts w:asciiTheme="minorEastAsia" w:hAnsiTheme="minorEastAsia" w:eastAsiaTheme="minorEastAsia"/>
                <w:lang w:eastAsia="zh-CN"/>
              </w:rPr>
              <w:t>≥</w:t>
            </w:r>
            <w:r>
              <w:rPr>
                <w:rFonts w:hint="eastAsia" w:asciiTheme="minorEastAsia" w:hAnsiTheme="minorEastAsia" w:eastAsiaTheme="minorEastAsia"/>
                <w:lang w:eastAsia="zh-CN"/>
              </w:rPr>
              <w:t>580mm（腿伸展）；主机位宽度</w:t>
            </w:r>
            <w:r>
              <w:rPr>
                <w:rFonts w:asciiTheme="minorEastAsia" w:hAnsiTheme="minorEastAsia" w:eastAsiaTheme="minorEastAsia"/>
                <w:lang w:eastAsia="zh-CN"/>
              </w:rPr>
              <w:t>≥</w:t>
            </w:r>
            <w:r>
              <w:rPr>
                <w:rFonts w:hint="eastAsia" w:asciiTheme="minorEastAsia" w:hAnsiTheme="minorEastAsia" w:eastAsiaTheme="minorEastAsia"/>
                <w:lang w:eastAsia="zh-CN"/>
              </w:rPr>
              <w:t>180mm；走线槽</w:t>
            </w:r>
            <w:r>
              <w:rPr>
                <w:rFonts w:asciiTheme="minorEastAsia" w:hAnsiTheme="minorEastAsia" w:eastAsiaTheme="minorEastAsia"/>
                <w:lang w:eastAsia="zh-CN"/>
              </w:rPr>
              <w:t>≥</w:t>
            </w:r>
            <w:r>
              <w:rPr>
                <w:rFonts w:hint="eastAsia" w:asciiTheme="minorEastAsia" w:hAnsiTheme="minorEastAsia" w:eastAsiaTheme="minorEastAsia"/>
                <w:lang w:eastAsia="zh-CN"/>
              </w:rPr>
              <w:t>50×30mm二、材质与结构参数桌面：防火板 / 三聚氰胺高压饰面板（18mm 厚）、抗刮耐磨；钢木款为冷轧钢板 + 防火面；可选防静电桌面（表面电阻 10</w:t>
            </w:r>
            <w:r>
              <w:rPr>
                <w:rFonts w:ascii="Cambria Math" w:hAnsi="Cambria Math" w:cs="Cambria Math" w:eastAsiaTheme="minorEastAsia"/>
                <w:lang w:eastAsia="zh-CN"/>
              </w:rPr>
              <w:t>⁶</w:t>
            </w:r>
            <w:r>
              <w:rPr>
                <w:rFonts w:hint="eastAsia" w:asciiTheme="minorEastAsia" w:hAnsiTheme="minorEastAsia" w:eastAsiaTheme="minorEastAsia"/>
                <w:lang w:eastAsia="zh-CN"/>
              </w:rPr>
              <w:t>–10</w:t>
            </w:r>
            <w:r>
              <w:rPr>
                <w:rFonts w:cs="Calibri" w:asciiTheme="minorEastAsia" w:hAnsiTheme="minorEastAsia" w:eastAsiaTheme="minorEastAsia"/>
                <w:lang w:eastAsia="zh-CN"/>
              </w:rPr>
              <w:t>¹</w:t>
            </w:r>
            <w:r>
              <w:rPr>
                <w:rFonts w:ascii="Cambria Math" w:hAnsi="Cambria Math" w:cs="Cambria Math" w:eastAsiaTheme="minorEastAsia"/>
                <w:lang w:eastAsia="zh-CN"/>
              </w:rPr>
              <w:t>⁰</w:t>
            </w:r>
            <w:r>
              <w:rPr>
                <w:rFonts w:hint="eastAsia" w:asciiTheme="minorEastAsia" w:hAnsiTheme="minorEastAsia" w:eastAsiaTheme="minorEastAsia"/>
              </w:rPr>
              <w:t>Ω</w:t>
            </w:r>
            <w:r>
              <w:rPr>
                <w:rFonts w:hint="eastAsia" w:asciiTheme="minorEastAsia" w:hAnsiTheme="minorEastAsia" w:eastAsiaTheme="minorEastAsia"/>
                <w:lang w:eastAsia="zh-CN"/>
              </w:rPr>
              <w:t>，机房推荐）钢架：40×40/50×25mm 方管，壁厚 1.2–1.5mm；焊接 / 螺丝连接，底部可调脚垫（</w:t>
            </w:r>
            <w:r>
              <w:rPr>
                <w:rFonts w:asciiTheme="minorEastAsia" w:hAnsiTheme="minorEastAsia" w:eastAsiaTheme="minorEastAsia"/>
                <w:lang w:eastAsia="zh-CN"/>
              </w:rPr>
              <w:t>±</w:t>
            </w:r>
            <w:r>
              <w:rPr>
                <w:rFonts w:hint="eastAsia" w:asciiTheme="minorEastAsia" w:hAnsiTheme="minorEastAsia" w:eastAsiaTheme="minorEastAsia"/>
                <w:lang w:eastAsia="zh-CN"/>
              </w:rPr>
              <w:t>5mm 找平）；承重</w:t>
            </w:r>
            <w:r>
              <w:rPr>
                <w:rFonts w:asciiTheme="minorEastAsia" w:hAnsiTheme="minorEastAsia" w:eastAsiaTheme="minorEastAsia"/>
                <w:lang w:eastAsia="zh-CN"/>
              </w:rPr>
              <w:t>≥</w:t>
            </w:r>
            <w:r>
              <w:rPr>
                <w:rFonts w:hint="eastAsia" w:asciiTheme="minorEastAsia" w:hAnsiTheme="minorEastAsia" w:eastAsiaTheme="minorEastAsia"/>
                <w:lang w:eastAsia="zh-CN"/>
              </w:rPr>
              <w:t>100kg / 桌，单点承重</w:t>
            </w:r>
            <w:r>
              <w:rPr>
                <w:rFonts w:asciiTheme="minorEastAsia" w:hAnsiTheme="minorEastAsia" w:eastAsiaTheme="minorEastAsia"/>
                <w:lang w:eastAsia="zh-CN"/>
              </w:rPr>
              <w:t>≥</w:t>
            </w:r>
            <w:r>
              <w:rPr>
                <w:rFonts w:hint="eastAsia" w:asciiTheme="minorEastAsia" w:hAnsiTheme="minorEastAsia" w:eastAsiaTheme="minorEastAsia"/>
                <w:lang w:eastAsia="zh-CN"/>
              </w:rPr>
              <w:t>30kg</w:t>
            </w:r>
          </w:p>
          <w:p w14:paraId="344C3F3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重量：常规 1600×600 款，钢木约 35kg，全钢约 45kg</w:t>
            </w:r>
          </w:p>
          <w:p w14:paraId="1ABF9A2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颜色：浅灰、蓝色、米白，避免反光刺眼</w:t>
            </w:r>
          </w:p>
          <w:p w14:paraId="60193DF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三、功能与电气配置</w:t>
            </w:r>
          </w:p>
          <w:p w14:paraId="493EF40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线缆管理：桌面走线孔（</w:t>
            </w:r>
            <w:r>
              <w:rPr>
                <w:rFonts w:asciiTheme="minorEastAsia" w:hAnsiTheme="minorEastAsia" w:eastAsiaTheme="minorEastAsia"/>
              </w:rPr>
              <w:t>Φ</w:t>
            </w:r>
            <w:r>
              <w:rPr>
                <w:rFonts w:hint="eastAsia" w:asciiTheme="minorEastAsia" w:hAnsiTheme="minorEastAsia" w:eastAsiaTheme="minorEastAsia"/>
                <w:lang w:eastAsia="zh-CN"/>
              </w:rPr>
              <w:t>50–60mm）、桌下理线槽、隐藏式插座盒</w:t>
            </w:r>
          </w:p>
          <w:p w14:paraId="7C1E65DB">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电气：每工位 1 个三孔 + 1 个两孔 + 1 个网络口（RJ45）；总控开关 / 过载保护；线缆接地</w:t>
            </w:r>
          </w:p>
          <w:p w14:paraId="7E1EF8F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环境：工作温度 0–40</w:t>
            </w:r>
            <w:r>
              <w:rPr>
                <w:rFonts w:cs="Cambria Math" w:asciiTheme="minorEastAsia" w:hAnsiTheme="minorEastAsia" w:eastAsiaTheme="minorEastAsia"/>
                <w:lang w:eastAsia="zh-CN"/>
              </w:rPr>
              <w:t>℃</w:t>
            </w:r>
          </w:p>
          <w:p w14:paraId="1ED11CA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四、安装与安全参数</w:t>
            </w:r>
          </w:p>
          <w:p w14:paraId="622A689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安装：标准平放，地面水平误差</w:t>
            </w:r>
            <w:r>
              <w:rPr>
                <w:rFonts w:asciiTheme="minorEastAsia" w:hAnsiTheme="minorEastAsia" w:eastAsiaTheme="minorEastAsia"/>
                <w:lang w:eastAsia="zh-CN"/>
              </w:rPr>
              <w:t>≤</w:t>
            </w:r>
            <w:r>
              <w:rPr>
                <w:rFonts w:hint="eastAsia" w:asciiTheme="minorEastAsia" w:hAnsiTheme="minorEastAsia" w:eastAsiaTheme="minorEastAsia"/>
                <w:lang w:eastAsia="zh-CN"/>
              </w:rPr>
              <w:t>2‰；固定款可地面膨胀螺丝固定</w:t>
            </w:r>
          </w:p>
          <w:p w14:paraId="2D875C1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防雷 / 接地：金属框架接地，接地电阻＜4</w:t>
            </w:r>
            <w:r>
              <w:rPr>
                <w:rFonts w:hint="eastAsia" w:asciiTheme="minorEastAsia" w:hAnsiTheme="minorEastAsia" w:eastAsiaTheme="minorEastAsia"/>
              </w:rPr>
              <w:t>Ω</w:t>
            </w:r>
          </w:p>
          <w:p w14:paraId="063AFB8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稳定性：前后 / 左右倾翻角</w:t>
            </w:r>
            <w:r>
              <w:rPr>
                <w:rFonts w:asciiTheme="minorEastAsia" w:hAnsiTheme="minorEastAsia" w:eastAsiaTheme="minorEastAsia"/>
                <w:lang w:eastAsia="zh-CN"/>
              </w:rPr>
              <w:t>≥</w:t>
            </w:r>
            <w:r>
              <w:rPr>
                <w:rFonts w:hint="eastAsia" w:asciiTheme="minorEastAsia" w:hAnsiTheme="minorEastAsia" w:eastAsiaTheme="minorEastAsia"/>
                <w:lang w:eastAsia="zh-CN"/>
              </w:rPr>
              <w:t>10°，无晃动</w:t>
            </w:r>
          </w:p>
        </w:tc>
        <w:tc>
          <w:tcPr>
            <w:tcW w:w="263" w:type="pct"/>
            <w:vAlign w:val="center"/>
          </w:tcPr>
          <w:p w14:paraId="44CCA9DF">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25</w:t>
            </w:r>
          </w:p>
        </w:tc>
        <w:tc>
          <w:tcPr>
            <w:tcW w:w="314" w:type="pct"/>
            <w:vAlign w:val="center"/>
          </w:tcPr>
          <w:p w14:paraId="0540233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张</w:t>
            </w:r>
          </w:p>
        </w:tc>
      </w:tr>
      <w:tr w14:paraId="6557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66C7D59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6</w:t>
            </w:r>
          </w:p>
        </w:tc>
        <w:tc>
          <w:tcPr>
            <w:tcW w:w="458" w:type="pct"/>
            <w:vAlign w:val="center"/>
          </w:tcPr>
          <w:p w14:paraId="2169716B">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学生座椅</w:t>
            </w:r>
          </w:p>
        </w:tc>
        <w:tc>
          <w:tcPr>
            <w:tcW w:w="3748" w:type="pct"/>
            <w:tcBorders>
              <w:top w:val="single" w:color="auto" w:sz="4" w:space="0"/>
              <w:left w:val="single" w:color="auto" w:sz="4" w:space="0"/>
              <w:bottom w:val="single" w:color="auto" w:sz="4" w:space="0"/>
              <w:right w:val="single" w:color="auto" w:sz="4" w:space="0"/>
            </w:tcBorders>
            <w:noWrap/>
            <w:vAlign w:val="center"/>
          </w:tcPr>
          <w:p w14:paraId="5C4BCF6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 尺寸</w:t>
            </w:r>
          </w:p>
          <w:p w14:paraId="507B1E6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凳面尺寸：340mm × 340mm（常规）</w:t>
            </w:r>
          </w:p>
          <w:p w14:paraId="29428AF0">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凳面高度：450mm</w:t>
            </w:r>
          </w:p>
          <w:p w14:paraId="4A87AED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整体高度：450mm ± 5mm</w:t>
            </w:r>
          </w:p>
          <w:p w14:paraId="2958E26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2. 结构</w:t>
            </w:r>
          </w:p>
          <w:p w14:paraId="15B20BE7">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四脚方管支架，加固横撑，整体焊接或螺丝紧固</w:t>
            </w:r>
          </w:p>
          <w:p w14:paraId="4B6312E4">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底部带防滑脚垫 / 橡胶套，防刮地面、静音</w:t>
            </w:r>
          </w:p>
          <w:p w14:paraId="5D90C164">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可堆叠设计，方便收纳</w:t>
            </w:r>
          </w:p>
          <w:p w14:paraId="5CA6CAB3">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3. 材质</w:t>
            </w:r>
          </w:p>
          <w:p w14:paraId="0558FB0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凳面：18mm 高密度板 / 防火板，贴面耐磨</w:t>
            </w:r>
          </w:p>
          <w:p w14:paraId="0042BDE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凳腿：20×20mm 或 25×25mm 方钢管，壁厚 ≥1.0mm</w:t>
            </w:r>
          </w:p>
          <w:p w14:paraId="45CAA753">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表面静电喷塑，防锈、耐刮</w:t>
            </w:r>
          </w:p>
          <w:p w14:paraId="3DC317A7">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4. 承重与耐用</w:t>
            </w:r>
          </w:p>
          <w:p w14:paraId="66D9CB3E">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静态承重：</w:t>
            </w:r>
            <w:r>
              <w:rPr>
                <w:rFonts w:asciiTheme="minorEastAsia" w:hAnsiTheme="minorEastAsia" w:eastAsiaTheme="minorEastAsia"/>
                <w:lang w:eastAsia="zh-CN"/>
              </w:rPr>
              <w:t>≥</w:t>
            </w:r>
            <w:r>
              <w:rPr>
                <w:rFonts w:hint="eastAsia" w:asciiTheme="minorEastAsia" w:hAnsiTheme="minorEastAsia" w:eastAsiaTheme="minorEastAsia"/>
                <w:lang w:eastAsia="zh-CN"/>
              </w:rPr>
              <w:t>100kg</w:t>
            </w:r>
          </w:p>
          <w:p w14:paraId="480AA379">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无松动、无异响，稳定性好</w:t>
            </w:r>
          </w:p>
          <w:p w14:paraId="76805217">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圆角处理，安全不划手</w:t>
            </w:r>
          </w:p>
        </w:tc>
        <w:tc>
          <w:tcPr>
            <w:tcW w:w="263" w:type="pct"/>
            <w:vAlign w:val="center"/>
          </w:tcPr>
          <w:p w14:paraId="68262CF4">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50</w:t>
            </w:r>
          </w:p>
        </w:tc>
        <w:tc>
          <w:tcPr>
            <w:tcW w:w="314" w:type="pct"/>
            <w:vAlign w:val="center"/>
          </w:tcPr>
          <w:p w14:paraId="4C1E026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把</w:t>
            </w:r>
          </w:p>
        </w:tc>
      </w:tr>
      <w:tr w14:paraId="52A6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6E103D8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7</w:t>
            </w:r>
          </w:p>
        </w:tc>
        <w:tc>
          <w:tcPr>
            <w:tcW w:w="458" w:type="pct"/>
            <w:vAlign w:val="center"/>
          </w:tcPr>
          <w:p w14:paraId="6C3E11DB">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教师桌椅</w:t>
            </w:r>
          </w:p>
        </w:tc>
        <w:tc>
          <w:tcPr>
            <w:tcW w:w="3748" w:type="pct"/>
            <w:tcBorders>
              <w:top w:val="single" w:color="auto" w:sz="4" w:space="0"/>
              <w:left w:val="single" w:color="auto" w:sz="4" w:space="0"/>
              <w:bottom w:val="single" w:color="auto" w:sz="4" w:space="0"/>
              <w:right w:val="single" w:color="auto" w:sz="4" w:space="0"/>
            </w:tcBorders>
            <w:noWrap/>
            <w:vAlign w:val="center"/>
          </w:tcPr>
          <w:p w14:paraId="1C936B3C">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1. 外形尺寸</w:t>
            </w:r>
          </w:p>
          <w:p w14:paraId="34330F38">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整体尺寸：长 1200mm × 宽 650mm × 高 900mm</w:t>
            </w:r>
          </w:p>
          <w:p w14:paraId="38297C6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桌面高度：900mm</w:t>
            </w:r>
          </w:p>
          <w:p w14:paraId="0B11A9F6">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桌面厚度：25mm 高密度防火板 / 三聚氰胺板</w:t>
            </w:r>
          </w:p>
          <w:p w14:paraId="3274AD0E">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讲台侧板 / 后板：16–18mm 环保板材</w:t>
            </w:r>
          </w:p>
          <w:p w14:paraId="3FD93F58">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2. 结构与功能布局</w:t>
            </w:r>
          </w:p>
          <w:p w14:paraId="3E0C6159">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整体为钢木结构：金属框架 + 木质台面，桌面左侧 / 右侧预留教师主机位</w:t>
            </w:r>
          </w:p>
          <w:p w14:paraId="4306000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桌面带显示器凹槽（适配 22–27 寸显示器），内置键盘抽屉（可推拉，带滑轨），带鼠标位、话筒位、中控 / 交换机放置区，后侧 / 下方带理线舱，强电弱电分开走线，讲台侧面 / 后侧带可开门，方便维护设备。</w:t>
            </w:r>
          </w:p>
          <w:p w14:paraId="12372BA5">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3. 材质要求</w:t>
            </w:r>
          </w:p>
          <w:p w14:paraId="6C5E1CBF">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桌面：防火板 / 抗倍特板，耐磨、抗刮、阻燃</w:t>
            </w:r>
          </w:p>
          <w:p w14:paraId="50CBEE7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框架：40×20mm 方钢，壁厚</w:t>
            </w:r>
            <w:r>
              <w:rPr>
                <w:rFonts w:asciiTheme="minorEastAsia" w:hAnsiTheme="minorEastAsia" w:eastAsiaTheme="minorEastAsia"/>
                <w:lang w:eastAsia="zh-CN"/>
              </w:rPr>
              <w:t>≥</w:t>
            </w:r>
            <w:r>
              <w:rPr>
                <w:rFonts w:hint="eastAsia" w:asciiTheme="minorEastAsia" w:hAnsiTheme="minorEastAsia" w:eastAsiaTheme="minorEastAsia"/>
                <w:lang w:eastAsia="zh-CN"/>
              </w:rPr>
              <w:t>1.2mm，静电喷塑</w:t>
            </w:r>
          </w:p>
          <w:p w14:paraId="2EE3B07C">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板材环保等级：E1 级 / E0 级，甲醛达标</w:t>
            </w:r>
          </w:p>
          <w:p w14:paraId="4D577D79">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表面：哑光、不反光，适合机房投影环境</w:t>
            </w:r>
          </w:p>
          <w:p w14:paraId="59EF10A2">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4. 接口与布线</w:t>
            </w:r>
          </w:p>
          <w:p w14:paraId="1912C501">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桌面配置多功能线盒 / 多媒体插座：</w:t>
            </w:r>
          </w:p>
          <w:p w14:paraId="0212807D">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电源插座 220V × 4–6 位</w:t>
            </w:r>
          </w:p>
          <w:p w14:paraId="69EAEF50">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网络 RJ45 口 × 2</w:t>
            </w:r>
          </w:p>
          <w:p w14:paraId="543E6E1B">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USB 接口 × 2</w:t>
            </w:r>
          </w:p>
        </w:tc>
        <w:tc>
          <w:tcPr>
            <w:tcW w:w="263" w:type="pct"/>
            <w:vAlign w:val="center"/>
          </w:tcPr>
          <w:p w14:paraId="0BF08DB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1</w:t>
            </w:r>
          </w:p>
        </w:tc>
        <w:tc>
          <w:tcPr>
            <w:tcW w:w="314" w:type="pct"/>
            <w:vAlign w:val="center"/>
          </w:tcPr>
          <w:p w14:paraId="5BD62529">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套</w:t>
            </w:r>
          </w:p>
        </w:tc>
      </w:tr>
      <w:tr w14:paraId="6C8C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7DC3DF5D">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8</w:t>
            </w:r>
          </w:p>
        </w:tc>
        <w:tc>
          <w:tcPr>
            <w:tcW w:w="458" w:type="pct"/>
            <w:vAlign w:val="center"/>
          </w:tcPr>
          <w:p w14:paraId="63A2195A">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空调</w:t>
            </w:r>
          </w:p>
        </w:tc>
        <w:tc>
          <w:tcPr>
            <w:tcW w:w="3748" w:type="pct"/>
            <w:tcBorders>
              <w:top w:val="single" w:color="auto" w:sz="4" w:space="0"/>
              <w:left w:val="single" w:color="auto" w:sz="4" w:space="0"/>
              <w:bottom w:val="single" w:color="auto" w:sz="4" w:space="0"/>
              <w:right w:val="single" w:color="auto" w:sz="4" w:space="0"/>
            </w:tcBorders>
            <w:noWrap/>
            <w:vAlign w:val="center"/>
          </w:tcPr>
          <w:p w14:paraId="2553128E">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hint="eastAsia" w:asciiTheme="minorEastAsia" w:hAnsiTheme="minorEastAsia" w:eastAsiaTheme="minorEastAsia"/>
                <w:sz w:val="21"/>
                <w:szCs w:val="21"/>
                <w:lang w:eastAsia="zh-CN" w:bidi="en-US"/>
              </w:rPr>
              <w:t>1、</w:t>
            </w:r>
            <w:r>
              <w:rPr>
                <w:rFonts w:asciiTheme="minorEastAsia" w:hAnsiTheme="minorEastAsia" w:eastAsiaTheme="minorEastAsia"/>
                <w:sz w:val="21"/>
                <w:szCs w:val="21"/>
                <w:lang w:eastAsia="zh-CN" w:bidi="en-US"/>
              </w:rPr>
              <w:t>核心性能</w:t>
            </w:r>
          </w:p>
          <w:p w14:paraId="5454EABA">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基础：大 3 匹，变频冷暖，2019 版新一级能效；APF 4.70；制冷剂 R32（充注量 1120g，A2L 可燃，安装需专业操作）；制冷适用 32~48㎡，制热 36~49㎡；循环风量 1550 m</w:t>
            </w:r>
            <w:r>
              <w:rPr>
                <w:rFonts w:cs="Calibri" w:asciiTheme="minorEastAsia" w:hAnsiTheme="minorEastAsia" w:eastAsiaTheme="minorEastAsia"/>
                <w:sz w:val="21"/>
                <w:szCs w:val="21"/>
                <w:lang w:eastAsia="zh-CN" w:bidi="en-US"/>
              </w:rPr>
              <w:t>³</w:t>
            </w:r>
            <w:r>
              <w:rPr>
                <w:rFonts w:asciiTheme="minorEastAsia" w:hAnsiTheme="minorEastAsia" w:eastAsiaTheme="minorEastAsia"/>
                <w:sz w:val="21"/>
                <w:szCs w:val="21"/>
                <w:lang w:eastAsia="zh-CN" w:bidi="en-US"/>
              </w:rPr>
              <w:t>/h；电源 220V/50Hz</w:t>
            </w:r>
          </w:p>
          <w:p w14:paraId="71FB1690">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hint="eastAsia" w:asciiTheme="minorEastAsia" w:hAnsiTheme="minorEastAsia" w:eastAsiaTheme="minorEastAsia"/>
                <w:sz w:val="21"/>
                <w:szCs w:val="21"/>
                <w:lang w:eastAsia="zh-CN" w:bidi="en-US"/>
              </w:rPr>
              <w:t>2、</w:t>
            </w:r>
            <w:r>
              <w:rPr>
                <w:rFonts w:asciiTheme="minorEastAsia" w:hAnsiTheme="minorEastAsia" w:eastAsiaTheme="minorEastAsia"/>
                <w:sz w:val="21"/>
                <w:szCs w:val="21"/>
                <w:lang w:eastAsia="zh-CN" w:bidi="en-US"/>
              </w:rPr>
              <w:t>能力与功率</w:t>
            </w:r>
          </w:p>
          <w:p w14:paraId="6241201E">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额定制冷量：</w:t>
            </w:r>
            <w:r>
              <w:rPr>
                <w:rFonts w:hint="eastAsia" w:asciiTheme="minorEastAsia" w:hAnsiTheme="minorEastAsia" w:eastAsiaTheme="minorEastAsia"/>
                <w:sz w:val="21"/>
                <w:szCs w:val="21"/>
                <w:lang w:eastAsia="zh-CN" w:bidi="en-US"/>
              </w:rPr>
              <w:t>≥</w:t>
            </w:r>
            <w:r>
              <w:rPr>
                <w:rFonts w:asciiTheme="minorEastAsia" w:hAnsiTheme="minorEastAsia" w:eastAsiaTheme="minorEastAsia"/>
                <w:sz w:val="21"/>
                <w:szCs w:val="21"/>
                <w:lang w:eastAsia="zh-CN" w:bidi="en-US"/>
              </w:rPr>
              <w:t>7330 W（900~9230 W 宽幅）；额定制冷功率：1945 W（300~3250 W）</w:t>
            </w:r>
          </w:p>
          <w:p w14:paraId="5CA079EB">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额定制热量：</w:t>
            </w:r>
            <w:r>
              <w:rPr>
                <w:rFonts w:hint="eastAsia" w:asciiTheme="minorEastAsia" w:hAnsiTheme="minorEastAsia" w:eastAsiaTheme="minorEastAsia"/>
                <w:sz w:val="21"/>
                <w:szCs w:val="21"/>
                <w:lang w:eastAsia="zh-CN" w:bidi="en-US"/>
              </w:rPr>
              <w:t>≥</w:t>
            </w:r>
            <w:r>
              <w:rPr>
                <w:rFonts w:asciiTheme="minorEastAsia" w:hAnsiTheme="minorEastAsia" w:eastAsiaTheme="minorEastAsia"/>
                <w:sz w:val="21"/>
                <w:szCs w:val="21"/>
                <w:lang w:eastAsia="zh-CN" w:bidi="en-US"/>
              </w:rPr>
              <w:t>10000 W（900~12420 W 宽幅）；额定制热功率：2850 W（260~4050 W）</w:t>
            </w:r>
          </w:p>
          <w:p w14:paraId="0FFC93FE">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电辅热功率：</w:t>
            </w:r>
            <w:r>
              <w:rPr>
                <w:rFonts w:hint="eastAsia" w:asciiTheme="minorEastAsia" w:hAnsiTheme="minorEastAsia" w:eastAsiaTheme="minorEastAsia"/>
                <w:sz w:val="21"/>
                <w:szCs w:val="21"/>
                <w:lang w:eastAsia="zh-CN" w:bidi="en-US"/>
              </w:rPr>
              <w:t>≥</w:t>
            </w:r>
            <w:r>
              <w:rPr>
                <w:rFonts w:asciiTheme="minorEastAsia" w:hAnsiTheme="minorEastAsia" w:eastAsiaTheme="minorEastAsia"/>
                <w:sz w:val="21"/>
                <w:szCs w:val="21"/>
                <w:lang w:eastAsia="zh-CN" w:bidi="en-US"/>
              </w:rPr>
              <w:t>2400 W（PTC）</w:t>
            </w:r>
          </w:p>
          <w:p w14:paraId="1B168458">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噪音：室内机低风 22 dB、高风 42 dB、超强 47 dB；室外机低 - 高 48~56 dB</w:t>
            </w:r>
          </w:p>
          <w:p w14:paraId="59722C0B">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hint="eastAsia" w:asciiTheme="minorEastAsia" w:hAnsiTheme="minorEastAsia" w:eastAsiaTheme="minorEastAsia"/>
                <w:sz w:val="21"/>
                <w:szCs w:val="21"/>
                <w:lang w:eastAsia="zh-CN" w:bidi="en-US"/>
              </w:rPr>
              <w:t>3、</w:t>
            </w:r>
            <w:r>
              <w:rPr>
                <w:rFonts w:asciiTheme="minorEastAsia" w:hAnsiTheme="minorEastAsia" w:eastAsiaTheme="minorEastAsia"/>
                <w:sz w:val="21"/>
                <w:szCs w:val="21"/>
                <w:lang w:eastAsia="zh-CN" w:bidi="en-US"/>
              </w:rPr>
              <w:t>尺寸与重量</w:t>
            </w:r>
          </w:p>
          <w:p w14:paraId="189EC6DA">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室内机（宽 × 高 × 深）：380×1802×392 mm；外机：890 (含阀体 940)×673×342 mm</w:t>
            </w:r>
          </w:p>
          <w:p w14:paraId="4EBE5BBE">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外机净重 43 kg；内机约 33 kg（不同渠道有轻微差异，以铭牌为准）</w:t>
            </w:r>
          </w:p>
          <w:p w14:paraId="3769DE52">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hint="eastAsia" w:asciiTheme="minorEastAsia" w:hAnsiTheme="minorEastAsia" w:eastAsiaTheme="minorEastAsia"/>
                <w:sz w:val="21"/>
                <w:szCs w:val="21"/>
                <w:lang w:eastAsia="zh-CN" w:bidi="en-US"/>
              </w:rPr>
              <w:t>4、其他</w:t>
            </w:r>
            <w:r>
              <w:rPr>
                <w:rFonts w:asciiTheme="minorEastAsia" w:hAnsiTheme="minorEastAsia" w:eastAsiaTheme="minorEastAsia"/>
                <w:sz w:val="21"/>
                <w:szCs w:val="21"/>
                <w:lang w:eastAsia="zh-CN" w:bidi="en-US"/>
              </w:rPr>
              <w:t>功能</w:t>
            </w:r>
          </w:p>
          <w:p w14:paraId="6F0E6019">
            <w:pPr>
              <w:pStyle w:val="4"/>
              <w:widowControl w:val="0"/>
              <w:kinsoku/>
              <w:adjustRightInd/>
              <w:snapToGrid/>
              <w:ind w:firstLine="420"/>
              <w:textAlignment w:val="auto"/>
              <w:rPr>
                <w:rFonts w:hint="eastAsia" w:asciiTheme="minorEastAsia" w:hAnsiTheme="minorEastAsia" w:eastAsiaTheme="minorEastAsia"/>
                <w:sz w:val="21"/>
                <w:szCs w:val="21"/>
                <w:lang w:eastAsia="zh-CN" w:bidi="en-US"/>
              </w:rPr>
            </w:pPr>
            <w:r>
              <w:rPr>
                <w:rFonts w:asciiTheme="minorEastAsia" w:hAnsiTheme="minorEastAsia" w:eastAsiaTheme="minorEastAsia"/>
                <w:sz w:val="21"/>
                <w:szCs w:val="21"/>
                <w:lang w:eastAsia="zh-CN" w:bidi="en-US"/>
              </w:rPr>
              <w:t>外观：极地白圆柱机身；控制方式：红外遥控 + 美的智慧家 APP</w:t>
            </w:r>
          </w:p>
          <w:p w14:paraId="59251526">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bidi="en-US"/>
              </w:rPr>
              <w:t>标配防直吹、独立除湿、第四代智清洁、</w:t>
            </w:r>
            <w:r>
              <w:rPr>
                <w:rFonts w:asciiTheme="minorEastAsia" w:hAnsiTheme="minorEastAsia" w:eastAsiaTheme="minorEastAsia"/>
                <w:lang w:eastAsia="zh-CN" w:bidi="en-US"/>
              </w:rPr>
              <w:t xml:space="preserve">ECO </w:t>
            </w:r>
            <w:r>
              <w:rPr>
                <w:rFonts w:hint="eastAsia" w:asciiTheme="minorEastAsia" w:hAnsiTheme="minorEastAsia" w:eastAsiaTheme="minorEastAsia"/>
                <w:lang w:eastAsia="zh-CN" w:bidi="en-US"/>
              </w:rPr>
              <w:t>节能、低温启动、高温制冷、智能控温</w:t>
            </w:r>
          </w:p>
        </w:tc>
        <w:tc>
          <w:tcPr>
            <w:tcW w:w="263" w:type="pct"/>
            <w:vAlign w:val="center"/>
          </w:tcPr>
          <w:p w14:paraId="28B301C6">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2</w:t>
            </w:r>
          </w:p>
        </w:tc>
        <w:tc>
          <w:tcPr>
            <w:tcW w:w="314" w:type="pct"/>
            <w:vAlign w:val="center"/>
          </w:tcPr>
          <w:p w14:paraId="59E0E66E">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台</w:t>
            </w:r>
          </w:p>
        </w:tc>
      </w:tr>
      <w:tr w14:paraId="6ED7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7" w:type="pct"/>
            <w:noWrap/>
            <w:vAlign w:val="center"/>
          </w:tcPr>
          <w:p w14:paraId="2213D5C4">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9</w:t>
            </w:r>
          </w:p>
        </w:tc>
        <w:tc>
          <w:tcPr>
            <w:tcW w:w="458" w:type="pct"/>
            <w:vAlign w:val="center"/>
          </w:tcPr>
          <w:p w14:paraId="446139FA">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综合布线</w:t>
            </w:r>
          </w:p>
        </w:tc>
        <w:tc>
          <w:tcPr>
            <w:tcW w:w="3748" w:type="pct"/>
            <w:tcBorders>
              <w:top w:val="single" w:color="auto" w:sz="4" w:space="0"/>
              <w:left w:val="single" w:color="auto" w:sz="4" w:space="0"/>
              <w:bottom w:val="single" w:color="auto" w:sz="4" w:space="0"/>
              <w:right w:val="single" w:color="auto" w:sz="4" w:space="0"/>
            </w:tcBorders>
            <w:noWrap/>
            <w:vAlign w:val="center"/>
          </w:tcPr>
          <w:p w14:paraId="4AD9545A">
            <w:pPr>
              <w:widowControl w:val="0"/>
              <w:kinsoku/>
              <w:adjustRightInd/>
              <w:snapToGrid/>
              <w:textAlignment w:val="auto"/>
              <w:rPr>
                <w:rFonts w:hint="eastAsia" w:asciiTheme="minorEastAsia" w:hAnsiTheme="minorEastAsia" w:eastAsiaTheme="minorEastAsia"/>
                <w:lang w:eastAsia="zh-CN"/>
              </w:rPr>
            </w:pPr>
            <w:r>
              <w:rPr>
                <w:rFonts w:hint="eastAsia" w:asciiTheme="minorEastAsia" w:hAnsiTheme="minorEastAsia" w:eastAsiaTheme="minorEastAsia"/>
                <w:lang w:eastAsia="zh-CN"/>
              </w:rPr>
              <w:t>六类非屏蔽网线</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配线架</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面板</w:t>
            </w:r>
            <w:r>
              <w:rPr>
                <w:rFonts w:asciiTheme="minorEastAsia" w:hAnsiTheme="minorEastAsia" w:eastAsiaTheme="minorEastAsia"/>
                <w:lang w:eastAsia="zh-CN"/>
              </w:rPr>
              <w:t xml:space="preserve"> + </w:t>
            </w:r>
            <w:r>
              <w:rPr>
                <w:rFonts w:hint="eastAsia" w:asciiTheme="minorEastAsia" w:hAnsiTheme="minorEastAsia" w:eastAsiaTheme="minorEastAsia"/>
                <w:lang w:eastAsia="zh-CN"/>
              </w:rPr>
              <w:t>水晶头</w:t>
            </w:r>
          </w:p>
        </w:tc>
        <w:tc>
          <w:tcPr>
            <w:tcW w:w="263" w:type="pct"/>
            <w:vAlign w:val="center"/>
          </w:tcPr>
          <w:p w14:paraId="0DFC9C18">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1</w:t>
            </w:r>
          </w:p>
        </w:tc>
        <w:tc>
          <w:tcPr>
            <w:tcW w:w="314" w:type="pct"/>
            <w:vAlign w:val="center"/>
          </w:tcPr>
          <w:p w14:paraId="419006B5">
            <w:pPr>
              <w:widowControl w:val="0"/>
              <w:kinsoku/>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批</w:t>
            </w:r>
          </w:p>
        </w:tc>
      </w:tr>
    </w:tbl>
    <w:p w14:paraId="4786F380">
      <w:pPr>
        <w:pStyle w:val="4"/>
        <w:kinsoku/>
        <w:wordWrap w:val="0"/>
        <w:spacing w:line="360" w:lineRule="auto"/>
        <w:ind w:firstLine="484" w:firstLineChars="200"/>
        <w:outlineLvl w:val="2"/>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p>
    <w:p w14:paraId="29B31852">
      <w:pPr>
        <w:pStyle w:val="4"/>
        <w:kinsoku/>
        <w:wordWrap w:val="0"/>
        <w:spacing w:line="360" w:lineRule="auto"/>
        <w:ind w:firstLine="484" w:firstLineChars="200"/>
        <w:jc w:val="both"/>
        <w:outlineLvl w:val="2"/>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台式计算机参数表</w:t>
      </w:r>
    </w:p>
    <w:tbl>
      <w:tblPr>
        <w:tblStyle w:val="11"/>
        <w:tblW w:w="9150" w:type="dxa"/>
        <w:tblInd w:w="-351" w:type="dxa"/>
        <w:tblLayout w:type="fixed"/>
        <w:tblCellMar>
          <w:top w:w="0" w:type="dxa"/>
          <w:left w:w="108" w:type="dxa"/>
          <w:bottom w:w="0" w:type="dxa"/>
          <w:right w:w="108" w:type="dxa"/>
        </w:tblCellMar>
      </w:tblPr>
      <w:tblGrid>
        <w:gridCol w:w="653"/>
        <w:gridCol w:w="712"/>
        <w:gridCol w:w="1230"/>
        <w:gridCol w:w="1560"/>
        <w:gridCol w:w="3960"/>
        <w:gridCol w:w="1035"/>
      </w:tblGrid>
      <w:tr w14:paraId="3AEBCD1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F791A09">
            <w:pPr>
              <w:spacing w:line="360" w:lineRule="exact"/>
              <w:jc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重要程度</w:t>
            </w:r>
          </w:p>
        </w:tc>
        <w:tc>
          <w:tcPr>
            <w:tcW w:w="712" w:type="dxa"/>
            <w:tcBorders>
              <w:top w:val="single" w:color="000000" w:sz="4" w:space="0"/>
              <w:left w:val="single" w:color="000000" w:sz="4" w:space="0"/>
              <w:bottom w:val="single" w:color="000000" w:sz="4" w:space="0"/>
              <w:right w:val="single" w:color="000000" w:sz="4" w:space="0"/>
            </w:tcBorders>
            <w:vAlign w:val="center"/>
          </w:tcPr>
          <w:p w14:paraId="5207E2AB">
            <w:pPr>
              <w:spacing w:line="360" w:lineRule="exact"/>
              <w:jc w:val="center"/>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序号</w:t>
            </w:r>
          </w:p>
        </w:tc>
        <w:tc>
          <w:tcPr>
            <w:tcW w:w="1230" w:type="dxa"/>
            <w:tcBorders>
              <w:top w:val="single" w:color="000000" w:sz="4" w:space="0"/>
              <w:left w:val="single" w:color="000000" w:sz="4" w:space="0"/>
              <w:bottom w:val="single" w:color="000000" w:sz="4" w:space="0"/>
              <w:right w:val="single" w:color="000000" w:sz="4" w:space="0"/>
            </w:tcBorders>
            <w:vAlign w:val="center"/>
          </w:tcPr>
          <w:p w14:paraId="2BB0C3FF">
            <w:pPr>
              <w:spacing w:line="360" w:lineRule="exact"/>
              <w:jc w:val="center"/>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一级指标</w:t>
            </w:r>
          </w:p>
        </w:tc>
        <w:tc>
          <w:tcPr>
            <w:tcW w:w="1560" w:type="dxa"/>
            <w:tcBorders>
              <w:top w:val="single" w:color="000000" w:sz="4" w:space="0"/>
              <w:left w:val="single" w:color="000000" w:sz="4" w:space="0"/>
              <w:bottom w:val="single" w:color="000000" w:sz="4" w:space="0"/>
              <w:right w:val="nil"/>
            </w:tcBorders>
            <w:vAlign w:val="center"/>
          </w:tcPr>
          <w:p w14:paraId="57B3E4B8">
            <w:pPr>
              <w:spacing w:line="360" w:lineRule="exact"/>
              <w:jc w:val="center"/>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二级指标</w:t>
            </w:r>
          </w:p>
        </w:tc>
        <w:tc>
          <w:tcPr>
            <w:tcW w:w="3960" w:type="dxa"/>
            <w:tcBorders>
              <w:top w:val="single" w:color="000000" w:sz="4" w:space="0"/>
              <w:left w:val="single" w:color="000000" w:sz="4" w:space="0"/>
              <w:bottom w:val="single" w:color="000000" w:sz="4" w:space="0"/>
              <w:right w:val="single" w:color="000000" w:sz="4" w:space="0"/>
            </w:tcBorders>
            <w:vAlign w:val="center"/>
          </w:tcPr>
          <w:p w14:paraId="108E0197">
            <w:pPr>
              <w:spacing w:line="360" w:lineRule="exact"/>
              <w:jc w:val="center"/>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指标要求</w:t>
            </w:r>
          </w:p>
        </w:tc>
        <w:tc>
          <w:tcPr>
            <w:tcW w:w="1035" w:type="dxa"/>
            <w:tcBorders>
              <w:top w:val="single" w:color="000000" w:sz="4" w:space="0"/>
              <w:left w:val="single" w:color="000000" w:sz="4" w:space="0"/>
              <w:bottom w:val="single" w:color="000000" w:sz="4" w:space="0"/>
              <w:right w:val="single" w:color="000000" w:sz="4" w:space="0"/>
            </w:tcBorders>
            <w:vAlign w:val="center"/>
          </w:tcPr>
          <w:p w14:paraId="437A3530">
            <w:pPr>
              <w:spacing w:line="360" w:lineRule="exact"/>
              <w:jc w:val="center"/>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证明材料要求</w:t>
            </w:r>
          </w:p>
        </w:tc>
      </w:tr>
      <w:tr w14:paraId="43B43D79">
        <w:tblPrEx>
          <w:tblCellMar>
            <w:top w:w="0" w:type="dxa"/>
            <w:left w:w="108" w:type="dxa"/>
            <w:bottom w:w="0" w:type="dxa"/>
            <w:right w:w="108" w:type="dxa"/>
          </w:tblCellMar>
        </w:tblPrEx>
        <w:trPr>
          <w:trHeight w:val="1614"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65FD53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1B08DF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w:t>
            </w:r>
          </w:p>
        </w:tc>
        <w:tc>
          <w:tcPr>
            <w:tcW w:w="1230" w:type="dxa"/>
            <w:tcBorders>
              <w:top w:val="single" w:color="000000" w:sz="4" w:space="0"/>
              <w:left w:val="single" w:color="000000" w:sz="4" w:space="0"/>
              <w:bottom w:val="single" w:color="000000" w:sz="4" w:space="0"/>
              <w:right w:val="single" w:color="000000" w:sz="4" w:space="0"/>
            </w:tcBorders>
            <w:vAlign w:val="center"/>
          </w:tcPr>
          <w:p w14:paraId="6D6E2A9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CPU规格</w:t>
            </w:r>
          </w:p>
        </w:tc>
        <w:tc>
          <w:tcPr>
            <w:tcW w:w="1560" w:type="dxa"/>
            <w:tcBorders>
              <w:top w:val="single" w:color="000000" w:sz="4" w:space="0"/>
              <w:left w:val="single" w:color="000000" w:sz="4" w:space="0"/>
              <w:bottom w:val="single" w:color="000000" w:sz="4" w:space="0"/>
              <w:right w:val="nil"/>
            </w:tcBorders>
            <w:vAlign w:val="center"/>
          </w:tcPr>
          <w:p w14:paraId="7405D64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 信息</w:t>
            </w:r>
          </w:p>
        </w:tc>
        <w:tc>
          <w:tcPr>
            <w:tcW w:w="3960" w:type="dxa"/>
            <w:tcBorders>
              <w:top w:val="single" w:color="000000" w:sz="4" w:space="0"/>
              <w:left w:val="single" w:color="000000" w:sz="4" w:space="0"/>
              <w:bottom w:val="single" w:color="000000" w:sz="4" w:space="0"/>
              <w:right w:val="single" w:color="000000" w:sz="4" w:space="0"/>
            </w:tcBorders>
            <w:vAlign w:val="center"/>
          </w:tcPr>
          <w:p w14:paraId="62E2ED20">
            <w:pPr>
              <w:spacing w:line="360" w:lineRule="exact"/>
              <w:textAlignment w:val="center"/>
              <w:rPr>
                <w:rFonts w:hint="eastAsia" w:cs="仿宋_GB2312" w:asciiTheme="minorEastAsia" w:hAnsiTheme="minorEastAsia" w:eastAsiaTheme="minorEastAsia"/>
                <w:lang w:eastAsia="zh-CN" w:bidi="ar"/>
              </w:rPr>
            </w:pPr>
            <w:r>
              <w:rPr>
                <w:rFonts w:cs="仿宋_GB2312" w:asciiTheme="minorEastAsia" w:hAnsiTheme="minorEastAsia" w:eastAsiaTheme="minorEastAsia"/>
                <w:lang w:eastAsia="zh-CN" w:bidi="ar"/>
              </w:rPr>
              <w:t>通过中国信息安全测评中心《安全可靠测评结果公告》要求，</w:t>
            </w:r>
            <w:r>
              <w:rPr>
                <w:rFonts w:hint="eastAsia" w:cs="仿宋_GB2312" w:asciiTheme="minorEastAsia" w:hAnsiTheme="minorEastAsia" w:eastAsiaTheme="minorEastAsia"/>
                <w:lang w:eastAsia="zh-CN" w:bidi="ar"/>
              </w:rPr>
              <w:t>物理核数≥</w:t>
            </w:r>
            <w:r>
              <w:rPr>
                <w:rFonts w:cs="仿宋_GB2312" w:asciiTheme="minorEastAsia" w:hAnsiTheme="minorEastAsia" w:eastAsiaTheme="minorEastAsia"/>
                <w:lang w:eastAsia="zh-CN" w:bidi="ar"/>
              </w:rPr>
              <w:t>8</w:t>
            </w:r>
            <w:r>
              <w:rPr>
                <w:rFonts w:hint="eastAsia" w:cs="仿宋_GB2312" w:asciiTheme="minorEastAsia" w:hAnsiTheme="minorEastAsia" w:eastAsiaTheme="minorEastAsia"/>
                <w:lang w:eastAsia="zh-CN" w:bidi="ar"/>
              </w:rPr>
              <w:t>，</w:t>
            </w:r>
            <w:r>
              <w:rPr>
                <w:rFonts w:cs="仿宋_GB2312" w:asciiTheme="minorEastAsia" w:hAnsiTheme="minorEastAsia" w:eastAsiaTheme="minorEastAsia"/>
                <w:lang w:eastAsia="zh-CN" w:bidi="ar"/>
              </w:rPr>
              <w:t>线程数≥</w:t>
            </w:r>
            <w:r>
              <w:rPr>
                <w:rFonts w:hint="eastAsia" w:cs="仿宋_GB2312" w:asciiTheme="minorEastAsia" w:hAnsiTheme="minorEastAsia" w:eastAsiaTheme="minorEastAsia"/>
                <w:lang w:eastAsia="zh-CN" w:bidi="ar"/>
              </w:rPr>
              <w:t>16</w:t>
            </w:r>
            <w:r>
              <w:rPr>
                <w:rFonts w:cs="仿宋_GB2312" w:asciiTheme="minorEastAsia" w:hAnsiTheme="minorEastAsia" w:eastAsiaTheme="minorEastAsia"/>
                <w:lang w:eastAsia="zh-CN" w:bidi="ar"/>
              </w:rPr>
              <w:t>个，主频≥</w:t>
            </w:r>
            <w:r>
              <w:rPr>
                <w:rFonts w:hint="eastAsia" w:cs="仿宋_GB2312" w:asciiTheme="minorEastAsia" w:hAnsiTheme="minorEastAsia" w:eastAsiaTheme="minorEastAsia"/>
                <w:lang w:eastAsia="zh-CN" w:bidi="ar"/>
              </w:rPr>
              <w:t>3.0</w:t>
            </w:r>
            <w:r>
              <w:rPr>
                <w:rFonts w:cs="仿宋_GB2312" w:asciiTheme="minorEastAsia" w:hAnsiTheme="minorEastAsia" w:eastAsiaTheme="minorEastAsia"/>
                <w:lang w:eastAsia="zh-CN" w:bidi="ar"/>
              </w:rPr>
              <w:t>GHz</w:t>
            </w:r>
            <w:r>
              <w:rPr>
                <w:rFonts w:hint="eastAsia" w:cs="仿宋_GB2312" w:asciiTheme="minorEastAsia" w:hAnsiTheme="minorEastAsia" w:eastAsiaTheme="minorEastAsia"/>
                <w:lang w:eastAsia="zh-CN" w:bidi="ar"/>
              </w:rPr>
              <w:t>，</w:t>
            </w:r>
          </w:p>
          <w:p w14:paraId="6449A659">
            <w:pPr>
              <w:spacing w:line="360" w:lineRule="exact"/>
              <w:textAlignment w:val="center"/>
              <w:rPr>
                <w:rFonts w:hint="eastAsia" w:cs="Times New Roman" w:asciiTheme="minorEastAsia" w:hAnsiTheme="minorEastAsia" w:eastAsiaTheme="minorEastAsia"/>
                <w:lang w:eastAsia="zh-CN"/>
              </w:rPr>
            </w:pPr>
            <w:r>
              <w:rPr>
                <w:rFonts w:hint="eastAsia" w:cs="仿宋_GB2312" w:asciiTheme="minorEastAsia" w:hAnsiTheme="minorEastAsia" w:eastAsiaTheme="minorEastAsia"/>
                <w:lang w:eastAsia="zh-CN" w:bidi="ar"/>
              </w:rPr>
              <w:t>基础功耗≥65W，三级缓存≥16MB，内存支持的最高速率≥3200MT/s、通道数≥2个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37343E18">
            <w:pPr>
              <w:spacing w:line="360" w:lineRule="exact"/>
              <w:rPr>
                <w:rFonts w:hint="eastAsia" w:cs="仿宋_GB2312" w:asciiTheme="minorEastAsia" w:hAnsiTheme="minorEastAsia" w:eastAsiaTheme="minorEastAsia"/>
                <w:lang w:bidi="ar"/>
              </w:rPr>
            </w:pPr>
            <w:r>
              <w:rPr>
                <w:rFonts w:hint="eastAsia" w:cs="仿宋_GB2312" w:asciiTheme="minorEastAsia" w:hAnsiTheme="minorEastAsia" w:eastAsiaTheme="minorEastAsia"/>
                <w:color w:val="auto"/>
                <w:lang w:eastAsia="zh-CN" w:bidi="ar"/>
              </w:rPr>
              <w:t>否</w:t>
            </w:r>
          </w:p>
        </w:tc>
      </w:tr>
      <w:tr w14:paraId="625F006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C33AF6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F56EAD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2B8F7F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内存规格</w:t>
            </w:r>
          </w:p>
        </w:tc>
        <w:tc>
          <w:tcPr>
            <w:tcW w:w="1560" w:type="dxa"/>
            <w:tcBorders>
              <w:top w:val="single" w:color="000000" w:sz="4" w:space="0"/>
              <w:left w:val="single" w:color="000000" w:sz="4" w:space="0"/>
              <w:bottom w:val="single" w:color="000000" w:sz="4" w:space="0"/>
              <w:right w:val="nil"/>
            </w:tcBorders>
            <w:vAlign w:val="center"/>
          </w:tcPr>
          <w:p w14:paraId="2887C07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内存配置容量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2A82F06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≥16GB</w:t>
            </w:r>
          </w:p>
        </w:tc>
        <w:tc>
          <w:tcPr>
            <w:tcW w:w="1035" w:type="dxa"/>
            <w:tcBorders>
              <w:top w:val="single" w:color="000000" w:sz="4" w:space="0"/>
              <w:left w:val="single" w:color="000000" w:sz="4" w:space="0"/>
              <w:bottom w:val="single" w:color="000000" w:sz="4" w:space="0"/>
              <w:right w:val="single" w:color="000000" w:sz="4" w:space="0"/>
            </w:tcBorders>
            <w:vAlign w:val="center"/>
          </w:tcPr>
          <w:p w14:paraId="693D186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887411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C2C71F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8B26CF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BD9A3A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907A95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708533B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DDR4及以上内存类型</w:t>
            </w:r>
          </w:p>
        </w:tc>
        <w:tc>
          <w:tcPr>
            <w:tcW w:w="1035" w:type="dxa"/>
            <w:tcBorders>
              <w:top w:val="single" w:color="000000" w:sz="4" w:space="0"/>
              <w:left w:val="single" w:color="000000" w:sz="4" w:space="0"/>
              <w:bottom w:val="single" w:color="000000" w:sz="4" w:space="0"/>
              <w:right w:val="single" w:color="000000" w:sz="4" w:space="0"/>
            </w:tcBorders>
            <w:vAlign w:val="center"/>
          </w:tcPr>
          <w:p w14:paraId="0B290A1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15FC3A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B38A6E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CF03CC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B60D2C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F527B7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内存条配置数量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61050B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1</w:t>
            </w:r>
            <w:r>
              <w:rPr>
                <w:rFonts w:hint="eastAsia" w:cs="仿宋_GB2312" w:asciiTheme="minorEastAsia" w:hAnsiTheme="minorEastAsia" w:eastAsiaTheme="minorEastAsia"/>
                <w:lang w:eastAsia="zh-CN" w:bidi="ar"/>
              </w:rPr>
              <w:t>条</w:t>
            </w:r>
          </w:p>
        </w:tc>
        <w:tc>
          <w:tcPr>
            <w:tcW w:w="1035" w:type="dxa"/>
            <w:tcBorders>
              <w:top w:val="single" w:color="000000" w:sz="4" w:space="0"/>
              <w:left w:val="single" w:color="000000" w:sz="4" w:space="0"/>
              <w:bottom w:val="single" w:color="000000" w:sz="4" w:space="0"/>
              <w:right w:val="single" w:color="000000" w:sz="4" w:space="0"/>
            </w:tcBorders>
            <w:vAlign w:val="center"/>
          </w:tcPr>
          <w:p w14:paraId="101B6C4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87AA38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FCCEA8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C522A0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18CC8EA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主板规格</w:t>
            </w:r>
          </w:p>
        </w:tc>
        <w:tc>
          <w:tcPr>
            <w:tcW w:w="1560" w:type="dxa"/>
            <w:tcBorders>
              <w:top w:val="single" w:color="000000" w:sz="4" w:space="0"/>
              <w:left w:val="single" w:color="000000" w:sz="4" w:space="0"/>
              <w:bottom w:val="single" w:color="000000" w:sz="4" w:space="0"/>
              <w:right w:val="nil"/>
            </w:tcBorders>
            <w:vAlign w:val="center"/>
          </w:tcPr>
          <w:p w14:paraId="1461BD4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主板集成模块</w:t>
            </w:r>
          </w:p>
        </w:tc>
        <w:tc>
          <w:tcPr>
            <w:tcW w:w="3960" w:type="dxa"/>
            <w:tcBorders>
              <w:top w:val="single" w:color="000000" w:sz="4" w:space="0"/>
              <w:left w:val="single" w:color="000000" w:sz="4" w:space="0"/>
              <w:bottom w:val="single" w:color="000000" w:sz="4" w:space="0"/>
              <w:right w:val="single" w:color="000000" w:sz="4" w:space="0"/>
            </w:tcBorders>
            <w:vAlign w:val="center"/>
          </w:tcPr>
          <w:p w14:paraId="6AA3D78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集成芯片组及以上</w:t>
            </w:r>
          </w:p>
        </w:tc>
        <w:tc>
          <w:tcPr>
            <w:tcW w:w="1035" w:type="dxa"/>
            <w:tcBorders>
              <w:top w:val="single" w:color="000000" w:sz="4" w:space="0"/>
              <w:left w:val="single" w:color="000000" w:sz="4" w:space="0"/>
              <w:bottom w:val="single" w:color="000000" w:sz="4" w:space="0"/>
              <w:right w:val="single" w:color="000000" w:sz="4" w:space="0"/>
            </w:tcBorders>
            <w:vAlign w:val="center"/>
          </w:tcPr>
          <w:p w14:paraId="55955E0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773A5FE">
        <w:tblPrEx>
          <w:tblCellMar>
            <w:top w:w="0" w:type="dxa"/>
            <w:left w:w="108" w:type="dxa"/>
            <w:bottom w:w="0" w:type="dxa"/>
            <w:right w:w="108" w:type="dxa"/>
          </w:tblCellMar>
        </w:tblPrEx>
        <w:trPr>
          <w:trHeight w:val="830"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932E46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19B34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43CE05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246C8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主板支持的 CPU和内存情况</w:t>
            </w:r>
          </w:p>
        </w:tc>
        <w:tc>
          <w:tcPr>
            <w:tcW w:w="3960" w:type="dxa"/>
            <w:tcBorders>
              <w:top w:val="single" w:color="000000" w:sz="4" w:space="0"/>
              <w:left w:val="single" w:color="000000" w:sz="4" w:space="0"/>
              <w:bottom w:val="single" w:color="000000" w:sz="4" w:space="0"/>
              <w:right w:val="single" w:color="000000" w:sz="4" w:space="0"/>
            </w:tcBorders>
            <w:vAlign w:val="center"/>
          </w:tcPr>
          <w:p w14:paraId="390BE0E3">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支持1个国产智能处理器；</w:t>
            </w:r>
          </w:p>
          <w:p w14:paraId="5A5D764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支持不低于4条DDR4内存；</w:t>
            </w:r>
          </w:p>
        </w:tc>
        <w:tc>
          <w:tcPr>
            <w:tcW w:w="1035" w:type="dxa"/>
            <w:tcBorders>
              <w:top w:val="single" w:color="000000" w:sz="4" w:space="0"/>
              <w:left w:val="single" w:color="000000" w:sz="4" w:space="0"/>
              <w:bottom w:val="single" w:color="000000" w:sz="4" w:space="0"/>
              <w:right w:val="single" w:color="000000" w:sz="4" w:space="0"/>
            </w:tcBorders>
            <w:vAlign w:val="center"/>
          </w:tcPr>
          <w:p w14:paraId="01E138C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2D6A96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1F580C5">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9A7413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BF5E04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4F3562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主板内置PCIe/PCI 插槽数量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7ACB6F31">
            <w:pP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≥1个PCI-E*16、≥</w:t>
            </w:r>
            <w:r>
              <w:rPr>
                <w:rFonts w:hint="eastAsia" w:cs="仿宋_GB2312" w:asciiTheme="minorEastAsia" w:hAnsiTheme="minorEastAsia" w:eastAsiaTheme="minorEastAsia"/>
                <w:lang w:bidi="ar"/>
              </w:rPr>
              <w:t>1</w:t>
            </w:r>
            <w:r>
              <w:rPr>
                <w:rFonts w:hint="eastAsia" w:cs="仿宋_GB2312" w:asciiTheme="minorEastAsia" w:hAnsiTheme="minorEastAsia" w:eastAsiaTheme="minorEastAsia"/>
                <w:lang w:eastAsia="zh-CN" w:bidi="ar"/>
              </w:rPr>
              <w:t>个PCI-E*</w:t>
            </w:r>
            <w:r>
              <w:rPr>
                <w:rFonts w:hint="eastAsia" w:cs="仿宋_GB2312" w:asciiTheme="minorEastAsia" w:hAnsiTheme="minorEastAsia" w:eastAsiaTheme="minorEastAsia"/>
                <w:lang w:bidi="ar"/>
              </w:rPr>
              <w:t>4、</w:t>
            </w: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1</w:t>
            </w:r>
            <w:r>
              <w:rPr>
                <w:rFonts w:hint="eastAsia" w:cs="仿宋_GB2312" w:asciiTheme="minorEastAsia" w:hAnsiTheme="minorEastAsia" w:eastAsiaTheme="minorEastAsia"/>
                <w:lang w:eastAsia="zh-CN" w:bidi="ar"/>
              </w:rPr>
              <w:t>个PCI-E*1</w:t>
            </w:r>
          </w:p>
        </w:tc>
        <w:tc>
          <w:tcPr>
            <w:tcW w:w="1035" w:type="dxa"/>
            <w:tcBorders>
              <w:top w:val="single" w:color="000000" w:sz="4" w:space="0"/>
              <w:left w:val="single" w:color="000000" w:sz="4" w:space="0"/>
              <w:bottom w:val="single" w:color="000000" w:sz="4" w:space="0"/>
              <w:right w:val="single" w:color="000000" w:sz="4" w:space="0"/>
            </w:tcBorders>
            <w:vAlign w:val="center"/>
          </w:tcPr>
          <w:p w14:paraId="4DEF81C2">
            <w:pP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156C49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07A37A8">
            <w:pPr>
              <w:spacing w:line="360" w:lineRule="exact"/>
              <w:jc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71E384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32E144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16906D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特殊孔位及接口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1ECC2BA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C1FDEF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0E82D60">
        <w:tblPrEx>
          <w:tblCellMar>
            <w:top w:w="0" w:type="dxa"/>
            <w:left w:w="108" w:type="dxa"/>
            <w:bottom w:w="0" w:type="dxa"/>
            <w:right w:w="108" w:type="dxa"/>
          </w:tblCellMar>
        </w:tblPrEx>
        <w:trPr>
          <w:trHeight w:val="871"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331A93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CBB219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FDD81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BB33B1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主板其他内置接口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30D84A07">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M.2接口≥1个，用于固态硬盘。</w:t>
            </w:r>
          </w:p>
          <w:p w14:paraId="0A9146FB">
            <w:pPr>
              <w:spacing w:line="360" w:lineRule="exact"/>
              <w:textAlignment w:val="center"/>
              <w:rPr>
                <w:rFonts w:hint="eastAsia" w:cs="Arial Unicode MS" w:asciiTheme="minorEastAsia" w:hAnsiTheme="minorEastAsia" w:eastAsiaTheme="minorEastAsia"/>
                <w:lang w:eastAsia="zh-TW"/>
              </w:rPr>
            </w:pPr>
            <w:r>
              <w:rPr>
                <w:rFonts w:hint="eastAsia" w:cs="仿宋_GB2312" w:asciiTheme="minorEastAsia" w:hAnsiTheme="minorEastAsia" w:eastAsiaTheme="minorEastAsia"/>
                <w:lang w:eastAsia="zh-CN" w:bidi="ar"/>
              </w:rPr>
              <w:t>SATA接口≥</w:t>
            </w:r>
            <w:r>
              <w:rPr>
                <w:rFonts w:hint="eastAsia" w:cs="仿宋_GB2312" w:asciiTheme="minorEastAsia" w:hAnsiTheme="minorEastAsia" w:eastAsiaTheme="minorEastAsia"/>
                <w:lang w:bidi="ar"/>
              </w:rPr>
              <w:t>4</w:t>
            </w:r>
            <w:r>
              <w:rPr>
                <w:rFonts w:hint="eastAsia" w:cs="仿宋_GB2312" w:asciiTheme="minorEastAsia" w:hAnsiTheme="minorEastAsia" w:eastAsiaTheme="minorEastAsia"/>
                <w:lang w:eastAsia="zh-CN" w:bidi="ar"/>
              </w:rPr>
              <w:t>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489AC60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DE3B20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AF8492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23C158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47078C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792065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单内存插槽最大可支持容量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21B45FD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≥16GB</w:t>
            </w:r>
          </w:p>
        </w:tc>
        <w:tc>
          <w:tcPr>
            <w:tcW w:w="1035" w:type="dxa"/>
            <w:tcBorders>
              <w:top w:val="single" w:color="000000" w:sz="4" w:space="0"/>
              <w:left w:val="single" w:color="000000" w:sz="4" w:space="0"/>
              <w:bottom w:val="single" w:color="000000" w:sz="4" w:space="0"/>
              <w:right w:val="single" w:color="000000" w:sz="4" w:space="0"/>
            </w:tcBorders>
            <w:vAlign w:val="center"/>
          </w:tcPr>
          <w:p w14:paraId="70F9A04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B1E4BB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2B1B20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FAFF2A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C55218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E5CA74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内存插槽满配时提供的最高内存总容量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7846DE7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64</w:t>
            </w:r>
            <w:r>
              <w:rPr>
                <w:rFonts w:hint="eastAsia" w:cs="仿宋_GB2312" w:asciiTheme="minorEastAsia" w:hAnsiTheme="minorEastAsia" w:eastAsiaTheme="minorEastAsia"/>
                <w:lang w:eastAsia="zh-CN" w:bidi="ar"/>
              </w:rPr>
              <w:t>GB</w:t>
            </w:r>
          </w:p>
        </w:tc>
        <w:tc>
          <w:tcPr>
            <w:tcW w:w="1035" w:type="dxa"/>
            <w:tcBorders>
              <w:top w:val="single" w:color="000000" w:sz="4" w:space="0"/>
              <w:left w:val="single" w:color="000000" w:sz="4" w:space="0"/>
              <w:bottom w:val="single" w:color="000000" w:sz="4" w:space="0"/>
              <w:right w:val="single" w:color="000000" w:sz="4" w:space="0"/>
            </w:tcBorders>
            <w:vAlign w:val="center"/>
          </w:tcPr>
          <w:p w14:paraId="168F084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1A3144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14D45D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ADB24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0E61F03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存储设备规格</w:t>
            </w:r>
          </w:p>
        </w:tc>
        <w:tc>
          <w:tcPr>
            <w:tcW w:w="1560" w:type="dxa"/>
            <w:tcBorders>
              <w:top w:val="single" w:color="000000" w:sz="4" w:space="0"/>
              <w:left w:val="single" w:color="000000" w:sz="4" w:space="0"/>
              <w:bottom w:val="single" w:color="000000" w:sz="4" w:space="0"/>
              <w:right w:val="nil"/>
            </w:tcBorders>
            <w:vAlign w:val="center"/>
          </w:tcPr>
          <w:p w14:paraId="263727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固态盘数量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4362683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1D17240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144D6D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E5F3AB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1497FC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0C32BB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06BA44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固态存储容量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9C625AE">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≥512G</w:t>
            </w:r>
          </w:p>
        </w:tc>
        <w:tc>
          <w:tcPr>
            <w:tcW w:w="1035" w:type="dxa"/>
            <w:tcBorders>
              <w:top w:val="single" w:color="000000" w:sz="4" w:space="0"/>
              <w:left w:val="single" w:color="000000" w:sz="4" w:space="0"/>
              <w:bottom w:val="single" w:color="000000" w:sz="4" w:space="0"/>
              <w:right w:val="single" w:color="000000" w:sz="4" w:space="0"/>
            </w:tcBorders>
            <w:vAlign w:val="center"/>
          </w:tcPr>
          <w:p w14:paraId="30A4EEA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7E7089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F246B5C">
            <w:pPr>
              <w:spacing w:line="360" w:lineRule="exact"/>
              <w:jc w:val="center"/>
              <w:textAlignment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35752E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EDEAC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FB1BB3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844E1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590989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047FD63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217B9D5">
            <w:pPr>
              <w:spacing w:line="360" w:lineRule="exact"/>
              <w:jc w:val="center"/>
              <w:textAlignment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ED09C4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B81723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CB8A0F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机械硬盘总容量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4F6CEC2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DB7ED8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3C679E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977F3CE">
            <w:pPr>
              <w:spacing w:line="360" w:lineRule="exact"/>
              <w:jc w:val="center"/>
              <w:textAlignment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4206D4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9748CD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7858AF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机械硬盘转速</w:t>
            </w:r>
          </w:p>
        </w:tc>
        <w:tc>
          <w:tcPr>
            <w:tcW w:w="3960" w:type="dxa"/>
            <w:tcBorders>
              <w:top w:val="single" w:color="000000" w:sz="4" w:space="0"/>
              <w:left w:val="single" w:color="000000" w:sz="4" w:space="0"/>
              <w:bottom w:val="single" w:color="000000" w:sz="4" w:space="0"/>
              <w:right w:val="single" w:color="000000" w:sz="4" w:space="0"/>
            </w:tcBorders>
            <w:vAlign w:val="center"/>
          </w:tcPr>
          <w:p w14:paraId="6D5761B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1596BC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3A95C2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F348A45">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77B449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1840666">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76FF51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机械硬盘接口协议</w:t>
            </w:r>
          </w:p>
        </w:tc>
        <w:tc>
          <w:tcPr>
            <w:tcW w:w="3960" w:type="dxa"/>
            <w:tcBorders>
              <w:top w:val="single" w:color="000000" w:sz="4" w:space="0"/>
              <w:left w:val="single" w:color="000000" w:sz="4" w:space="0"/>
              <w:bottom w:val="single" w:color="000000" w:sz="4" w:space="0"/>
              <w:right w:val="single" w:color="000000" w:sz="4" w:space="0"/>
            </w:tcBorders>
            <w:vAlign w:val="center"/>
          </w:tcPr>
          <w:p w14:paraId="02E9B47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FA5CAC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7DF6BA4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9DC9B07">
            <w:pPr>
              <w:spacing w:line="360" w:lineRule="exact"/>
              <w:jc w:val="center"/>
              <w:textAlignment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28C45D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DA4446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FF179D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机械硬盘形态</w:t>
            </w:r>
          </w:p>
        </w:tc>
        <w:tc>
          <w:tcPr>
            <w:tcW w:w="3960" w:type="dxa"/>
            <w:tcBorders>
              <w:top w:val="single" w:color="000000" w:sz="4" w:space="0"/>
              <w:left w:val="single" w:color="000000" w:sz="4" w:space="0"/>
              <w:bottom w:val="single" w:color="000000" w:sz="4" w:space="0"/>
              <w:right w:val="single" w:color="000000" w:sz="4" w:space="0"/>
            </w:tcBorders>
            <w:vAlign w:val="center"/>
          </w:tcPr>
          <w:p w14:paraId="6632B0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3601E25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72EF177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9903F9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4C9121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529565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DADF0F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固态存储接口协议</w:t>
            </w:r>
          </w:p>
        </w:tc>
        <w:tc>
          <w:tcPr>
            <w:tcW w:w="3960" w:type="dxa"/>
            <w:tcBorders>
              <w:top w:val="single" w:color="000000" w:sz="4" w:space="0"/>
              <w:left w:val="single" w:color="000000" w:sz="4" w:space="0"/>
              <w:bottom w:val="single" w:color="000000" w:sz="4" w:space="0"/>
              <w:right w:val="single" w:color="000000" w:sz="4" w:space="0"/>
            </w:tcBorders>
            <w:vAlign w:val="center"/>
          </w:tcPr>
          <w:p w14:paraId="447112FA">
            <w:pPr>
              <w:spacing w:line="360" w:lineRule="exact"/>
              <w:textAlignment w:val="center"/>
              <w:rPr>
                <w:rFonts w:hint="eastAsia" w:cs="仿宋_GB2312" w:asciiTheme="minorEastAsia" w:hAnsiTheme="minorEastAsia" w:eastAsiaTheme="minorEastAsia"/>
                <w:lang w:val="zh-TW" w:eastAsia="zh-TW"/>
              </w:rPr>
            </w:pPr>
            <w:r>
              <w:rPr>
                <w:rFonts w:cs="仿宋_GB2312" w:asciiTheme="minorEastAsia" w:hAnsiTheme="minorEastAsia" w:eastAsiaTheme="minorEastAsia"/>
                <w:lang w:eastAsia="zh-TW"/>
              </w:rPr>
              <w:t>NVMe</w:t>
            </w:r>
            <w:r>
              <w:rPr>
                <w:rFonts w:hint="eastAsia" w:cs="仿宋_GB2312" w:asciiTheme="minorEastAsia" w:hAnsiTheme="minorEastAsia" w:eastAsiaTheme="minorEastAsia"/>
                <w:lang w:eastAsia="zh-CN"/>
              </w:rPr>
              <w:t>类型接口协议</w:t>
            </w:r>
          </w:p>
        </w:tc>
        <w:tc>
          <w:tcPr>
            <w:tcW w:w="1035" w:type="dxa"/>
            <w:tcBorders>
              <w:top w:val="single" w:color="000000" w:sz="4" w:space="0"/>
              <w:left w:val="single" w:color="000000" w:sz="4" w:space="0"/>
              <w:bottom w:val="single" w:color="000000" w:sz="4" w:space="0"/>
              <w:right w:val="single" w:color="000000" w:sz="4" w:space="0"/>
            </w:tcBorders>
            <w:vAlign w:val="center"/>
          </w:tcPr>
          <w:p w14:paraId="0D469937">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否</w:t>
            </w:r>
          </w:p>
        </w:tc>
      </w:tr>
      <w:tr w14:paraId="3326C5E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A46D3C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18DAE3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B037F7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CD2F56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固态存储形态</w:t>
            </w:r>
          </w:p>
        </w:tc>
        <w:tc>
          <w:tcPr>
            <w:tcW w:w="3960" w:type="dxa"/>
            <w:tcBorders>
              <w:top w:val="single" w:color="000000" w:sz="4" w:space="0"/>
              <w:left w:val="single" w:color="000000" w:sz="4" w:space="0"/>
              <w:bottom w:val="single" w:color="000000" w:sz="4" w:space="0"/>
              <w:right w:val="single" w:color="000000" w:sz="4" w:space="0"/>
            </w:tcBorders>
            <w:vAlign w:val="center"/>
          </w:tcPr>
          <w:p w14:paraId="01799BF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主板板载M.2接口形态</w:t>
            </w:r>
          </w:p>
        </w:tc>
        <w:tc>
          <w:tcPr>
            <w:tcW w:w="1035" w:type="dxa"/>
            <w:tcBorders>
              <w:top w:val="single" w:color="000000" w:sz="4" w:space="0"/>
              <w:left w:val="single" w:color="000000" w:sz="4" w:space="0"/>
              <w:bottom w:val="single" w:color="000000" w:sz="4" w:space="0"/>
              <w:right w:val="single" w:color="000000" w:sz="4" w:space="0"/>
            </w:tcBorders>
            <w:vAlign w:val="center"/>
          </w:tcPr>
          <w:p w14:paraId="5EE3099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6C7CAF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B83263B">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81FE7A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CB9E3F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7ABA65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存储设备扩展盘位</w:t>
            </w:r>
          </w:p>
        </w:tc>
        <w:tc>
          <w:tcPr>
            <w:tcW w:w="3960" w:type="dxa"/>
            <w:tcBorders>
              <w:top w:val="single" w:color="000000" w:sz="4" w:space="0"/>
              <w:left w:val="single" w:color="000000" w:sz="4" w:space="0"/>
              <w:bottom w:val="single" w:color="000000" w:sz="4" w:space="0"/>
              <w:right w:val="single" w:color="000000" w:sz="4" w:space="0"/>
            </w:tcBorders>
            <w:vAlign w:val="center"/>
          </w:tcPr>
          <w:p w14:paraId="43F2BAD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E2F882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1885671">
        <w:tblPrEx>
          <w:tblCellMar>
            <w:top w:w="0" w:type="dxa"/>
            <w:left w:w="108" w:type="dxa"/>
            <w:bottom w:w="0" w:type="dxa"/>
            <w:right w:w="108" w:type="dxa"/>
          </w:tblCellMar>
        </w:tblPrEx>
        <w:trPr>
          <w:trHeight w:val="2187"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567DB1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77C56F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EA2871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D359F3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存储设备其他参数要求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5FF3A80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 xml:space="preserve">a)固态盘应符合 SJ/T 11654 相关规 </w:t>
            </w:r>
          </w:p>
          <w:p w14:paraId="59B27CC3">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 xml:space="preserve">定； </w:t>
            </w:r>
          </w:p>
          <w:p w14:paraId="424D11D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 xml:space="preserve">b)机械硬盘准备时间应不大于 30s；侧 </w:t>
            </w:r>
          </w:p>
          <w:p w14:paraId="0CA67F46">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 xml:space="preserve">面固定螺丝孔数量可为 4 孔或 6 孔； </w:t>
            </w:r>
          </w:p>
          <w:p w14:paraId="5BA6E093">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 xml:space="preserve">工作状态环境温度应满足 5℃~55℃； </w:t>
            </w:r>
          </w:p>
          <w:p w14:paraId="0800669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其它参数应符合 GB/T 12628 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209DC71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EB5014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6367D3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293A42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23</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3E5E29E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显卡规格</w:t>
            </w:r>
          </w:p>
        </w:tc>
        <w:tc>
          <w:tcPr>
            <w:tcW w:w="1560" w:type="dxa"/>
            <w:tcBorders>
              <w:top w:val="single" w:color="000000" w:sz="4" w:space="0"/>
              <w:left w:val="single" w:color="000000" w:sz="4" w:space="0"/>
              <w:bottom w:val="single" w:color="000000" w:sz="4" w:space="0"/>
              <w:right w:val="nil"/>
            </w:tcBorders>
            <w:vAlign w:val="center"/>
          </w:tcPr>
          <w:p w14:paraId="4E853C5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0A486CA2">
            <w:pPr>
              <w:spacing w:line="360" w:lineRule="exact"/>
              <w:textAlignment w:val="center"/>
              <w:rPr>
                <w:rFonts w:hint="eastAsia" w:cs="仿宋_GB2312" w:asciiTheme="minorEastAsia" w:hAnsiTheme="minorEastAsia" w:eastAsiaTheme="minorEastAsia"/>
                <w:highlight w:val="yellow"/>
                <w:lang w:val="zh-TW" w:eastAsia="zh-TW"/>
              </w:rPr>
            </w:pPr>
            <w:r>
              <w:rPr>
                <w:rFonts w:cs="仿宋_GB2312" w:asciiTheme="minorEastAsia" w:hAnsiTheme="minorEastAsia" w:eastAsiaTheme="minorEastAsia"/>
                <w:highlight w:val="none"/>
                <w:lang w:eastAsia="zh-CN" w:bidi="ar"/>
              </w:rPr>
              <w:t>RTX5060及以上独立显卡</w:t>
            </w:r>
          </w:p>
        </w:tc>
        <w:tc>
          <w:tcPr>
            <w:tcW w:w="1035" w:type="dxa"/>
            <w:tcBorders>
              <w:top w:val="single" w:color="000000" w:sz="4" w:space="0"/>
              <w:left w:val="single" w:color="000000" w:sz="4" w:space="0"/>
              <w:bottom w:val="single" w:color="000000" w:sz="4" w:space="0"/>
              <w:right w:val="single" w:color="000000" w:sz="4" w:space="0"/>
            </w:tcBorders>
            <w:vAlign w:val="center"/>
          </w:tcPr>
          <w:p w14:paraId="114CFB7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bidi="ar"/>
              </w:rPr>
              <w:t>否</w:t>
            </w:r>
          </w:p>
        </w:tc>
      </w:tr>
      <w:tr w14:paraId="7597463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550A2BB">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A1D81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64184A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4D3CC9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独立显卡显存类型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65E3C56E">
            <w:pPr>
              <w:spacing w:line="360" w:lineRule="exact"/>
              <w:textAlignment w:val="center"/>
              <w:rPr>
                <w:rFonts w:hint="eastAsia" w:cs="仿宋_GB2312" w:asciiTheme="minorEastAsia" w:hAnsiTheme="minorEastAsia" w:eastAsiaTheme="minorEastAsia"/>
                <w:highlight w:val="red"/>
                <w:lang w:eastAsia="zh-TW"/>
              </w:rPr>
            </w:pPr>
            <w:r>
              <w:rPr>
                <w:rFonts w:hint="eastAsia" w:cs="仿宋_GB2312" w:asciiTheme="minorEastAsia" w:hAnsiTheme="minorEastAsia" w:eastAsiaTheme="minorEastAsia"/>
                <w:highlight w:val="none"/>
                <w:lang w:val="en-US" w:eastAsia="zh-CN" w:bidi="ar"/>
              </w:rPr>
              <w:t>≥</w:t>
            </w:r>
            <w:r>
              <w:rPr>
                <w:rFonts w:hint="eastAsia" w:cs="仿宋_GB2312" w:asciiTheme="minorEastAsia" w:hAnsiTheme="minorEastAsia" w:eastAsiaTheme="minorEastAsia"/>
                <w:highlight w:val="none"/>
                <w:lang w:eastAsia="zh-CN" w:bidi="ar"/>
              </w:rPr>
              <w:t>显存类型GDDR</w:t>
            </w:r>
            <w:r>
              <w:rPr>
                <w:rFonts w:hint="eastAsia" w:cs="仿宋_GB2312" w:asciiTheme="minorEastAsia" w:hAnsiTheme="minorEastAsia" w:eastAsiaTheme="minorEastAsia"/>
                <w:highlight w:val="none"/>
                <w:lang w:bidi="ar"/>
              </w:rPr>
              <w:t>7</w:t>
            </w:r>
          </w:p>
        </w:tc>
        <w:tc>
          <w:tcPr>
            <w:tcW w:w="1035" w:type="dxa"/>
            <w:tcBorders>
              <w:top w:val="single" w:color="000000" w:sz="4" w:space="0"/>
              <w:left w:val="single" w:color="000000" w:sz="4" w:space="0"/>
              <w:bottom w:val="single" w:color="000000" w:sz="4" w:space="0"/>
              <w:right w:val="single" w:color="000000" w:sz="4" w:space="0"/>
            </w:tcBorders>
            <w:vAlign w:val="center"/>
          </w:tcPr>
          <w:p w14:paraId="2E66CB4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4FAA58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C4E1D66">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A41A58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3EDCF0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795ECB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独立显卡显存位宽</w:t>
            </w:r>
          </w:p>
        </w:tc>
        <w:tc>
          <w:tcPr>
            <w:tcW w:w="3960" w:type="dxa"/>
            <w:tcBorders>
              <w:top w:val="single" w:color="000000" w:sz="4" w:space="0"/>
              <w:left w:val="single" w:color="000000" w:sz="4" w:space="0"/>
              <w:bottom w:val="single" w:color="000000" w:sz="4" w:space="0"/>
              <w:right w:val="single" w:color="000000" w:sz="4" w:space="0"/>
            </w:tcBorders>
            <w:vAlign w:val="center"/>
          </w:tcPr>
          <w:p w14:paraId="2C776A4A">
            <w:pPr>
              <w:spacing w:line="360" w:lineRule="exact"/>
              <w:textAlignment w:val="center"/>
              <w:rPr>
                <w:rFonts w:hint="eastAsia" w:cs="仿宋_GB2312" w:asciiTheme="minorEastAsia" w:hAnsiTheme="minorEastAsia" w:eastAsiaTheme="minorEastAsia"/>
                <w:highlight w:val="red"/>
              </w:rPr>
            </w:pPr>
            <w:r>
              <w:rPr>
                <w:rFonts w:hint="eastAsia" w:cs="仿宋_GB2312" w:asciiTheme="minorEastAsia" w:hAnsiTheme="minorEastAsia" w:eastAsiaTheme="minorEastAsia"/>
                <w:highlight w:val="none"/>
                <w:lang w:val="en-US" w:eastAsia="zh-CN" w:bidi="ar"/>
              </w:rPr>
              <w:t>≥</w:t>
            </w:r>
            <w:r>
              <w:rPr>
                <w:rFonts w:hint="eastAsia" w:cs="仿宋_GB2312" w:asciiTheme="minorEastAsia" w:hAnsiTheme="minorEastAsia" w:eastAsiaTheme="minorEastAsia"/>
                <w:highlight w:val="none"/>
                <w:lang w:eastAsia="zh-CN"/>
              </w:rPr>
              <w:t>显存位宽</w:t>
            </w:r>
            <w:r>
              <w:rPr>
                <w:rFonts w:hint="eastAsia" w:cs="仿宋_GB2312" w:asciiTheme="minorEastAsia" w:hAnsiTheme="minorEastAsia" w:eastAsiaTheme="minorEastAsia"/>
                <w:highlight w:val="none"/>
              </w:rPr>
              <w:t>128</w:t>
            </w:r>
            <w:r>
              <w:rPr>
                <w:rFonts w:hint="eastAsia" w:cs="仿宋_GB2312" w:asciiTheme="minorEastAsia" w:hAnsiTheme="minorEastAsia" w:eastAsiaTheme="minorEastAsia"/>
                <w:highlight w:val="none"/>
                <w:lang w:eastAsia="zh-CN"/>
              </w:rPr>
              <w:t>Bit</w:t>
            </w:r>
          </w:p>
        </w:tc>
        <w:tc>
          <w:tcPr>
            <w:tcW w:w="1035" w:type="dxa"/>
            <w:tcBorders>
              <w:top w:val="single" w:color="000000" w:sz="4" w:space="0"/>
              <w:left w:val="single" w:color="000000" w:sz="4" w:space="0"/>
              <w:bottom w:val="single" w:color="000000" w:sz="4" w:space="0"/>
              <w:right w:val="single" w:color="000000" w:sz="4" w:space="0"/>
            </w:tcBorders>
            <w:vAlign w:val="center"/>
          </w:tcPr>
          <w:p w14:paraId="4E6AA36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5D6C28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B96367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5AA33A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501418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C9594B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独立显卡显存容量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3B18CF52">
            <w:pPr>
              <w:spacing w:line="360" w:lineRule="exact"/>
              <w:textAlignment w:val="center"/>
              <w:rPr>
                <w:rFonts w:hint="eastAsia" w:cs="仿宋_GB2312" w:asciiTheme="minorEastAsia" w:hAnsiTheme="minorEastAsia" w:eastAsiaTheme="minorEastAsia"/>
                <w:highlight w:val="red"/>
                <w:lang w:eastAsia="zh-TW"/>
              </w:rPr>
            </w:pPr>
            <w:r>
              <w:rPr>
                <w:rFonts w:hint="eastAsia" w:cs="仿宋_GB2312" w:asciiTheme="minorEastAsia" w:hAnsiTheme="minorEastAsia" w:eastAsiaTheme="minorEastAsia"/>
                <w:highlight w:val="none"/>
                <w:lang w:val="en-US" w:eastAsia="zh-CN" w:bidi="ar"/>
              </w:rPr>
              <w:t>≥</w:t>
            </w:r>
            <w:r>
              <w:rPr>
                <w:rFonts w:hint="eastAsia" w:cs="仿宋_GB2312" w:asciiTheme="minorEastAsia" w:hAnsiTheme="minorEastAsia" w:eastAsiaTheme="minorEastAsia"/>
                <w:highlight w:val="none"/>
                <w:lang w:bidi="ar"/>
              </w:rPr>
              <w:t>8</w:t>
            </w:r>
            <w:r>
              <w:rPr>
                <w:rFonts w:hint="eastAsia" w:cs="仿宋_GB2312" w:asciiTheme="minorEastAsia" w:hAnsiTheme="minorEastAsia" w:eastAsiaTheme="minorEastAsia"/>
                <w:highlight w:val="none"/>
                <w:lang w:eastAsia="zh-CN" w:bidi="ar"/>
              </w:rPr>
              <w:t>G</w:t>
            </w:r>
          </w:p>
        </w:tc>
        <w:tc>
          <w:tcPr>
            <w:tcW w:w="1035" w:type="dxa"/>
            <w:tcBorders>
              <w:top w:val="single" w:color="000000" w:sz="4" w:space="0"/>
              <w:left w:val="single" w:color="000000" w:sz="4" w:space="0"/>
              <w:bottom w:val="single" w:color="000000" w:sz="4" w:space="0"/>
              <w:right w:val="single" w:color="000000" w:sz="4" w:space="0"/>
            </w:tcBorders>
            <w:vAlign w:val="center"/>
          </w:tcPr>
          <w:p w14:paraId="6ADE259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E57B5B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4812BE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0F328E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DEDBFF6">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396B4C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独立显卡接口协议</w:t>
            </w:r>
          </w:p>
        </w:tc>
        <w:tc>
          <w:tcPr>
            <w:tcW w:w="3960" w:type="dxa"/>
            <w:tcBorders>
              <w:top w:val="single" w:color="000000" w:sz="4" w:space="0"/>
              <w:left w:val="single" w:color="000000" w:sz="4" w:space="0"/>
              <w:bottom w:val="single" w:color="000000" w:sz="4" w:space="0"/>
              <w:right w:val="single" w:color="000000" w:sz="4" w:space="0"/>
            </w:tcBorders>
            <w:vAlign w:val="center"/>
          </w:tcPr>
          <w:p w14:paraId="156C1F72">
            <w:pPr>
              <w:spacing w:line="360" w:lineRule="exact"/>
              <w:textAlignment w:val="center"/>
              <w:rPr>
                <w:rFonts w:hint="eastAsia" w:cs="仿宋_GB2312" w:asciiTheme="minorEastAsia" w:hAnsiTheme="minorEastAsia" w:eastAsiaTheme="minorEastAsia"/>
                <w:highlight w:val="red"/>
                <w:lang w:val="zh-TW" w:eastAsia="zh-TW"/>
              </w:rPr>
            </w:pPr>
            <w:r>
              <w:rPr>
                <w:rFonts w:hint="eastAsia" w:cs="仿宋_GB2312" w:asciiTheme="minorEastAsia" w:hAnsiTheme="minorEastAsia" w:eastAsiaTheme="minorEastAsia"/>
                <w:highlight w:val="none"/>
                <w:lang w:eastAsia="zh-CN"/>
              </w:rPr>
              <w:t>支持 PCIe 协议版本大于等于 2.0 的独立显卡接口协议</w:t>
            </w:r>
          </w:p>
        </w:tc>
        <w:tc>
          <w:tcPr>
            <w:tcW w:w="1035" w:type="dxa"/>
            <w:tcBorders>
              <w:top w:val="single" w:color="000000" w:sz="4" w:space="0"/>
              <w:left w:val="single" w:color="000000" w:sz="4" w:space="0"/>
              <w:bottom w:val="single" w:color="000000" w:sz="4" w:space="0"/>
              <w:right w:val="single" w:color="000000" w:sz="4" w:space="0"/>
            </w:tcBorders>
            <w:vAlign w:val="center"/>
          </w:tcPr>
          <w:p w14:paraId="43E28C4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5B5D46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74972A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F9910A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28</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23888CC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显示设备规格</w:t>
            </w:r>
          </w:p>
        </w:tc>
        <w:tc>
          <w:tcPr>
            <w:tcW w:w="1560" w:type="dxa"/>
            <w:tcBorders>
              <w:top w:val="single" w:color="000000" w:sz="4" w:space="0"/>
              <w:left w:val="single" w:color="000000" w:sz="4" w:space="0"/>
              <w:bottom w:val="single" w:color="000000" w:sz="4" w:space="0"/>
              <w:right w:val="nil"/>
            </w:tcBorders>
            <w:vAlign w:val="center"/>
          </w:tcPr>
          <w:p w14:paraId="2D47904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显示屏屏占比</w:t>
            </w:r>
          </w:p>
        </w:tc>
        <w:tc>
          <w:tcPr>
            <w:tcW w:w="3960" w:type="dxa"/>
            <w:tcBorders>
              <w:top w:val="single" w:color="000000" w:sz="4" w:space="0"/>
              <w:left w:val="single" w:color="000000" w:sz="4" w:space="0"/>
              <w:bottom w:val="single" w:color="000000" w:sz="4" w:space="0"/>
              <w:right w:val="single" w:color="000000" w:sz="4" w:space="0"/>
            </w:tcBorders>
            <w:vAlign w:val="center"/>
          </w:tcPr>
          <w:p w14:paraId="70AF3BF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≥90%</w:t>
            </w:r>
          </w:p>
        </w:tc>
        <w:tc>
          <w:tcPr>
            <w:tcW w:w="1035" w:type="dxa"/>
            <w:tcBorders>
              <w:top w:val="single" w:color="000000" w:sz="4" w:space="0"/>
              <w:left w:val="single" w:color="000000" w:sz="4" w:space="0"/>
              <w:bottom w:val="single" w:color="000000" w:sz="4" w:space="0"/>
              <w:right w:val="single" w:color="000000" w:sz="4" w:space="0"/>
            </w:tcBorders>
            <w:vAlign w:val="center"/>
          </w:tcPr>
          <w:p w14:paraId="6821928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3535ED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118775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5FA4C3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303568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7FF2DA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显示屏分辨率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0712700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≥1920x1080</w:t>
            </w:r>
          </w:p>
        </w:tc>
        <w:tc>
          <w:tcPr>
            <w:tcW w:w="1035" w:type="dxa"/>
            <w:tcBorders>
              <w:top w:val="single" w:color="000000" w:sz="4" w:space="0"/>
              <w:left w:val="single" w:color="000000" w:sz="4" w:space="0"/>
              <w:bottom w:val="single" w:color="000000" w:sz="4" w:space="0"/>
              <w:right w:val="single" w:color="000000" w:sz="4" w:space="0"/>
            </w:tcBorders>
            <w:vAlign w:val="center"/>
          </w:tcPr>
          <w:p w14:paraId="332EED1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D836CF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D89A68B">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8A7DFA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27584F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543AA0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显示屏像素密度</w:t>
            </w:r>
          </w:p>
        </w:tc>
        <w:tc>
          <w:tcPr>
            <w:tcW w:w="3960" w:type="dxa"/>
            <w:tcBorders>
              <w:top w:val="single" w:color="000000" w:sz="4" w:space="0"/>
              <w:left w:val="single" w:color="000000" w:sz="4" w:space="0"/>
              <w:bottom w:val="single" w:color="000000" w:sz="4" w:space="0"/>
              <w:right w:val="single" w:color="000000" w:sz="4" w:space="0"/>
            </w:tcBorders>
            <w:vAlign w:val="center"/>
          </w:tcPr>
          <w:p w14:paraId="1E3104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790AE0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BB8115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70ED4164">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AC03E5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F3878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E8D968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显示屏可视角度</w:t>
            </w:r>
          </w:p>
        </w:tc>
        <w:tc>
          <w:tcPr>
            <w:tcW w:w="3960" w:type="dxa"/>
            <w:tcBorders>
              <w:top w:val="single" w:color="000000" w:sz="4" w:space="0"/>
              <w:left w:val="single" w:color="000000" w:sz="4" w:space="0"/>
              <w:bottom w:val="single" w:color="000000" w:sz="4" w:space="0"/>
              <w:right w:val="single" w:color="000000" w:sz="4" w:space="0"/>
            </w:tcBorders>
            <w:vAlign w:val="center"/>
          </w:tcPr>
          <w:p w14:paraId="57EC4ACD">
            <w:pP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≥178°</w:t>
            </w:r>
          </w:p>
        </w:tc>
        <w:tc>
          <w:tcPr>
            <w:tcW w:w="1035" w:type="dxa"/>
            <w:tcBorders>
              <w:top w:val="single" w:color="000000" w:sz="4" w:space="0"/>
              <w:left w:val="single" w:color="000000" w:sz="4" w:space="0"/>
              <w:bottom w:val="single" w:color="000000" w:sz="4" w:space="0"/>
              <w:right w:val="single" w:color="000000" w:sz="4" w:space="0"/>
            </w:tcBorders>
            <w:vAlign w:val="center"/>
          </w:tcPr>
          <w:p w14:paraId="57783599">
            <w:pP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1E7DA8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C2F855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044E8D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1C5C0E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706581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显示屏尺寸</w:t>
            </w:r>
          </w:p>
        </w:tc>
        <w:tc>
          <w:tcPr>
            <w:tcW w:w="3960" w:type="dxa"/>
            <w:tcBorders>
              <w:top w:val="single" w:color="000000" w:sz="4" w:space="0"/>
              <w:left w:val="single" w:color="000000" w:sz="4" w:space="0"/>
              <w:bottom w:val="single" w:color="000000" w:sz="4" w:space="0"/>
              <w:right w:val="single" w:color="000000" w:sz="4" w:space="0"/>
            </w:tcBorders>
            <w:vAlign w:val="center"/>
          </w:tcPr>
          <w:p w14:paraId="2FF39D7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≥23.8 英寸</w:t>
            </w:r>
          </w:p>
        </w:tc>
        <w:tc>
          <w:tcPr>
            <w:tcW w:w="1035" w:type="dxa"/>
            <w:tcBorders>
              <w:top w:val="single" w:color="000000" w:sz="4" w:space="0"/>
              <w:left w:val="single" w:color="000000" w:sz="4" w:space="0"/>
              <w:bottom w:val="single" w:color="000000" w:sz="4" w:space="0"/>
              <w:right w:val="single" w:color="000000" w:sz="4" w:space="0"/>
            </w:tcBorders>
            <w:vAlign w:val="center"/>
          </w:tcPr>
          <w:p w14:paraId="0F57F0E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27A974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00A610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8796BD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DAEBFE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365118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显示屏屏幕比例</w:t>
            </w:r>
          </w:p>
        </w:tc>
        <w:tc>
          <w:tcPr>
            <w:tcW w:w="3960" w:type="dxa"/>
            <w:tcBorders>
              <w:top w:val="single" w:color="000000" w:sz="4" w:space="0"/>
              <w:left w:val="single" w:color="000000" w:sz="4" w:space="0"/>
              <w:bottom w:val="single" w:color="000000" w:sz="4" w:space="0"/>
              <w:right w:val="single" w:color="000000" w:sz="4" w:space="0"/>
            </w:tcBorders>
            <w:vAlign w:val="center"/>
          </w:tcPr>
          <w:p w14:paraId="3730B71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≥16:9</w:t>
            </w:r>
          </w:p>
        </w:tc>
        <w:tc>
          <w:tcPr>
            <w:tcW w:w="1035" w:type="dxa"/>
            <w:tcBorders>
              <w:top w:val="single" w:color="000000" w:sz="4" w:space="0"/>
              <w:left w:val="single" w:color="000000" w:sz="4" w:space="0"/>
              <w:bottom w:val="single" w:color="000000" w:sz="4" w:space="0"/>
              <w:right w:val="single" w:color="000000" w:sz="4" w:space="0"/>
            </w:tcBorders>
            <w:vAlign w:val="center"/>
          </w:tcPr>
          <w:p w14:paraId="20A9765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84A377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522777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ADCE30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38072E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7512EA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显示器外观颜色</w:t>
            </w:r>
          </w:p>
        </w:tc>
        <w:tc>
          <w:tcPr>
            <w:tcW w:w="3960" w:type="dxa"/>
            <w:tcBorders>
              <w:top w:val="single" w:color="000000" w:sz="4" w:space="0"/>
              <w:left w:val="single" w:color="000000" w:sz="4" w:space="0"/>
              <w:bottom w:val="single" w:color="000000" w:sz="4" w:space="0"/>
              <w:right w:val="single" w:color="000000" w:sz="4" w:space="0"/>
            </w:tcBorders>
            <w:vAlign w:val="center"/>
          </w:tcPr>
          <w:p w14:paraId="368500CE">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黑色</w:t>
            </w:r>
          </w:p>
        </w:tc>
        <w:tc>
          <w:tcPr>
            <w:tcW w:w="1035" w:type="dxa"/>
            <w:tcBorders>
              <w:top w:val="single" w:color="000000" w:sz="4" w:space="0"/>
              <w:left w:val="single" w:color="000000" w:sz="4" w:space="0"/>
              <w:bottom w:val="single" w:color="000000" w:sz="4" w:space="0"/>
              <w:right w:val="single" w:color="000000" w:sz="4" w:space="0"/>
            </w:tcBorders>
            <w:vAlign w:val="center"/>
          </w:tcPr>
          <w:p w14:paraId="74FC2937">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bidi="ar"/>
              </w:rPr>
              <w:t>否</w:t>
            </w:r>
          </w:p>
        </w:tc>
      </w:tr>
      <w:tr w14:paraId="66581FC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432433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12C562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0B43A9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B9C78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显示屏防蓝光</w:t>
            </w:r>
          </w:p>
        </w:tc>
        <w:tc>
          <w:tcPr>
            <w:tcW w:w="3960" w:type="dxa"/>
            <w:tcBorders>
              <w:top w:val="single" w:color="000000" w:sz="4" w:space="0"/>
              <w:left w:val="single" w:color="000000" w:sz="4" w:space="0"/>
              <w:bottom w:val="single" w:color="000000" w:sz="4" w:space="0"/>
              <w:right w:val="single" w:color="000000" w:sz="4" w:space="0"/>
            </w:tcBorders>
            <w:vAlign w:val="center"/>
          </w:tcPr>
          <w:p w14:paraId="48A6CAF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支持低蓝光护眼功能，蓝光加权辐射亮度比应≤0.0012W/(·cd·sr)（瓦每坎</w:t>
            </w:r>
          </w:p>
          <w:p w14:paraId="196174C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特拉每球面度）</w:t>
            </w:r>
          </w:p>
        </w:tc>
        <w:tc>
          <w:tcPr>
            <w:tcW w:w="1035" w:type="dxa"/>
            <w:tcBorders>
              <w:top w:val="single" w:color="000000" w:sz="4" w:space="0"/>
              <w:left w:val="single" w:color="000000" w:sz="4" w:space="0"/>
              <w:bottom w:val="single" w:color="000000" w:sz="4" w:space="0"/>
              <w:right w:val="single" w:color="000000" w:sz="4" w:space="0"/>
            </w:tcBorders>
            <w:vAlign w:val="center"/>
          </w:tcPr>
          <w:p w14:paraId="130D054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EEEFF9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E431AC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A8A051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3B1C41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D17C8A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显示屏低频闪</w:t>
            </w:r>
          </w:p>
        </w:tc>
        <w:tc>
          <w:tcPr>
            <w:tcW w:w="3960" w:type="dxa"/>
            <w:tcBorders>
              <w:top w:val="single" w:color="000000" w:sz="4" w:space="0"/>
              <w:left w:val="single" w:color="000000" w:sz="4" w:space="0"/>
              <w:bottom w:val="single" w:color="000000" w:sz="4" w:space="0"/>
              <w:right w:val="single" w:color="000000" w:sz="4" w:space="0"/>
            </w:tcBorders>
            <w:vAlign w:val="center"/>
          </w:tcPr>
          <w:p w14:paraId="6D091C2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显示屏应支持低频闪≤-35dB</w:t>
            </w:r>
          </w:p>
        </w:tc>
        <w:tc>
          <w:tcPr>
            <w:tcW w:w="1035" w:type="dxa"/>
            <w:tcBorders>
              <w:top w:val="single" w:color="000000" w:sz="4" w:space="0"/>
              <w:left w:val="single" w:color="000000" w:sz="4" w:space="0"/>
              <w:bottom w:val="single" w:color="000000" w:sz="4" w:space="0"/>
              <w:right w:val="single" w:color="000000" w:sz="4" w:space="0"/>
            </w:tcBorders>
            <w:vAlign w:val="center"/>
          </w:tcPr>
          <w:p w14:paraId="50B8FC4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852BB8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7ECBBB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F9B274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08374B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C8C660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显示屏防炫目</w:t>
            </w:r>
          </w:p>
        </w:tc>
        <w:tc>
          <w:tcPr>
            <w:tcW w:w="3960" w:type="dxa"/>
            <w:tcBorders>
              <w:top w:val="single" w:color="000000" w:sz="4" w:space="0"/>
              <w:left w:val="single" w:color="000000" w:sz="4" w:space="0"/>
              <w:bottom w:val="single" w:color="000000" w:sz="4" w:space="0"/>
              <w:right w:val="single" w:color="000000" w:sz="4" w:space="0"/>
            </w:tcBorders>
            <w:vAlign w:val="center"/>
          </w:tcPr>
          <w:p w14:paraId="550C6D2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显示屏镜面反射率≤10%</w:t>
            </w:r>
          </w:p>
        </w:tc>
        <w:tc>
          <w:tcPr>
            <w:tcW w:w="1035" w:type="dxa"/>
            <w:tcBorders>
              <w:top w:val="single" w:color="000000" w:sz="4" w:space="0"/>
              <w:left w:val="single" w:color="000000" w:sz="4" w:space="0"/>
              <w:bottom w:val="single" w:color="000000" w:sz="4" w:space="0"/>
              <w:right w:val="single" w:color="000000" w:sz="4" w:space="0"/>
            </w:tcBorders>
            <w:vAlign w:val="center"/>
          </w:tcPr>
          <w:p w14:paraId="4577929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B315EC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7AFD77E">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171C1D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38</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33A96A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外设规格</w:t>
            </w:r>
          </w:p>
        </w:tc>
        <w:tc>
          <w:tcPr>
            <w:tcW w:w="1560" w:type="dxa"/>
            <w:tcBorders>
              <w:top w:val="single" w:color="000000" w:sz="4" w:space="0"/>
              <w:left w:val="single" w:color="000000" w:sz="4" w:space="0"/>
              <w:bottom w:val="single" w:color="000000" w:sz="4" w:space="0"/>
              <w:right w:val="nil"/>
            </w:tcBorders>
            <w:vAlign w:val="center"/>
          </w:tcPr>
          <w:p w14:paraId="0E96335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传声器数量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1746C0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90D26D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36A5844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B1D028F">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E0D8EC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89D9CB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EE9B32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扬声器数量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557C3A5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A73A84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024027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884B3C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5ADF81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9648F6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66C62F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56BF258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 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583F400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9A54C2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932544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F7EB09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867FD0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2E6C23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617A48D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 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750BA89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ACD9C3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C7716F7">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F865A9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A791F0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B4D7B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摄像头数量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620886B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7837D08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3BACE9D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4BA6EE2">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8A4764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3AB699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C9BF7B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光驱数量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6360CD8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6DA03E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E41B94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A8FA4F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EDB9B7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4B12B8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6054AF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键盘按键数目</w:t>
            </w:r>
          </w:p>
        </w:tc>
        <w:tc>
          <w:tcPr>
            <w:tcW w:w="3960" w:type="dxa"/>
            <w:tcBorders>
              <w:top w:val="single" w:color="000000" w:sz="4" w:space="0"/>
              <w:left w:val="single" w:color="000000" w:sz="4" w:space="0"/>
              <w:bottom w:val="single" w:color="000000" w:sz="4" w:space="0"/>
              <w:right w:val="single" w:color="000000" w:sz="4" w:space="0"/>
            </w:tcBorders>
            <w:vAlign w:val="center"/>
          </w:tcPr>
          <w:p w14:paraId="69F4C52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≥104 键</w:t>
            </w:r>
          </w:p>
        </w:tc>
        <w:tc>
          <w:tcPr>
            <w:tcW w:w="1035" w:type="dxa"/>
            <w:tcBorders>
              <w:top w:val="single" w:color="000000" w:sz="4" w:space="0"/>
              <w:left w:val="single" w:color="000000" w:sz="4" w:space="0"/>
              <w:bottom w:val="single" w:color="000000" w:sz="4" w:space="0"/>
              <w:right w:val="single" w:color="000000" w:sz="4" w:space="0"/>
            </w:tcBorders>
            <w:vAlign w:val="center"/>
          </w:tcPr>
          <w:p w14:paraId="11313E8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98C486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BF127D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FA6E9C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062E89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AABB20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摄像头像素</w:t>
            </w:r>
          </w:p>
        </w:tc>
        <w:tc>
          <w:tcPr>
            <w:tcW w:w="3960" w:type="dxa"/>
            <w:tcBorders>
              <w:top w:val="single" w:color="000000" w:sz="4" w:space="0"/>
              <w:left w:val="single" w:color="000000" w:sz="4" w:space="0"/>
              <w:bottom w:val="single" w:color="000000" w:sz="4" w:space="0"/>
              <w:right w:val="single" w:color="000000" w:sz="4" w:space="0"/>
            </w:tcBorders>
            <w:vAlign w:val="center"/>
          </w:tcPr>
          <w:p w14:paraId="07493D3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240EB5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3E3C8FC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E1084F0">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0ABCD1A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4BA735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29F8BD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摄像头分辨率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2D98D37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21D26C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668E8B0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3655472">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64A019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68F8DC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CA1882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扬声器功率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0C2C0F6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8AB945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0BB415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484E83C">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88A9F6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B09D58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604BD3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扬声器频率范围</w:t>
            </w:r>
          </w:p>
        </w:tc>
        <w:tc>
          <w:tcPr>
            <w:tcW w:w="3960" w:type="dxa"/>
            <w:tcBorders>
              <w:top w:val="single" w:color="000000" w:sz="4" w:space="0"/>
              <w:left w:val="single" w:color="000000" w:sz="4" w:space="0"/>
              <w:bottom w:val="single" w:color="000000" w:sz="4" w:space="0"/>
              <w:right w:val="single" w:color="000000" w:sz="4" w:space="0"/>
            </w:tcBorders>
            <w:vAlign w:val="center"/>
          </w:tcPr>
          <w:p w14:paraId="0FAD92F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7BA816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65459C6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4F4BEA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34AE63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72B88A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93DA4E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扬声器总谐波失真</w:t>
            </w:r>
          </w:p>
        </w:tc>
        <w:tc>
          <w:tcPr>
            <w:tcW w:w="3960" w:type="dxa"/>
            <w:tcBorders>
              <w:top w:val="single" w:color="000000" w:sz="4" w:space="0"/>
              <w:left w:val="single" w:color="000000" w:sz="4" w:space="0"/>
              <w:bottom w:val="single" w:color="000000" w:sz="4" w:space="0"/>
              <w:right w:val="single" w:color="000000" w:sz="4" w:space="0"/>
            </w:tcBorders>
            <w:vAlign w:val="center"/>
          </w:tcPr>
          <w:p w14:paraId="6341B78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A22CCD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6F98D9B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A4EC120">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DCD040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1F990D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C3350C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扬声器最大声压级</w:t>
            </w:r>
          </w:p>
        </w:tc>
        <w:tc>
          <w:tcPr>
            <w:tcW w:w="3960" w:type="dxa"/>
            <w:tcBorders>
              <w:top w:val="single" w:color="000000" w:sz="4" w:space="0"/>
              <w:left w:val="single" w:color="000000" w:sz="4" w:space="0"/>
              <w:bottom w:val="single" w:color="000000" w:sz="4" w:space="0"/>
              <w:right w:val="single" w:color="000000" w:sz="4" w:space="0"/>
            </w:tcBorders>
            <w:vAlign w:val="center"/>
          </w:tcPr>
          <w:p w14:paraId="5E01A33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3742BD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64315D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7E3134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0CD598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EBAF08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55F019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键盘连接方式</w:t>
            </w:r>
          </w:p>
        </w:tc>
        <w:tc>
          <w:tcPr>
            <w:tcW w:w="3960" w:type="dxa"/>
            <w:tcBorders>
              <w:top w:val="single" w:color="000000" w:sz="4" w:space="0"/>
              <w:left w:val="single" w:color="000000" w:sz="4" w:space="0"/>
              <w:bottom w:val="single" w:color="000000" w:sz="4" w:space="0"/>
              <w:right w:val="single" w:color="000000" w:sz="4" w:space="0"/>
            </w:tcBorders>
            <w:vAlign w:val="center"/>
          </w:tcPr>
          <w:p w14:paraId="1893BD1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USB有线连接</w:t>
            </w:r>
          </w:p>
        </w:tc>
        <w:tc>
          <w:tcPr>
            <w:tcW w:w="1035" w:type="dxa"/>
            <w:tcBorders>
              <w:top w:val="single" w:color="000000" w:sz="4" w:space="0"/>
              <w:left w:val="single" w:color="000000" w:sz="4" w:space="0"/>
              <w:bottom w:val="single" w:color="000000" w:sz="4" w:space="0"/>
              <w:right w:val="single" w:color="000000" w:sz="4" w:space="0"/>
            </w:tcBorders>
            <w:vAlign w:val="center"/>
          </w:tcPr>
          <w:p w14:paraId="64A2EF0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5043C4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F86DA5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899E29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D73C88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D7FC0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键盘键程</w:t>
            </w:r>
          </w:p>
        </w:tc>
        <w:tc>
          <w:tcPr>
            <w:tcW w:w="3960" w:type="dxa"/>
            <w:tcBorders>
              <w:top w:val="single" w:color="000000" w:sz="4" w:space="0"/>
              <w:left w:val="single" w:color="000000" w:sz="4" w:space="0"/>
              <w:bottom w:val="single" w:color="000000" w:sz="4" w:space="0"/>
              <w:right w:val="single" w:color="000000" w:sz="4" w:space="0"/>
            </w:tcBorders>
            <w:vAlign w:val="center"/>
          </w:tcPr>
          <w:p w14:paraId="42F7A0F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2.3mm ~ 4.0mm</w:t>
            </w:r>
          </w:p>
        </w:tc>
        <w:tc>
          <w:tcPr>
            <w:tcW w:w="1035" w:type="dxa"/>
            <w:tcBorders>
              <w:top w:val="single" w:color="000000" w:sz="4" w:space="0"/>
              <w:left w:val="single" w:color="000000" w:sz="4" w:space="0"/>
              <w:bottom w:val="single" w:color="000000" w:sz="4" w:space="0"/>
              <w:right w:val="single" w:color="000000" w:sz="4" w:space="0"/>
            </w:tcBorders>
            <w:vAlign w:val="center"/>
          </w:tcPr>
          <w:p w14:paraId="3970098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90B94B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44ECF5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052675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5528A8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BADDB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键盘按键压力</w:t>
            </w:r>
          </w:p>
        </w:tc>
        <w:tc>
          <w:tcPr>
            <w:tcW w:w="3960" w:type="dxa"/>
            <w:tcBorders>
              <w:top w:val="single" w:color="000000" w:sz="4" w:space="0"/>
              <w:left w:val="single" w:color="000000" w:sz="4" w:space="0"/>
              <w:bottom w:val="single" w:color="000000" w:sz="4" w:space="0"/>
              <w:right w:val="single" w:color="000000" w:sz="4" w:space="0"/>
            </w:tcBorders>
            <w:vAlign w:val="center"/>
          </w:tcPr>
          <w:p w14:paraId="61B7BDF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val="zh-TW" w:eastAsia="zh-TW"/>
              </w:rPr>
              <w:t xml:space="preserve"> 0.54 N±0.14N</w:t>
            </w:r>
          </w:p>
        </w:tc>
        <w:tc>
          <w:tcPr>
            <w:tcW w:w="1035" w:type="dxa"/>
            <w:tcBorders>
              <w:top w:val="single" w:color="000000" w:sz="4" w:space="0"/>
              <w:left w:val="single" w:color="000000" w:sz="4" w:space="0"/>
              <w:bottom w:val="single" w:color="000000" w:sz="4" w:space="0"/>
              <w:right w:val="single" w:color="000000" w:sz="4" w:space="0"/>
            </w:tcBorders>
            <w:vAlign w:val="center"/>
          </w:tcPr>
          <w:p w14:paraId="610E994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否</w:t>
            </w:r>
          </w:p>
        </w:tc>
      </w:tr>
      <w:tr w14:paraId="4035452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D11D1B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939DFA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C6CB66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2E6BCB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有线键盘连接线</w:t>
            </w:r>
          </w:p>
        </w:tc>
        <w:tc>
          <w:tcPr>
            <w:tcW w:w="3960" w:type="dxa"/>
            <w:tcBorders>
              <w:top w:val="single" w:color="000000" w:sz="4" w:space="0"/>
              <w:left w:val="single" w:color="000000" w:sz="4" w:space="0"/>
              <w:bottom w:val="single" w:color="000000" w:sz="4" w:space="0"/>
              <w:right w:val="single" w:color="000000" w:sz="4" w:space="0"/>
            </w:tcBorders>
            <w:vAlign w:val="center"/>
          </w:tcPr>
          <w:p w14:paraId="6A9B981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≥1.5米</w:t>
            </w:r>
          </w:p>
        </w:tc>
        <w:tc>
          <w:tcPr>
            <w:tcW w:w="1035" w:type="dxa"/>
            <w:tcBorders>
              <w:top w:val="single" w:color="000000" w:sz="4" w:space="0"/>
              <w:left w:val="single" w:color="000000" w:sz="4" w:space="0"/>
              <w:bottom w:val="single" w:color="000000" w:sz="4" w:space="0"/>
              <w:right w:val="single" w:color="000000" w:sz="4" w:space="0"/>
            </w:tcBorders>
            <w:vAlign w:val="center"/>
          </w:tcPr>
          <w:p w14:paraId="02055CB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CC04CF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FC40FB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63133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65DC85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0E9A10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键盘颜色</w:t>
            </w:r>
          </w:p>
        </w:tc>
        <w:tc>
          <w:tcPr>
            <w:tcW w:w="3960" w:type="dxa"/>
            <w:tcBorders>
              <w:top w:val="single" w:color="000000" w:sz="4" w:space="0"/>
              <w:left w:val="single" w:color="000000" w:sz="4" w:space="0"/>
              <w:bottom w:val="single" w:color="000000" w:sz="4" w:space="0"/>
              <w:right w:val="single" w:color="000000" w:sz="4" w:space="0"/>
            </w:tcBorders>
            <w:vAlign w:val="center"/>
          </w:tcPr>
          <w:p w14:paraId="1FF518DE">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黑色</w:t>
            </w:r>
          </w:p>
        </w:tc>
        <w:tc>
          <w:tcPr>
            <w:tcW w:w="1035" w:type="dxa"/>
            <w:tcBorders>
              <w:top w:val="single" w:color="000000" w:sz="4" w:space="0"/>
              <w:left w:val="single" w:color="000000" w:sz="4" w:space="0"/>
              <w:bottom w:val="single" w:color="000000" w:sz="4" w:space="0"/>
              <w:right w:val="single" w:color="000000" w:sz="4" w:space="0"/>
            </w:tcBorders>
            <w:vAlign w:val="center"/>
          </w:tcPr>
          <w:p w14:paraId="4D586989">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bidi="ar"/>
              </w:rPr>
              <w:t>否</w:t>
            </w:r>
          </w:p>
        </w:tc>
      </w:tr>
      <w:tr w14:paraId="3769781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11CB24C">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A24ED3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E8C4E1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C787BC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键盘其他要求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57D8CD3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6AE7CC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58F50E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3034F2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97F486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EFA21B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9807BC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鼠标连接方式</w:t>
            </w:r>
          </w:p>
        </w:tc>
        <w:tc>
          <w:tcPr>
            <w:tcW w:w="3960" w:type="dxa"/>
            <w:tcBorders>
              <w:top w:val="single" w:color="000000" w:sz="4" w:space="0"/>
              <w:left w:val="single" w:color="000000" w:sz="4" w:space="0"/>
              <w:bottom w:val="single" w:color="000000" w:sz="4" w:space="0"/>
              <w:right w:val="single" w:color="000000" w:sz="4" w:space="0"/>
            </w:tcBorders>
            <w:vAlign w:val="center"/>
          </w:tcPr>
          <w:p w14:paraId="3A620C2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USB有线连接</w:t>
            </w:r>
          </w:p>
        </w:tc>
        <w:tc>
          <w:tcPr>
            <w:tcW w:w="1035" w:type="dxa"/>
            <w:tcBorders>
              <w:top w:val="single" w:color="000000" w:sz="4" w:space="0"/>
              <w:left w:val="single" w:color="000000" w:sz="4" w:space="0"/>
              <w:bottom w:val="single" w:color="000000" w:sz="4" w:space="0"/>
              <w:right w:val="single" w:color="000000" w:sz="4" w:space="0"/>
            </w:tcBorders>
            <w:vAlign w:val="center"/>
          </w:tcPr>
          <w:p w14:paraId="0BF4454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299A8B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48B4AE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01199C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A73B21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B15FE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有线鼠标连接线</w:t>
            </w:r>
          </w:p>
        </w:tc>
        <w:tc>
          <w:tcPr>
            <w:tcW w:w="3960" w:type="dxa"/>
            <w:tcBorders>
              <w:top w:val="single" w:color="000000" w:sz="4" w:space="0"/>
              <w:left w:val="single" w:color="000000" w:sz="4" w:space="0"/>
              <w:bottom w:val="single" w:color="000000" w:sz="4" w:space="0"/>
              <w:right w:val="single" w:color="000000" w:sz="4" w:space="0"/>
            </w:tcBorders>
            <w:vAlign w:val="center"/>
          </w:tcPr>
          <w:p w14:paraId="1C87BD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≥1.5米</w:t>
            </w:r>
          </w:p>
        </w:tc>
        <w:tc>
          <w:tcPr>
            <w:tcW w:w="1035" w:type="dxa"/>
            <w:tcBorders>
              <w:top w:val="single" w:color="000000" w:sz="4" w:space="0"/>
              <w:left w:val="single" w:color="000000" w:sz="4" w:space="0"/>
              <w:bottom w:val="single" w:color="000000" w:sz="4" w:space="0"/>
              <w:right w:val="single" w:color="000000" w:sz="4" w:space="0"/>
            </w:tcBorders>
            <w:vAlign w:val="center"/>
          </w:tcPr>
          <w:p w14:paraId="08CF141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65FB5F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EBB0DF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31A971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FEEBF8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CBA024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 DPI分辨率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6DCC3FAB">
            <w:pPr>
              <w:spacing w:line="360" w:lineRule="exact"/>
              <w:textAlignment w:val="center"/>
              <w:rPr>
                <w:rFonts w:hint="eastAsia" w:cs="仿宋_GB2312" w:asciiTheme="minorEastAsia" w:hAnsiTheme="minorEastAsia" w:eastAsiaTheme="minorEastAsia"/>
                <w:lang w:eastAsia="zh-TW"/>
              </w:rPr>
            </w:pPr>
            <w:r>
              <w:rPr>
                <w:rFonts w:cs="仿宋_GB2312" w:asciiTheme="minorEastAsia" w:hAnsiTheme="minorEastAsia" w:eastAsiaTheme="minorEastAsia"/>
                <w:lang w:eastAsia="zh-TW"/>
              </w:rPr>
              <w:t>800-1600</w:t>
            </w:r>
          </w:p>
        </w:tc>
        <w:tc>
          <w:tcPr>
            <w:tcW w:w="1035" w:type="dxa"/>
            <w:tcBorders>
              <w:top w:val="single" w:color="000000" w:sz="4" w:space="0"/>
              <w:left w:val="single" w:color="000000" w:sz="4" w:space="0"/>
              <w:bottom w:val="single" w:color="000000" w:sz="4" w:space="0"/>
              <w:right w:val="single" w:color="000000" w:sz="4" w:space="0"/>
            </w:tcBorders>
            <w:vAlign w:val="center"/>
          </w:tcPr>
          <w:p w14:paraId="3A8CEF13">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否</w:t>
            </w:r>
          </w:p>
        </w:tc>
      </w:tr>
      <w:tr w14:paraId="177B99A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EDE2F4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27153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0A5E9F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6D74D1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鼠标颜色</w:t>
            </w:r>
          </w:p>
        </w:tc>
        <w:tc>
          <w:tcPr>
            <w:tcW w:w="3960" w:type="dxa"/>
            <w:tcBorders>
              <w:top w:val="single" w:color="000000" w:sz="4" w:space="0"/>
              <w:left w:val="single" w:color="000000" w:sz="4" w:space="0"/>
              <w:bottom w:val="single" w:color="000000" w:sz="4" w:space="0"/>
              <w:right w:val="single" w:color="000000" w:sz="4" w:space="0"/>
            </w:tcBorders>
            <w:vAlign w:val="center"/>
          </w:tcPr>
          <w:p w14:paraId="2AB3CB52">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黑色</w:t>
            </w:r>
          </w:p>
        </w:tc>
        <w:tc>
          <w:tcPr>
            <w:tcW w:w="1035" w:type="dxa"/>
            <w:tcBorders>
              <w:top w:val="single" w:color="000000" w:sz="4" w:space="0"/>
              <w:left w:val="single" w:color="000000" w:sz="4" w:space="0"/>
              <w:bottom w:val="single" w:color="000000" w:sz="4" w:space="0"/>
              <w:right w:val="single" w:color="000000" w:sz="4" w:space="0"/>
            </w:tcBorders>
            <w:vAlign w:val="center"/>
          </w:tcPr>
          <w:p w14:paraId="1AAB845F">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bidi="ar"/>
              </w:rPr>
              <w:t>否</w:t>
            </w:r>
          </w:p>
        </w:tc>
      </w:tr>
      <w:tr w14:paraId="2599BB3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C32385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A8378E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F24403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4056F3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鼠标其他要求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6F27607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其它参数应符合 GB/T 26245 的相关规定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4B4E094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3C1343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CCFFE08">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2050D1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F04546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606158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内置光驱</w:t>
            </w:r>
          </w:p>
        </w:tc>
        <w:tc>
          <w:tcPr>
            <w:tcW w:w="3960" w:type="dxa"/>
            <w:tcBorders>
              <w:top w:val="single" w:color="000000" w:sz="4" w:space="0"/>
              <w:left w:val="single" w:color="000000" w:sz="4" w:space="0"/>
              <w:bottom w:val="single" w:color="000000" w:sz="4" w:space="0"/>
              <w:right w:val="single" w:color="000000" w:sz="4" w:space="0"/>
            </w:tcBorders>
            <w:vAlign w:val="center"/>
          </w:tcPr>
          <w:p w14:paraId="3A18FD8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20D698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6ACB6FC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A71244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32FB6E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63</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75BAF9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网络设备规格</w:t>
            </w:r>
          </w:p>
        </w:tc>
        <w:tc>
          <w:tcPr>
            <w:tcW w:w="1560" w:type="dxa"/>
            <w:tcBorders>
              <w:top w:val="single" w:color="000000" w:sz="4" w:space="0"/>
              <w:left w:val="single" w:color="000000" w:sz="4" w:space="0"/>
              <w:bottom w:val="single" w:color="000000" w:sz="4" w:space="0"/>
              <w:right w:val="nil"/>
            </w:tcBorders>
            <w:vAlign w:val="center"/>
          </w:tcPr>
          <w:p w14:paraId="33AB09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有线网卡数量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629E68B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w:t>
            </w:r>
          </w:p>
        </w:tc>
        <w:tc>
          <w:tcPr>
            <w:tcW w:w="1035" w:type="dxa"/>
            <w:tcBorders>
              <w:top w:val="single" w:color="000000" w:sz="4" w:space="0"/>
              <w:left w:val="single" w:color="000000" w:sz="4" w:space="0"/>
              <w:bottom w:val="single" w:color="000000" w:sz="4" w:space="0"/>
              <w:right w:val="single" w:color="000000" w:sz="4" w:space="0"/>
            </w:tcBorders>
            <w:vAlign w:val="center"/>
          </w:tcPr>
          <w:p w14:paraId="02DBCA9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11EE3C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284BCE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666054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657F16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D16376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无线网卡及天线数量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54D9C20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F04518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04DF1C3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48E171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7B1008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3E1DDE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D5BC82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单无线网卡天线数量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2E19E2A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960F9C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436BF64">
        <w:tblPrEx>
          <w:tblCellMar>
            <w:top w:w="0" w:type="dxa"/>
            <w:left w:w="108" w:type="dxa"/>
            <w:bottom w:w="0" w:type="dxa"/>
            <w:right w:w="108" w:type="dxa"/>
          </w:tblCellMar>
        </w:tblPrEx>
        <w:trPr>
          <w:trHeight w:val="775" w:hRule="atLeast"/>
        </w:trPr>
        <w:tc>
          <w:tcPr>
            <w:tcW w:w="653" w:type="dxa"/>
            <w:tcBorders>
              <w:top w:val="single" w:color="000000" w:sz="4" w:space="0"/>
              <w:left w:val="single" w:color="000000" w:sz="4" w:space="0"/>
              <w:right w:val="single" w:color="000000" w:sz="4" w:space="0"/>
            </w:tcBorders>
            <w:vAlign w:val="center"/>
          </w:tcPr>
          <w:p w14:paraId="796F95C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right w:val="single" w:color="000000" w:sz="4" w:space="0"/>
            </w:tcBorders>
            <w:vAlign w:val="center"/>
          </w:tcPr>
          <w:p w14:paraId="4019E34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66</w:t>
            </w:r>
          </w:p>
        </w:tc>
        <w:tc>
          <w:tcPr>
            <w:tcW w:w="1230" w:type="dxa"/>
            <w:vMerge w:val="restart"/>
            <w:tcBorders>
              <w:top w:val="single" w:color="000000" w:sz="4" w:space="0"/>
              <w:left w:val="single" w:color="000000" w:sz="4" w:space="0"/>
              <w:right w:val="single" w:color="000000" w:sz="4" w:space="0"/>
            </w:tcBorders>
            <w:vAlign w:val="center"/>
          </w:tcPr>
          <w:p w14:paraId="688FE8F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外部接口规格</w:t>
            </w:r>
          </w:p>
        </w:tc>
        <w:tc>
          <w:tcPr>
            <w:tcW w:w="1560" w:type="dxa"/>
            <w:tcBorders>
              <w:top w:val="single" w:color="000000" w:sz="4" w:space="0"/>
              <w:left w:val="single" w:color="000000" w:sz="4" w:space="0"/>
              <w:bottom w:val="single" w:color="000000" w:sz="4" w:space="0"/>
              <w:right w:val="nil"/>
            </w:tcBorders>
            <w:vAlign w:val="center"/>
          </w:tcPr>
          <w:p w14:paraId="269F857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USB 接口数量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B4D9BCA">
            <w:pPr>
              <w:spacing w:after="120" w:line="360" w:lineRule="exact"/>
              <w:textAlignment w:val="center"/>
              <w:rPr>
                <w:rFonts w:hint="eastAsia" w:cs="仿宋_GB2312" w:asciiTheme="minorEastAsia" w:hAnsiTheme="minorEastAsia" w:eastAsiaTheme="minorEastAsia"/>
                <w:lang w:eastAsia="zh-CN"/>
              </w:rPr>
            </w:pPr>
            <w:r>
              <w:rPr>
                <w:rFonts w:cs="仿宋_GB2312" w:asciiTheme="minorEastAsia" w:hAnsiTheme="minorEastAsia" w:eastAsiaTheme="minorEastAsia"/>
                <w:lang w:eastAsia="zh-TW" w:bidi="ar"/>
              </w:rPr>
              <w:t>主板原生USB 3.0接口不少于8个(前置至少4个</w:t>
            </w:r>
            <w:r>
              <w:rPr>
                <w:rFonts w:hint="eastAsia" w:cs="仿宋_GB2312" w:asciiTheme="minorEastAsia" w:hAnsiTheme="minorEastAsia" w:eastAsiaTheme="minorEastAsia"/>
                <w:lang w:eastAsia="zh-CN" w:bidi="ar"/>
              </w:rPr>
              <w:t>USB3.0)</w:t>
            </w:r>
          </w:p>
        </w:tc>
        <w:tc>
          <w:tcPr>
            <w:tcW w:w="1035" w:type="dxa"/>
            <w:tcBorders>
              <w:top w:val="single" w:color="000000" w:sz="4" w:space="0"/>
              <w:left w:val="single" w:color="000000" w:sz="4" w:space="0"/>
              <w:bottom w:val="single" w:color="000000" w:sz="4" w:space="0"/>
              <w:right w:val="single" w:color="000000" w:sz="4" w:space="0"/>
            </w:tcBorders>
            <w:vAlign w:val="center"/>
          </w:tcPr>
          <w:p w14:paraId="00FD4295">
            <w:pPr>
              <w:spacing w:after="120" w:line="360" w:lineRule="exact"/>
              <w:textAlignment w:val="center"/>
              <w:rPr>
                <w:rFonts w:hint="eastAsia" w:cs="仿宋_GB2312" w:asciiTheme="minorEastAsia" w:hAnsiTheme="minorEastAsia" w:eastAsiaTheme="minorEastAsia"/>
                <w:lang w:eastAsia="zh-TW" w:bidi="ar"/>
              </w:rPr>
            </w:pPr>
            <w:r>
              <w:rPr>
                <w:rFonts w:hint="eastAsia" w:cs="仿宋_GB2312" w:asciiTheme="minorEastAsia" w:hAnsiTheme="minorEastAsia" w:eastAsiaTheme="minorEastAsia"/>
                <w:color w:val="auto"/>
                <w:lang w:eastAsia="zh-CN" w:bidi="ar"/>
              </w:rPr>
              <w:t>否</w:t>
            </w:r>
          </w:p>
        </w:tc>
      </w:tr>
      <w:tr w14:paraId="138AD8B4">
        <w:tblPrEx>
          <w:tblCellMar>
            <w:top w:w="0" w:type="dxa"/>
            <w:left w:w="108" w:type="dxa"/>
            <w:bottom w:w="0" w:type="dxa"/>
            <w:right w:w="108" w:type="dxa"/>
          </w:tblCellMar>
        </w:tblPrEx>
        <w:trPr>
          <w:trHeight w:val="90" w:hRule="atLeast"/>
        </w:trPr>
        <w:tc>
          <w:tcPr>
            <w:tcW w:w="653" w:type="dxa"/>
            <w:tcBorders>
              <w:top w:val="single" w:color="000000" w:sz="4" w:space="0"/>
              <w:left w:val="single" w:color="000000" w:sz="4" w:space="0"/>
              <w:bottom w:val="single" w:color="000000" w:sz="4" w:space="0"/>
              <w:right w:val="single" w:color="000000" w:sz="4" w:space="0"/>
            </w:tcBorders>
          </w:tcPr>
          <w:p w14:paraId="320A03BB">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EC131D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D925CD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CA362E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USB 母座接口要求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7786216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DB203E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00640B2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10EF6F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537A41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A5ECDC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F84B30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视频接口数量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23A97215">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≥2</w:t>
            </w:r>
          </w:p>
        </w:tc>
        <w:tc>
          <w:tcPr>
            <w:tcW w:w="1035" w:type="dxa"/>
            <w:tcBorders>
              <w:top w:val="single" w:color="000000" w:sz="4" w:space="0"/>
              <w:left w:val="single" w:color="000000" w:sz="4" w:space="0"/>
              <w:bottom w:val="single" w:color="000000" w:sz="4" w:space="0"/>
              <w:right w:val="single" w:color="000000" w:sz="4" w:space="0"/>
            </w:tcBorders>
            <w:vAlign w:val="center"/>
          </w:tcPr>
          <w:p w14:paraId="5BE1018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F8B7B7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F53809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BEF1A7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69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4C9D65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314F06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音频接口数量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4D420CF8">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5</w:t>
            </w:r>
          </w:p>
        </w:tc>
        <w:tc>
          <w:tcPr>
            <w:tcW w:w="1035" w:type="dxa"/>
            <w:tcBorders>
              <w:top w:val="single" w:color="000000" w:sz="4" w:space="0"/>
              <w:left w:val="single" w:color="000000" w:sz="4" w:space="0"/>
              <w:bottom w:val="single" w:color="000000" w:sz="4" w:space="0"/>
              <w:right w:val="single" w:color="000000" w:sz="4" w:space="0"/>
            </w:tcBorders>
            <w:vAlign w:val="center"/>
          </w:tcPr>
          <w:p w14:paraId="77EC8E2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DDEC43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AB322A7">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68A89F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56AC34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2E6A01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存储卡接口数量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A0C9E7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3CBB238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B52E6F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2460EE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603EE3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71</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05742CE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整机基础规格</w:t>
            </w:r>
          </w:p>
        </w:tc>
        <w:tc>
          <w:tcPr>
            <w:tcW w:w="1560" w:type="dxa"/>
            <w:tcBorders>
              <w:top w:val="single" w:color="000000" w:sz="4" w:space="0"/>
              <w:left w:val="single" w:color="000000" w:sz="4" w:space="0"/>
              <w:bottom w:val="single" w:color="000000" w:sz="4" w:space="0"/>
              <w:right w:val="nil"/>
            </w:tcBorders>
            <w:vAlign w:val="center"/>
          </w:tcPr>
          <w:p w14:paraId="03733AB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整机外观</w:t>
            </w:r>
          </w:p>
        </w:tc>
        <w:tc>
          <w:tcPr>
            <w:tcW w:w="3960" w:type="dxa"/>
            <w:tcBorders>
              <w:top w:val="single" w:color="000000" w:sz="4" w:space="0"/>
              <w:left w:val="single" w:color="000000" w:sz="4" w:space="0"/>
              <w:bottom w:val="single" w:color="000000" w:sz="4" w:space="0"/>
              <w:right w:val="single" w:color="000000" w:sz="4" w:space="0"/>
            </w:tcBorders>
            <w:vAlign w:val="center"/>
          </w:tcPr>
          <w:p w14:paraId="0B894364">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a) 产品表面不应有凹痕、划伤、裂缝、变形和污染等。表面涂层均匀，不应起泡、龟裂、脱落和磨损，金属零部件无锈蚀及其它机械损伤；</w:t>
            </w:r>
          </w:p>
          <w:p w14:paraId="1D01640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b) 产品表面说明功能的文字、符号、标志，应清晰、端正、牢固</w:t>
            </w:r>
          </w:p>
        </w:tc>
        <w:tc>
          <w:tcPr>
            <w:tcW w:w="1035" w:type="dxa"/>
            <w:tcBorders>
              <w:top w:val="single" w:color="000000" w:sz="4" w:space="0"/>
              <w:left w:val="single" w:color="000000" w:sz="4" w:space="0"/>
              <w:bottom w:val="single" w:color="000000" w:sz="4" w:space="0"/>
              <w:right w:val="single" w:color="000000" w:sz="4" w:space="0"/>
            </w:tcBorders>
            <w:vAlign w:val="center"/>
          </w:tcPr>
          <w:p w14:paraId="26DA7AC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EB81BC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C39D18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EACF7B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45DD8F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B23A8A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状态指示灯</w:t>
            </w:r>
          </w:p>
        </w:tc>
        <w:tc>
          <w:tcPr>
            <w:tcW w:w="3960" w:type="dxa"/>
            <w:tcBorders>
              <w:top w:val="single" w:color="000000" w:sz="4" w:space="0"/>
              <w:left w:val="single" w:color="000000" w:sz="4" w:space="0"/>
              <w:bottom w:val="single" w:color="000000" w:sz="4" w:space="0"/>
              <w:right w:val="single" w:color="000000" w:sz="4" w:space="0"/>
            </w:tcBorders>
            <w:vAlign w:val="center"/>
          </w:tcPr>
          <w:p w14:paraId="7E85BCEC">
            <w:pPr>
              <w:spacing w:line="360" w:lineRule="exact"/>
              <w:textAlignment w:val="center"/>
              <w:rPr>
                <w:rFonts w:hint="eastAsia" w:cs="仿宋_GB2312" w:asciiTheme="minorEastAsia" w:hAnsiTheme="minorEastAsia" w:eastAsiaTheme="minorEastAsia"/>
                <w:lang w:val="zh-TW" w:eastAsia="zh-TW"/>
              </w:rPr>
            </w:pPr>
            <w:r>
              <w:rPr>
                <w:rFonts w:cs="仿宋_GB2312" w:asciiTheme="minorEastAsia" w:hAnsiTheme="minorEastAsia" w:eastAsiaTheme="minorEastAsia"/>
                <w:lang w:eastAsia="zh-CN" w:bidi="ar"/>
              </w:rPr>
              <w:t>前面板标配硬盘灯和电源灯</w:t>
            </w:r>
          </w:p>
        </w:tc>
        <w:tc>
          <w:tcPr>
            <w:tcW w:w="1035" w:type="dxa"/>
            <w:tcBorders>
              <w:top w:val="single" w:color="000000" w:sz="4" w:space="0"/>
              <w:left w:val="single" w:color="000000" w:sz="4" w:space="0"/>
              <w:bottom w:val="single" w:color="000000" w:sz="4" w:space="0"/>
              <w:right w:val="single" w:color="000000" w:sz="4" w:space="0"/>
            </w:tcBorders>
            <w:vAlign w:val="center"/>
          </w:tcPr>
          <w:p w14:paraId="6EE5E0D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33B638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3223FD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FE9072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B975B3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16E8C8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整机结构</w:t>
            </w:r>
          </w:p>
        </w:tc>
        <w:tc>
          <w:tcPr>
            <w:tcW w:w="3960" w:type="dxa"/>
            <w:tcBorders>
              <w:top w:val="single" w:color="000000" w:sz="4" w:space="0"/>
              <w:left w:val="single" w:color="000000" w:sz="4" w:space="0"/>
              <w:bottom w:val="single" w:color="000000" w:sz="4" w:space="0"/>
              <w:right w:val="single" w:color="000000" w:sz="4" w:space="0"/>
            </w:tcBorders>
            <w:vAlign w:val="center"/>
          </w:tcPr>
          <w:p w14:paraId="2631A0EE">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a) 机箱应符合 GB/T 4208、GB/T 26246的相关规定；</w:t>
            </w:r>
          </w:p>
          <w:p w14:paraId="666FB66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b) 产品内部结构应符合通用部件的安装需求；</w:t>
            </w:r>
          </w:p>
          <w:p w14:paraId="67E7D1B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c) 所有输入输出接口应符合相关国家或行业标准；</w:t>
            </w:r>
          </w:p>
          <w:p w14:paraId="013EEE8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d) 产品零部件应紧固无松动，可插拔部件应可靠连接，开关、按钮和其它控制部件应灵活可靠，布局应方便使用；</w:t>
            </w:r>
          </w:p>
          <w:p w14:paraId="1493854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e) 所有 I/O 连接器及需插接线缆的部位应预留采购人操作空间，方便插拔解锁与插拔线缆；</w:t>
            </w:r>
          </w:p>
          <w:p w14:paraId="79BEE75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f) 可插拔板卡插槽部位应预留安装、拆卸或更换板卡空间；</w:t>
            </w:r>
          </w:p>
          <w:p w14:paraId="2531FB8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g) 拆装可能接触到的金属剪口或金属尖角部位应做防划伤处理，以保证安全；</w:t>
            </w:r>
          </w:p>
          <w:p w14:paraId="104B0D6E">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h) 整机内部走线应规整，固线结构和位置要合理可靠并做防割线处理，需便于理线和插拔操作，走线应不影响系统各主要部件组装和拆卸；</w:t>
            </w:r>
          </w:p>
          <w:p w14:paraId="734C9A73">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i) 如需通过孔走线，过线孔应做防割线处理；</w:t>
            </w:r>
          </w:p>
          <w:p w14:paraId="4660820C">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j) 各插头位置和插拔方向应合理，应做到插拔无障碍设计，具备防呆设计，有效避免误操作；</w:t>
            </w:r>
          </w:p>
          <w:p w14:paraId="72D3216D">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k) 各主要部件拆装无障碍，使用常规工具拆装，无特殊拆装工具需求；</w:t>
            </w:r>
          </w:p>
          <w:p w14:paraId="0DFA7619">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l) 各主要部件拆装步骤要少，各自拆装需避免相互干扰；</w:t>
            </w:r>
          </w:p>
          <w:p w14:paraId="0016304D">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m) 对于整机或零部件外表面为高亮面的，应粘贴保护膜，保护膜需粘贴牢固，运输、组装等过程不易脱落，撕下无残留；</w:t>
            </w:r>
          </w:p>
          <w:p w14:paraId="2492DF3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n) 其它要求应符合 GB/T 9813.1 的相关规定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5A65497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E279FD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EECD3E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BAA5EC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FCB33A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94C901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机箱防护要求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0B02DE96">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w:t>
            </w:r>
            <w:r>
              <w:rPr>
                <w:rFonts w:cs="仿宋_GB2312" w:asciiTheme="minorEastAsia" w:hAnsiTheme="minorEastAsia" w:eastAsiaTheme="minorEastAsia"/>
                <w:lang w:eastAsia="zh-CN" w:bidi="ar"/>
              </w:rPr>
              <w:t>14L标准塔式免工具拆卸机箱，配备顶置提手和主板报警蜂鸣器；</w:t>
            </w:r>
          </w:p>
        </w:tc>
        <w:tc>
          <w:tcPr>
            <w:tcW w:w="1035" w:type="dxa"/>
            <w:tcBorders>
              <w:top w:val="single" w:color="000000" w:sz="4" w:space="0"/>
              <w:left w:val="single" w:color="000000" w:sz="4" w:space="0"/>
              <w:bottom w:val="single" w:color="000000" w:sz="4" w:space="0"/>
              <w:right w:val="single" w:color="000000" w:sz="4" w:space="0"/>
            </w:tcBorders>
            <w:vAlign w:val="center"/>
          </w:tcPr>
          <w:p w14:paraId="3BF865B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D66BA1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D630F1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579C9C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25E205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83D3D6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整机噪音</w:t>
            </w:r>
          </w:p>
        </w:tc>
        <w:tc>
          <w:tcPr>
            <w:tcW w:w="3960" w:type="dxa"/>
            <w:tcBorders>
              <w:top w:val="single" w:color="000000" w:sz="4" w:space="0"/>
              <w:left w:val="single" w:color="000000" w:sz="4" w:space="0"/>
              <w:bottom w:val="single" w:color="000000" w:sz="4" w:space="0"/>
              <w:right w:val="single" w:color="000000" w:sz="4" w:space="0"/>
            </w:tcBorders>
            <w:vAlign w:val="center"/>
          </w:tcPr>
          <w:p w14:paraId="576F6BF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产品工作在空闲状态下，产品的声功率级应不超过1.76Bel</w:t>
            </w:r>
          </w:p>
        </w:tc>
        <w:tc>
          <w:tcPr>
            <w:tcW w:w="1035" w:type="dxa"/>
            <w:tcBorders>
              <w:top w:val="single" w:color="000000" w:sz="4" w:space="0"/>
              <w:left w:val="single" w:color="000000" w:sz="4" w:space="0"/>
              <w:bottom w:val="single" w:color="000000" w:sz="4" w:space="0"/>
              <w:right w:val="single" w:color="000000" w:sz="4" w:space="0"/>
            </w:tcBorders>
            <w:vAlign w:val="center"/>
          </w:tcPr>
          <w:p w14:paraId="1B6B449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03B7F3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0FD7FA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41DEFD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25AC55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42B26D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整机散热</w:t>
            </w:r>
          </w:p>
        </w:tc>
        <w:tc>
          <w:tcPr>
            <w:tcW w:w="3960" w:type="dxa"/>
            <w:tcBorders>
              <w:top w:val="single" w:color="000000" w:sz="4" w:space="0"/>
              <w:left w:val="single" w:color="000000" w:sz="4" w:space="0"/>
              <w:bottom w:val="single" w:color="000000" w:sz="4" w:space="0"/>
              <w:right w:val="single" w:color="000000" w:sz="4" w:space="0"/>
            </w:tcBorders>
            <w:vAlign w:val="center"/>
          </w:tcPr>
          <w:p w14:paraId="10C9596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在环境温度 25℃及处理器满载情况下，产品表面温度应符合如下要求：</w:t>
            </w:r>
          </w:p>
          <w:p w14:paraId="7CAEC994">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a) 出风口在机箱后面板情况下，出风口温度不高于 55℃ ;</w:t>
            </w:r>
          </w:p>
          <w:p w14:paraId="664B5A0E">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b) 可触及面温度不高于 45℃ ;</w:t>
            </w:r>
          </w:p>
          <w:p w14:paraId="3227A53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 显示器表面温度：显示屏不高于38℃ , 显示屏上下灯带位置温度（如涉及）不高于 40℃ , 出风口温度不高于 45℃</w:t>
            </w:r>
          </w:p>
        </w:tc>
        <w:tc>
          <w:tcPr>
            <w:tcW w:w="1035" w:type="dxa"/>
            <w:tcBorders>
              <w:top w:val="single" w:color="000000" w:sz="4" w:space="0"/>
              <w:left w:val="single" w:color="000000" w:sz="4" w:space="0"/>
              <w:bottom w:val="single" w:color="000000" w:sz="4" w:space="0"/>
              <w:right w:val="single" w:color="000000" w:sz="4" w:space="0"/>
            </w:tcBorders>
            <w:vAlign w:val="center"/>
          </w:tcPr>
          <w:p w14:paraId="2714EB9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DB9719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7A677B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4D35BE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FB5737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855F85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整机能效限定值</w:t>
            </w:r>
          </w:p>
        </w:tc>
        <w:tc>
          <w:tcPr>
            <w:tcW w:w="3960" w:type="dxa"/>
            <w:tcBorders>
              <w:top w:val="single" w:color="000000" w:sz="4" w:space="0"/>
              <w:left w:val="single" w:color="000000" w:sz="4" w:space="0"/>
              <w:bottom w:val="single" w:color="000000" w:sz="4" w:space="0"/>
              <w:right w:val="single" w:color="000000" w:sz="4" w:space="0"/>
            </w:tcBorders>
            <w:vAlign w:val="center"/>
          </w:tcPr>
          <w:p w14:paraId="0AC1AE0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产品能效限定值应达到 GB 28380-2012标准中能效等级 2 级及以上</w:t>
            </w:r>
          </w:p>
        </w:tc>
        <w:tc>
          <w:tcPr>
            <w:tcW w:w="1035" w:type="dxa"/>
            <w:tcBorders>
              <w:top w:val="single" w:color="000000" w:sz="4" w:space="0"/>
              <w:left w:val="single" w:color="000000" w:sz="4" w:space="0"/>
              <w:bottom w:val="single" w:color="000000" w:sz="4" w:space="0"/>
              <w:right w:val="single" w:color="000000" w:sz="4" w:space="0"/>
            </w:tcBorders>
            <w:vAlign w:val="center"/>
          </w:tcPr>
          <w:p w14:paraId="6944BE3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873F5E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B7E973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412D60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F82450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3E969E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机身材质</w:t>
            </w:r>
          </w:p>
        </w:tc>
        <w:tc>
          <w:tcPr>
            <w:tcW w:w="3960" w:type="dxa"/>
            <w:tcBorders>
              <w:top w:val="single" w:color="000000" w:sz="4" w:space="0"/>
              <w:left w:val="single" w:color="000000" w:sz="4" w:space="0"/>
              <w:bottom w:val="single" w:color="000000" w:sz="4" w:space="0"/>
              <w:right w:val="single" w:color="000000" w:sz="4" w:space="0"/>
            </w:tcBorders>
            <w:vAlign w:val="center"/>
          </w:tcPr>
          <w:p w14:paraId="5B9012C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金属</w:t>
            </w:r>
          </w:p>
        </w:tc>
        <w:tc>
          <w:tcPr>
            <w:tcW w:w="1035" w:type="dxa"/>
            <w:tcBorders>
              <w:top w:val="single" w:color="000000" w:sz="4" w:space="0"/>
              <w:left w:val="single" w:color="000000" w:sz="4" w:space="0"/>
              <w:bottom w:val="single" w:color="000000" w:sz="4" w:space="0"/>
              <w:right w:val="single" w:color="000000" w:sz="4" w:space="0"/>
            </w:tcBorders>
            <w:vAlign w:val="center"/>
          </w:tcPr>
          <w:p w14:paraId="534E473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58A7A7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133AC2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E2D3B2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113DA4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48AB97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机身颜色</w:t>
            </w:r>
          </w:p>
        </w:tc>
        <w:tc>
          <w:tcPr>
            <w:tcW w:w="3960" w:type="dxa"/>
            <w:tcBorders>
              <w:top w:val="single" w:color="000000" w:sz="4" w:space="0"/>
              <w:left w:val="single" w:color="000000" w:sz="4" w:space="0"/>
              <w:bottom w:val="single" w:color="000000" w:sz="4" w:space="0"/>
              <w:right w:val="single" w:color="000000" w:sz="4" w:space="0"/>
            </w:tcBorders>
            <w:vAlign w:val="center"/>
          </w:tcPr>
          <w:p w14:paraId="63B158E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黑色</w:t>
            </w:r>
          </w:p>
        </w:tc>
        <w:tc>
          <w:tcPr>
            <w:tcW w:w="1035" w:type="dxa"/>
            <w:tcBorders>
              <w:top w:val="single" w:color="000000" w:sz="4" w:space="0"/>
              <w:left w:val="single" w:color="000000" w:sz="4" w:space="0"/>
              <w:bottom w:val="single" w:color="000000" w:sz="4" w:space="0"/>
              <w:right w:val="single" w:color="000000" w:sz="4" w:space="0"/>
            </w:tcBorders>
            <w:vAlign w:val="center"/>
          </w:tcPr>
          <w:p w14:paraId="0AF2843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C979D4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86BB11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FE68D9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4F3266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6C5E11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机箱尺寸容量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1ADB383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≤14L</w:t>
            </w:r>
          </w:p>
        </w:tc>
        <w:tc>
          <w:tcPr>
            <w:tcW w:w="1035" w:type="dxa"/>
            <w:tcBorders>
              <w:top w:val="single" w:color="000000" w:sz="4" w:space="0"/>
              <w:left w:val="single" w:color="000000" w:sz="4" w:space="0"/>
              <w:bottom w:val="single" w:color="000000" w:sz="4" w:space="0"/>
              <w:right w:val="single" w:color="000000" w:sz="4" w:space="0"/>
            </w:tcBorders>
            <w:vAlign w:val="center"/>
          </w:tcPr>
          <w:p w14:paraId="6A5F8E7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B31031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419034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A8A24A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81</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915529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CPU性能</w:t>
            </w:r>
          </w:p>
        </w:tc>
        <w:tc>
          <w:tcPr>
            <w:tcW w:w="1560" w:type="dxa"/>
            <w:tcBorders>
              <w:top w:val="single" w:color="000000" w:sz="4" w:space="0"/>
              <w:left w:val="single" w:color="000000" w:sz="4" w:space="0"/>
              <w:bottom w:val="single" w:color="000000" w:sz="4" w:space="0"/>
              <w:right w:val="nil"/>
            </w:tcBorders>
            <w:vAlign w:val="center"/>
          </w:tcPr>
          <w:p w14:paraId="3EAE0F3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 物理核数</w:t>
            </w:r>
          </w:p>
        </w:tc>
        <w:tc>
          <w:tcPr>
            <w:tcW w:w="3960" w:type="dxa"/>
            <w:tcBorders>
              <w:top w:val="single" w:color="000000" w:sz="4" w:space="0"/>
              <w:left w:val="single" w:color="000000" w:sz="4" w:space="0"/>
              <w:bottom w:val="single" w:color="000000" w:sz="4" w:space="0"/>
              <w:right w:val="single" w:color="000000" w:sz="4" w:space="0"/>
            </w:tcBorders>
            <w:vAlign w:val="center"/>
          </w:tcPr>
          <w:p w14:paraId="481FAD9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w:t>
            </w:r>
          </w:p>
        </w:tc>
        <w:tc>
          <w:tcPr>
            <w:tcW w:w="1035" w:type="dxa"/>
            <w:tcBorders>
              <w:top w:val="single" w:color="000000" w:sz="4" w:space="0"/>
              <w:left w:val="single" w:color="000000" w:sz="4" w:space="0"/>
              <w:bottom w:val="single" w:color="000000" w:sz="4" w:space="0"/>
              <w:right w:val="single" w:color="000000" w:sz="4" w:space="0"/>
            </w:tcBorders>
            <w:vAlign w:val="center"/>
          </w:tcPr>
          <w:p w14:paraId="3B20CA8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F739E0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6AC4C3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95BE1B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80BCAE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4FB708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 主频</w:t>
            </w:r>
          </w:p>
        </w:tc>
        <w:tc>
          <w:tcPr>
            <w:tcW w:w="3960" w:type="dxa"/>
            <w:tcBorders>
              <w:top w:val="single" w:color="000000" w:sz="4" w:space="0"/>
              <w:left w:val="single" w:color="000000" w:sz="4" w:space="0"/>
              <w:bottom w:val="single" w:color="000000" w:sz="4" w:space="0"/>
              <w:right w:val="single" w:color="000000" w:sz="4" w:space="0"/>
            </w:tcBorders>
            <w:vAlign w:val="center"/>
          </w:tcPr>
          <w:p w14:paraId="04520F8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3.0</w:t>
            </w:r>
            <w:r>
              <w:rPr>
                <w:rFonts w:hint="eastAsia" w:cs="仿宋_GB2312" w:asciiTheme="minorEastAsia" w:hAnsiTheme="minorEastAsia" w:eastAsiaTheme="minorEastAsia"/>
                <w:lang w:eastAsia="zh-CN" w:bidi="ar"/>
              </w:rPr>
              <w:t>GHz</w:t>
            </w:r>
          </w:p>
        </w:tc>
        <w:tc>
          <w:tcPr>
            <w:tcW w:w="1035" w:type="dxa"/>
            <w:tcBorders>
              <w:top w:val="single" w:color="000000" w:sz="4" w:space="0"/>
              <w:left w:val="single" w:color="000000" w:sz="4" w:space="0"/>
              <w:bottom w:val="single" w:color="000000" w:sz="4" w:space="0"/>
              <w:right w:val="single" w:color="000000" w:sz="4" w:space="0"/>
            </w:tcBorders>
            <w:vAlign w:val="center"/>
          </w:tcPr>
          <w:p w14:paraId="4B10B0D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13ACE6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F8818C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CF809E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A667C4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2A0D22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 缓存容量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2E80E34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16</w:t>
            </w:r>
            <w:r>
              <w:rPr>
                <w:rFonts w:hint="eastAsia" w:cs="仿宋_GB2312" w:asciiTheme="minorEastAsia" w:hAnsiTheme="minorEastAsia" w:eastAsiaTheme="minorEastAsia"/>
                <w:lang w:eastAsia="zh-CN" w:bidi="ar"/>
              </w:rPr>
              <w:t>MB</w:t>
            </w:r>
          </w:p>
        </w:tc>
        <w:tc>
          <w:tcPr>
            <w:tcW w:w="1035" w:type="dxa"/>
            <w:tcBorders>
              <w:top w:val="single" w:color="000000" w:sz="4" w:space="0"/>
              <w:left w:val="single" w:color="000000" w:sz="4" w:space="0"/>
              <w:bottom w:val="single" w:color="000000" w:sz="4" w:space="0"/>
              <w:right w:val="single" w:color="000000" w:sz="4" w:space="0"/>
            </w:tcBorders>
            <w:vAlign w:val="center"/>
          </w:tcPr>
          <w:p w14:paraId="683314D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18B14C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2316E0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677970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F59249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F23161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CPU 支持的内存最高速率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629D60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3200</w:t>
            </w:r>
            <w:r>
              <w:rPr>
                <w:rFonts w:hint="eastAsia" w:cs="仿宋_GB2312" w:asciiTheme="minorEastAsia" w:hAnsiTheme="minorEastAsia" w:eastAsiaTheme="minorEastAsia"/>
                <w:lang w:eastAsia="zh-CN" w:bidi="ar"/>
              </w:rPr>
              <w:t>MT/s</w:t>
            </w:r>
          </w:p>
        </w:tc>
        <w:tc>
          <w:tcPr>
            <w:tcW w:w="1035" w:type="dxa"/>
            <w:tcBorders>
              <w:top w:val="single" w:color="000000" w:sz="4" w:space="0"/>
              <w:left w:val="single" w:color="000000" w:sz="4" w:space="0"/>
              <w:bottom w:val="single" w:color="000000" w:sz="4" w:space="0"/>
              <w:right w:val="single" w:color="000000" w:sz="4" w:space="0"/>
            </w:tcBorders>
            <w:vAlign w:val="center"/>
          </w:tcPr>
          <w:p w14:paraId="15763BA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06AD41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2E7F1B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181613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85</w:t>
            </w:r>
          </w:p>
        </w:tc>
        <w:tc>
          <w:tcPr>
            <w:tcW w:w="1230" w:type="dxa"/>
            <w:tcBorders>
              <w:top w:val="single" w:color="000000" w:sz="4" w:space="0"/>
              <w:left w:val="single" w:color="000000" w:sz="4" w:space="0"/>
              <w:bottom w:val="single" w:color="000000" w:sz="4" w:space="0"/>
              <w:right w:val="single" w:color="000000" w:sz="4" w:space="0"/>
            </w:tcBorders>
            <w:vAlign w:val="center"/>
          </w:tcPr>
          <w:p w14:paraId="484E4B0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内存性能</w:t>
            </w:r>
          </w:p>
        </w:tc>
        <w:tc>
          <w:tcPr>
            <w:tcW w:w="1560" w:type="dxa"/>
            <w:tcBorders>
              <w:top w:val="single" w:color="000000" w:sz="4" w:space="0"/>
              <w:left w:val="single" w:color="000000" w:sz="4" w:space="0"/>
              <w:bottom w:val="single" w:color="000000" w:sz="4" w:space="0"/>
              <w:right w:val="nil"/>
            </w:tcBorders>
            <w:vAlign w:val="center"/>
          </w:tcPr>
          <w:p w14:paraId="247C83C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内存读写速率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692A5ED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3200</w:t>
            </w:r>
            <w:r>
              <w:rPr>
                <w:rFonts w:hint="eastAsia" w:cs="仿宋_GB2312" w:asciiTheme="minorEastAsia" w:hAnsiTheme="minorEastAsia" w:eastAsiaTheme="minorEastAsia"/>
                <w:lang w:eastAsia="zh-CN" w:bidi="ar"/>
              </w:rPr>
              <w:t>MT/s</w:t>
            </w:r>
          </w:p>
        </w:tc>
        <w:tc>
          <w:tcPr>
            <w:tcW w:w="1035" w:type="dxa"/>
            <w:tcBorders>
              <w:top w:val="single" w:color="000000" w:sz="4" w:space="0"/>
              <w:left w:val="single" w:color="000000" w:sz="4" w:space="0"/>
              <w:bottom w:val="single" w:color="000000" w:sz="4" w:space="0"/>
              <w:right w:val="single" w:color="000000" w:sz="4" w:space="0"/>
            </w:tcBorders>
            <w:vAlign w:val="center"/>
          </w:tcPr>
          <w:p w14:paraId="436D1A2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9A7738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508C345">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864DF0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86</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5F02C98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显卡性能</w:t>
            </w:r>
          </w:p>
        </w:tc>
        <w:tc>
          <w:tcPr>
            <w:tcW w:w="1560" w:type="dxa"/>
            <w:tcBorders>
              <w:top w:val="single" w:color="000000" w:sz="4" w:space="0"/>
              <w:left w:val="single" w:color="000000" w:sz="4" w:space="0"/>
              <w:bottom w:val="single" w:color="000000" w:sz="4" w:space="0"/>
              <w:right w:val="nil"/>
            </w:tcBorders>
            <w:vAlign w:val="center"/>
          </w:tcPr>
          <w:p w14:paraId="1539C8D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显示分辨率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3AD05AD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≥1920x1080</w:t>
            </w:r>
          </w:p>
        </w:tc>
        <w:tc>
          <w:tcPr>
            <w:tcW w:w="1035" w:type="dxa"/>
            <w:tcBorders>
              <w:top w:val="single" w:color="000000" w:sz="4" w:space="0"/>
              <w:left w:val="single" w:color="000000" w:sz="4" w:space="0"/>
              <w:bottom w:val="single" w:color="000000" w:sz="4" w:space="0"/>
              <w:right w:val="single" w:color="000000" w:sz="4" w:space="0"/>
            </w:tcBorders>
            <w:vAlign w:val="center"/>
          </w:tcPr>
          <w:p w14:paraId="632D010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57B101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A0AA60D">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C4F25D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C19A1E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C9B427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显卡显示芯片核心频率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23AE1CA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r>
              <w:rPr>
                <w:rFonts w:hint="eastAsia" w:cs="仿宋_GB2312" w:asciiTheme="minorEastAsia" w:hAnsiTheme="minorEastAsia" w:eastAsiaTheme="minorEastAsia"/>
                <w:lang w:bidi="ar"/>
              </w:rPr>
              <w:t>2.28G</w:t>
            </w:r>
            <w:r>
              <w:rPr>
                <w:rFonts w:hint="eastAsia" w:cs="仿宋_GB2312" w:asciiTheme="minorEastAsia" w:hAnsiTheme="minorEastAsia" w:eastAsiaTheme="minorEastAsia"/>
                <w:lang w:eastAsia="zh-CN" w:bidi="ar"/>
              </w:rPr>
              <w:t>Hz</w:t>
            </w:r>
          </w:p>
        </w:tc>
        <w:tc>
          <w:tcPr>
            <w:tcW w:w="1035" w:type="dxa"/>
            <w:tcBorders>
              <w:top w:val="single" w:color="000000" w:sz="4" w:space="0"/>
              <w:left w:val="single" w:color="000000" w:sz="4" w:space="0"/>
              <w:bottom w:val="single" w:color="000000" w:sz="4" w:space="0"/>
              <w:right w:val="single" w:color="000000" w:sz="4" w:space="0"/>
            </w:tcBorders>
            <w:vAlign w:val="center"/>
          </w:tcPr>
          <w:p w14:paraId="374DDAF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0C20F2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A60B612">
            <w:pPr>
              <w:spacing w:line="360" w:lineRule="exact"/>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271A09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3117D0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C758A0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显存等效频率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69220AC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≥3600MT/s</w:t>
            </w:r>
          </w:p>
        </w:tc>
        <w:tc>
          <w:tcPr>
            <w:tcW w:w="1035" w:type="dxa"/>
            <w:tcBorders>
              <w:top w:val="single" w:color="000000" w:sz="4" w:space="0"/>
              <w:left w:val="single" w:color="000000" w:sz="4" w:space="0"/>
              <w:bottom w:val="single" w:color="000000" w:sz="4" w:space="0"/>
              <w:right w:val="single" w:color="000000" w:sz="4" w:space="0"/>
            </w:tcBorders>
            <w:vAlign w:val="center"/>
          </w:tcPr>
          <w:p w14:paraId="35AEB68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FFF732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CC7B738">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E0C213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979149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08316E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显卡可支持多屏同时显示数量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09B497AE">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显卡支持 2 块屏幕同时显示，分辨率应不低于 1920×1080</w:t>
            </w:r>
          </w:p>
        </w:tc>
        <w:tc>
          <w:tcPr>
            <w:tcW w:w="1035" w:type="dxa"/>
            <w:tcBorders>
              <w:top w:val="single" w:color="000000" w:sz="4" w:space="0"/>
              <w:left w:val="single" w:color="000000" w:sz="4" w:space="0"/>
              <w:bottom w:val="single" w:color="000000" w:sz="4" w:space="0"/>
              <w:right w:val="single" w:color="000000" w:sz="4" w:space="0"/>
            </w:tcBorders>
            <w:vAlign w:val="center"/>
          </w:tcPr>
          <w:p w14:paraId="2063EB5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167707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CF08E55">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FA039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90</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7BF14D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显示设备性能</w:t>
            </w:r>
          </w:p>
        </w:tc>
        <w:tc>
          <w:tcPr>
            <w:tcW w:w="1560" w:type="dxa"/>
            <w:tcBorders>
              <w:top w:val="single" w:color="000000" w:sz="4" w:space="0"/>
              <w:left w:val="single" w:color="000000" w:sz="4" w:space="0"/>
              <w:bottom w:val="single" w:color="000000" w:sz="4" w:space="0"/>
              <w:right w:val="nil"/>
            </w:tcBorders>
            <w:vAlign w:val="center"/>
          </w:tcPr>
          <w:p w14:paraId="6B2D02C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显示屏刷新率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61AAC4E2">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w:t>
            </w:r>
            <w:r>
              <w:rPr>
                <w:rFonts w:hint="eastAsia" w:cs="仿宋_GB2312" w:asciiTheme="minorEastAsia" w:hAnsiTheme="minorEastAsia"/>
                <w:lang w:bidi="ar"/>
              </w:rPr>
              <w:t>100</w:t>
            </w:r>
            <w:r>
              <w:rPr>
                <w:rFonts w:hint="eastAsia" w:cs="仿宋_GB2312" w:asciiTheme="minorEastAsia" w:hAnsiTheme="minorEastAsia" w:eastAsiaTheme="minorEastAsia"/>
                <w:lang w:eastAsia="zh-CN" w:bidi="ar"/>
              </w:rPr>
              <w:t>Hz</w:t>
            </w:r>
          </w:p>
        </w:tc>
        <w:tc>
          <w:tcPr>
            <w:tcW w:w="1035" w:type="dxa"/>
            <w:tcBorders>
              <w:top w:val="single" w:color="000000" w:sz="4" w:space="0"/>
              <w:left w:val="single" w:color="000000" w:sz="4" w:space="0"/>
              <w:bottom w:val="single" w:color="000000" w:sz="4" w:space="0"/>
              <w:right w:val="single" w:color="000000" w:sz="4" w:space="0"/>
            </w:tcBorders>
            <w:vAlign w:val="center"/>
          </w:tcPr>
          <w:p w14:paraId="1B3FCCD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B7A149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0E20A7A">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D91ECB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6423A4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AE84A9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显示屏位深</w:t>
            </w:r>
          </w:p>
        </w:tc>
        <w:tc>
          <w:tcPr>
            <w:tcW w:w="3960" w:type="dxa"/>
            <w:tcBorders>
              <w:top w:val="single" w:color="000000" w:sz="4" w:space="0"/>
              <w:left w:val="single" w:color="000000" w:sz="4" w:space="0"/>
              <w:bottom w:val="single" w:color="000000" w:sz="4" w:space="0"/>
              <w:right w:val="single" w:color="000000" w:sz="4" w:space="0"/>
            </w:tcBorders>
            <w:vAlign w:val="center"/>
          </w:tcPr>
          <w:p w14:paraId="0C70AA3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 位</w:t>
            </w:r>
          </w:p>
        </w:tc>
        <w:tc>
          <w:tcPr>
            <w:tcW w:w="1035" w:type="dxa"/>
            <w:tcBorders>
              <w:top w:val="single" w:color="000000" w:sz="4" w:space="0"/>
              <w:left w:val="single" w:color="000000" w:sz="4" w:space="0"/>
              <w:bottom w:val="single" w:color="000000" w:sz="4" w:space="0"/>
              <w:right w:val="single" w:color="000000" w:sz="4" w:space="0"/>
            </w:tcBorders>
            <w:vAlign w:val="center"/>
          </w:tcPr>
          <w:p w14:paraId="6238D12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0B2EBF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457AAB9">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DF20DC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89FCBE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80F42B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显示屏色域</w:t>
            </w:r>
          </w:p>
        </w:tc>
        <w:tc>
          <w:tcPr>
            <w:tcW w:w="3960" w:type="dxa"/>
            <w:tcBorders>
              <w:top w:val="single" w:color="000000" w:sz="4" w:space="0"/>
              <w:left w:val="single" w:color="000000" w:sz="4" w:space="0"/>
              <w:bottom w:val="single" w:color="000000" w:sz="4" w:space="0"/>
              <w:right w:val="single" w:color="000000" w:sz="4" w:space="0"/>
            </w:tcBorders>
            <w:vAlign w:val="center"/>
          </w:tcPr>
          <w:p w14:paraId="19B9996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≥99% sRGB</w:t>
            </w:r>
          </w:p>
        </w:tc>
        <w:tc>
          <w:tcPr>
            <w:tcW w:w="1035" w:type="dxa"/>
            <w:tcBorders>
              <w:top w:val="single" w:color="000000" w:sz="4" w:space="0"/>
              <w:left w:val="single" w:color="000000" w:sz="4" w:space="0"/>
              <w:bottom w:val="single" w:color="000000" w:sz="4" w:space="0"/>
              <w:right w:val="single" w:color="000000" w:sz="4" w:space="0"/>
            </w:tcBorders>
            <w:vAlign w:val="center"/>
          </w:tcPr>
          <w:p w14:paraId="719E4DF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72B18D8">
        <w:tblPrEx>
          <w:tblCellMar>
            <w:top w:w="0" w:type="dxa"/>
            <w:left w:w="108" w:type="dxa"/>
            <w:bottom w:w="0" w:type="dxa"/>
            <w:right w:w="108" w:type="dxa"/>
          </w:tblCellMar>
        </w:tblPrEx>
        <w:trPr>
          <w:trHeight w:val="90" w:hRule="atLeast"/>
        </w:trPr>
        <w:tc>
          <w:tcPr>
            <w:tcW w:w="653" w:type="dxa"/>
            <w:tcBorders>
              <w:top w:val="single" w:color="000000" w:sz="4" w:space="0"/>
              <w:left w:val="single" w:color="000000" w:sz="4" w:space="0"/>
              <w:bottom w:val="single" w:color="000000" w:sz="4" w:space="0"/>
              <w:right w:val="single" w:color="000000" w:sz="4" w:space="0"/>
            </w:tcBorders>
          </w:tcPr>
          <w:p w14:paraId="6B343EF1">
            <w:pPr>
              <w:spacing w:line="360" w:lineRule="exact"/>
              <w:jc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FA993E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411DFC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6241C4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显示屏色准</w:t>
            </w:r>
          </w:p>
        </w:tc>
        <w:tc>
          <w:tcPr>
            <w:tcW w:w="3960" w:type="dxa"/>
            <w:tcBorders>
              <w:top w:val="single" w:color="000000" w:sz="4" w:space="0"/>
              <w:left w:val="single" w:color="000000" w:sz="4" w:space="0"/>
              <w:bottom w:val="single" w:color="000000" w:sz="4" w:space="0"/>
              <w:right w:val="single" w:color="000000" w:sz="4" w:space="0"/>
            </w:tcBorders>
            <w:vAlign w:val="center"/>
          </w:tcPr>
          <w:p w14:paraId="09036DB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△E≤4</w:t>
            </w:r>
          </w:p>
        </w:tc>
        <w:tc>
          <w:tcPr>
            <w:tcW w:w="1035" w:type="dxa"/>
            <w:tcBorders>
              <w:top w:val="single" w:color="000000" w:sz="4" w:space="0"/>
              <w:left w:val="single" w:color="000000" w:sz="4" w:space="0"/>
              <w:bottom w:val="single" w:color="000000" w:sz="4" w:space="0"/>
              <w:right w:val="single" w:color="000000" w:sz="4" w:space="0"/>
            </w:tcBorders>
            <w:vAlign w:val="center"/>
          </w:tcPr>
          <w:p w14:paraId="18E17D5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D684C4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6FE3F5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349709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D75EB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9AD789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显示屏响应时间</w:t>
            </w:r>
          </w:p>
        </w:tc>
        <w:tc>
          <w:tcPr>
            <w:tcW w:w="3960" w:type="dxa"/>
            <w:tcBorders>
              <w:top w:val="single" w:color="000000" w:sz="4" w:space="0"/>
              <w:left w:val="single" w:color="000000" w:sz="4" w:space="0"/>
              <w:bottom w:val="single" w:color="000000" w:sz="4" w:space="0"/>
              <w:right w:val="single" w:color="000000" w:sz="4" w:space="0"/>
            </w:tcBorders>
            <w:vAlign w:val="center"/>
          </w:tcPr>
          <w:p w14:paraId="41628CC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≤8ms</w:t>
            </w:r>
          </w:p>
        </w:tc>
        <w:tc>
          <w:tcPr>
            <w:tcW w:w="1035" w:type="dxa"/>
            <w:tcBorders>
              <w:top w:val="single" w:color="000000" w:sz="4" w:space="0"/>
              <w:left w:val="single" w:color="000000" w:sz="4" w:space="0"/>
              <w:bottom w:val="single" w:color="000000" w:sz="4" w:space="0"/>
              <w:right w:val="single" w:color="000000" w:sz="4" w:space="0"/>
            </w:tcBorders>
            <w:vAlign w:val="center"/>
          </w:tcPr>
          <w:p w14:paraId="09A95A3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DBC00B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1D4A58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000F4C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CCCB5F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6E5F0E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显示屏亮度</w:t>
            </w:r>
          </w:p>
        </w:tc>
        <w:tc>
          <w:tcPr>
            <w:tcW w:w="3960" w:type="dxa"/>
            <w:tcBorders>
              <w:top w:val="single" w:color="000000" w:sz="4" w:space="0"/>
              <w:left w:val="single" w:color="000000" w:sz="4" w:space="0"/>
              <w:bottom w:val="single" w:color="000000" w:sz="4" w:space="0"/>
              <w:right w:val="single" w:color="000000" w:sz="4" w:space="0"/>
            </w:tcBorders>
            <w:vAlign w:val="center"/>
          </w:tcPr>
          <w:p w14:paraId="778765A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≥250尼特</w:t>
            </w:r>
          </w:p>
        </w:tc>
        <w:tc>
          <w:tcPr>
            <w:tcW w:w="1035" w:type="dxa"/>
            <w:tcBorders>
              <w:top w:val="single" w:color="000000" w:sz="4" w:space="0"/>
              <w:left w:val="single" w:color="000000" w:sz="4" w:space="0"/>
              <w:bottom w:val="single" w:color="000000" w:sz="4" w:space="0"/>
              <w:right w:val="single" w:color="000000" w:sz="4" w:space="0"/>
            </w:tcBorders>
            <w:vAlign w:val="center"/>
          </w:tcPr>
          <w:p w14:paraId="63AFBFF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E950D7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B54289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6B142A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5185A8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1E5C75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显示屏亮度一致性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61FBC30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≥70%</w:t>
            </w:r>
          </w:p>
        </w:tc>
        <w:tc>
          <w:tcPr>
            <w:tcW w:w="1035" w:type="dxa"/>
            <w:tcBorders>
              <w:top w:val="single" w:color="000000" w:sz="4" w:space="0"/>
              <w:left w:val="single" w:color="000000" w:sz="4" w:space="0"/>
              <w:bottom w:val="single" w:color="000000" w:sz="4" w:space="0"/>
              <w:right w:val="single" w:color="000000" w:sz="4" w:space="0"/>
            </w:tcBorders>
            <w:vAlign w:val="center"/>
          </w:tcPr>
          <w:p w14:paraId="2947F19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34410C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B71EB3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67CC5E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A403EF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D124BB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显示屏对比度</w:t>
            </w:r>
          </w:p>
        </w:tc>
        <w:tc>
          <w:tcPr>
            <w:tcW w:w="3960" w:type="dxa"/>
            <w:tcBorders>
              <w:top w:val="single" w:color="000000" w:sz="4" w:space="0"/>
              <w:left w:val="single" w:color="000000" w:sz="4" w:space="0"/>
              <w:bottom w:val="single" w:color="000000" w:sz="4" w:space="0"/>
              <w:right w:val="single" w:color="000000" w:sz="4" w:space="0"/>
            </w:tcBorders>
            <w:vAlign w:val="center"/>
          </w:tcPr>
          <w:p w14:paraId="5A62DD8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≥3000：1</w:t>
            </w:r>
          </w:p>
        </w:tc>
        <w:tc>
          <w:tcPr>
            <w:tcW w:w="1035" w:type="dxa"/>
            <w:tcBorders>
              <w:top w:val="single" w:color="000000" w:sz="4" w:space="0"/>
              <w:left w:val="single" w:color="000000" w:sz="4" w:space="0"/>
              <w:bottom w:val="single" w:color="000000" w:sz="4" w:space="0"/>
              <w:right w:val="single" w:color="000000" w:sz="4" w:space="0"/>
            </w:tcBorders>
            <w:vAlign w:val="center"/>
          </w:tcPr>
          <w:p w14:paraId="1C6CD38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EEF155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CC98A9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0B51B6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889D45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1B693C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显示屏其他参数</w:t>
            </w:r>
          </w:p>
        </w:tc>
        <w:tc>
          <w:tcPr>
            <w:tcW w:w="3960" w:type="dxa"/>
            <w:tcBorders>
              <w:top w:val="single" w:color="000000" w:sz="4" w:space="0"/>
              <w:left w:val="single" w:color="000000" w:sz="4" w:space="0"/>
              <w:bottom w:val="single" w:color="000000" w:sz="4" w:space="0"/>
              <w:right w:val="single" w:color="000000" w:sz="4" w:space="0"/>
            </w:tcBorders>
            <w:vAlign w:val="center"/>
          </w:tcPr>
          <w:p w14:paraId="13AB623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与主机同品牌，其它参数应符合SJ/T 11292的相关规定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4DA80C7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1BC73E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BC05B2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C4A71D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99</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610A26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网络设备性能</w:t>
            </w:r>
          </w:p>
        </w:tc>
        <w:tc>
          <w:tcPr>
            <w:tcW w:w="1560" w:type="dxa"/>
            <w:tcBorders>
              <w:top w:val="single" w:color="000000" w:sz="4" w:space="0"/>
              <w:left w:val="single" w:color="000000" w:sz="4" w:space="0"/>
              <w:bottom w:val="single" w:color="000000" w:sz="4" w:space="0"/>
              <w:right w:val="nil"/>
            </w:tcBorders>
            <w:vAlign w:val="center"/>
          </w:tcPr>
          <w:p w14:paraId="290ED27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有线网卡速率</w:t>
            </w:r>
          </w:p>
        </w:tc>
        <w:tc>
          <w:tcPr>
            <w:tcW w:w="3960" w:type="dxa"/>
            <w:tcBorders>
              <w:top w:val="single" w:color="000000" w:sz="4" w:space="0"/>
              <w:left w:val="single" w:color="000000" w:sz="4" w:space="0"/>
              <w:bottom w:val="single" w:color="000000" w:sz="4" w:space="0"/>
              <w:right w:val="single" w:color="000000" w:sz="4" w:space="0"/>
            </w:tcBorders>
            <w:vAlign w:val="center"/>
          </w:tcPr>
          <w:p w14:paraId="31A26D8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val="zh-TW" w:eastAsia="zh-TW"/>
              </w:rPr>
              <w:t>最高速率应不低于 1000Mbps，应支持10Mbps、100Mbps、1000Mbps 速率自适应</w:t>
            </w:r>
          </w:p>
        </w:tc>
        <w:tc>
          <w:tcPr>
            <w:tcW w:w="1035" w:type="dxa"/>
            <w:tcBorders>
              <w:top w:val="single" w:color="000000" w:sz="4" w:space="0"/>
              <w:left w:val="single" w:color="000000" w:sz="4" w:space="0"/>
              <w:bottom w:val="single" w:color="000000" w:sz="4" w:space="0"/>
              <w:right w:val="single" w:color="000000" w:sz="4" w:space="0"/>
            </w:tcBorders>
            <w:vAlign w:val="center"/>
          </w:tcPr>
          <w:p w14:paraId="7698385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否</w:t>
            </w:r>
          </w:p>
        </w:tc>
      </w:tr>
      <w:tr w14:paraId="6B5FAA2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6C6CBA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608507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21CF00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2B79E8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支持无线网络通信技术协议</w:t>
            </w:r>
          </w:p>
        </w:tc>
        <w:tc>
          <w:tcPr>
            <w:tcW w:w="3960" w:type="dxa"/>
            <w:tcBorders>
              <w:top w:val="single" w:color="000000" w:sz="4" w:space="0"/>
              <w:left w:val="single" w:color="000000" w:sz="4" w:space="0"/>
              <w:bottom w:val="single" w:color="000000" w:sz="4" w:space="0"/>
              <w:right w:val="single" w:color="000000" w:sz="4" w:space="0"/>
            </w:tcBorders>
            <w:vAlign w:val="center"/>
          </w:tcPr>
          <w:p w14:paraId="38E4206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600B78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91D119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7E41C1B">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703D71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16C952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9832A5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无线网卡频宽</w:t>
            </w:r>
          </w:p>
        </w:tc>
        <w:tc>
          <w:tcPr>
            <w:tcW w:w="3960" w:type="dxa"/>
            <w:tcBorders>
              <w:top w:val="single" w:color="000000" w:sz="4" w:space="0"/>
              <w:left w:val="single" w:color="000000" w:sz="4" w:space="0"/>
              <w:bottom w:val="single" w:color="000000" w:sz="4" w:space="0"/>
              <w:right w:val="single" w:color="000000" w:sz="4" w:space="0"/>
            </w:tcBorders>
            <w:vAlign w:val="center"/>
          </w:tcPr>
          <w:p w14:paraId="3B9D352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9CA2F5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4BF42E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9AC168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604389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A7AC40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主板功能</w:t>
            </w:r>
          </w:p>
        </w:tc>
        <w:tc>
          <w:tcPr>
            <w:tcW w:w="1560" w:type="dxa"/>
            <w:tcBorders>
              <w:top w:val="single" w:color="000000" w:sz="4" w:space="0"/>
              <w:left w:val="single" w:color="000000" w:sz="4" w:space="0"/>
              <w:bottom w:val="single" w:color="000000" w:sz="4" w:space="0"/>
              <w:right w:val="nil"/>
            </w:tcBorders>
            <w:vAlign w:val="center"/>
          </w:tcPr>
          <w:p w14:paraId="67F12B9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内存扩展接口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3B03AB9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≥2个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410F167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1D807E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F1D54A7">
            <w:pPr>
              <w:spacing w:line="360" w:lineRule="exact"/>
              <w:jc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B19A8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93BA51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B66762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存储扩展接口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432508E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25B8DE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7060A33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79CE86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416571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56AD36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52827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 USB瞬间过流保护</w:t>
            </w:r>
          </w:p>
        </w:tc>
        <w:tc>
          <w:tcPr>
            <w:tcW w:w="3960" w:type="dxa"/>
            <w:tcBorders>
              <w:top w:val="single" w:color="000000" w:sz="4" w:space="0"/>
              <w:left w:val="single" w:color="000000" w:sz="4" w:space="0"/>
              <w:bottom w:val="single" w:color="000000" w:sz="4" w:space="0"/>
              <w:right w:val="single" w:color="000000" w:sz="4" w:space="0"/>
            </w:tcBorders>
            <w:vAlign w:val="center"/>
          </w:tcPr>
          <w:p w14:paraId="28C374B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支持有瞬间过流保护功能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2F26A77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84F092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5966F0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151B3E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4B8536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5E65DD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主板防静电保护</w:t>
            </w:r>
          </w:p>
        </w:tc>
        <w:tc>
          <w:tcPr>
            <w:tcW w:w="3960" w:type="dxa"/>
            <w:tcBorders>
              <w:top w:val="single" w:color="000000" w:sz="4" w:space="0"/>
              <w:left w:val="single" w:color="000000" w:sz="4" w:space="0"/>
              <w:bottom w:val="single" w:color="000000" w:sz="4" w:space="0"/>
              <w:right w:val="single" w:color="000000" w:sz="4" w:space="0"/>
            </w:tcBorders>
            <w:vAlign w:val="center"/>
          </w:tcPr>
          <w:p w14:paraId="79BCA6C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支持防静电保护功能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0248A59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9925B7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9E30DC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D3A4F9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985CE7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34DC4B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I/O 接口功能</w:t>
            </w:r>
          </w:p>
        </w:tc>
        <w:tc>
          <w:tcPr>
            <w:tcW w:w="3960" w:type="dxa"/>
            <w:tcBorders>
              <w:top w:val="single" w:color="000000" w:sz="4" w:space="0"/>
              <w:left w:val="single" w:color="000000" w:sz="4" w:space="0"/>
              <w:bottom w:val="single" w:color="000000" w:sz="4" w:space="0"/>
              <w:right w:val="single" w:color="000000" w:sz="4" w:space="0"/>
            </w:tcBorders>
            <w:vAlign w:val="center"/>
          </w:tcPr>
          <w:p w14:paraId="0B9108A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提供基于标准USB接口外设连接功能、基于音频输入输出接口的音频扩展功能、基于PCIe接口板卡扩展功能、基于 HDMI 或 VGA 或Type-C 或DVI或DP等接口外接显示器扩展功能、基于存储接口对产品进行增容功能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60B2A98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F7462D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C559CB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7FAC1F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107</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07ACD9B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显卡功能</w:t>
            </w:r>
          </w:p>
        </w:tc>
        <w:tc>
          <w:tcPr>
            <w:tcW w:w="1560" w:type="dxa"/>
            <w:tcBorders>
              <w:top w:val="single" w:color="000000" w:sz="4" w:space="0"/>
              <w:left w:val="single" w:color="000000" w:sz="4" w:space="0"/>
              <w:bottom w:val="single" w:color="000000" w:sz="4" w:space="0"/>
              <w:right w:val="nil"/>
            </w:tcBorders>
            <w:vAlign w:val="center"/>
          </w:tcPr>
          <w:p w14:paraId="3D30C05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显卡外接显示接口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18B9CD81">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显卡至少支持VGA、HDMI 2种显示接口，并与显示器接口相匹配</w:t>
            </w:r>
          </w:p>
        </w:tc>
        <w:tc>
          <w:tcPr>
            <w:tcW w:w="1035" w:type="dxa"/>
            <w:tcBorders>
              <w:top w:val="single" w:color="000000" w:sz="4" w:space="0"/>
              <w:left w:val="single" w:color="000000" w:sz="4" w:space="0"/>
              <w:bottom w:val="single" w:color="000000" w:sz="4" w:space="0"/>
              <w:right w:val="single" w:color="000000" w:sz="4" w:space="0"/>
            </w:tcBorders>
            <w:vAlign w:val="center"/>
          </w:tcPr>
          <w:p w14:paraId="10CD0C8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4CAA61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7D4092F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E4742F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76677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1FEF6C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独立显卡数量</w:t>
            </w:r>
          </w:p>
        </w:tc>
        <w:tc>
          <w:tcPr>
            <w:tcW w:w="3960" w:type="dxa"/>
            <w:tcBorders>
              <w:top w:val="single" w:color="000000" w:sz="4" w:space="0"/>
              <w:left w:val="single" w:color="000000" w:sz="4" w:space="0"/>
              <w:bottom w:val="single" w:color="000000" w:sz="4" w:space="0"/>
              <w:right w:val="single" w:color="000000" w:sz="4" w:space="0"/>
            </w:tcBorders>
            <w:vAlign w:val="center"/>
          </w:tcPr>
          <w:p w14:paraId="5ACC5B7A">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bidi="ar"/>
              </w:rPr>
              <w:t>1个</w:t>
            </w:r>
          </w:p>
        </w:tc>
        <w:tc>
          <w:tcPr>
            <w:tcW w:w="1035" w:type="dxa"/>
            <w:tcBorders>
              <w:top w:val="single" w:color="000000" w:sz="4" w:space="0"/>
              <w:left w:val="single" w:color="000000" w:sz="4" w:space="0"/>
              <w:bottom w:val="single" w:color="000000" w:sz="4" w:space="0"/>
              <w:right w:val="single" w:color="000000" w:sz="4" w:space="0"/>
            </w:tcBorders>
            <w:vAlign w:val="center"/>
          </w:tcPr>
          <w:p w14:paraId="67BEB8B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DC403A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0F7DDA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7B16ED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109</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355159A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显示设备功能</w:t>
            </w:r>
          </w:p>
        </w:tc>
        <w:tc>
          <w:tcPr>
            <w:tcW w:w="1560" w:type="dxa"/>
            <w:tcBorders>
              <w:top w:val="single" w:color="000000" w:sz="4" w:space="0"/>
              <w:left w:val="single" w:color="000000" w:sz="4" w:space="0"/>
              <w:bottom w:val="single" w:color="000000" w:sz="4" w:space="0"/>
              <w:right w:val="nil"/>
            </w:tcBorders>
            <w:vAlign w:val="center"/>
          </w:tcPr>
          <w:p w14:paraId="74BD878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显示器接口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4E0766C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至少包含VGA、HDM、DVI其中两种接口，显示器应与显卡外显示接口匹配</w:t>
            </w:r>
          </w:p>
        </w:tc>
        <w:tc>
          <w:tcPr>
            <w:tcW w:w="1035" w:type="dxa"/>
            <w:tcBorders>
              <w:top w:val="single" w:color="000000" w:sz="4" w:space="0"/>
              <w:left w:val="single" w:color="000000" w:sz="4" w:space="0"/>
              <w:bottom w:val="single" w:color="000000" w:sz="4" w:space="0"/>
              <w:right w:val="single" w:color="000000" w:sz="4" w:space="0"/>
            </w:tcBorders>
            <w:vAlign w:val="center"/>
          </w:tcPr>
          <w:p w14:paraId="13BC04F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B5695B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7EDED9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468A37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1E2D0D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B5FF29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显示器支架</w:t>
            </w:r>
          </w:p>
        </w:tc>
        <w:tc>
          <w:tcPr>
            <w:tcW w:w="3960" w:type="dxa"/>
            <w:tcBorders>
              <w:top w:val="single" w:color="000000" w:sz="4" w:space="0"/>
              <w:left w:val="single" w:color="000000" w:sz="4" w:space="0"/>
              <w:bottom w:val="single" w:color="000000" w:sz="4" w:space="0"/>
              <w:right w:val="single" w:color="000000" w:sz="4" w:space="0"/>
            </w:tcBorders>
            <w:vAlign w:val="center"/>
          </w:tcPr>
          <w:p w14:paraId="1393733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显示器应提供显示器支架，支持屏幕俯仰、VESA壁挂</w:t>
            </w:r>
          </w:p>
        </w:tc>
        <w:tc>
          <w:tcPr>
            <w:tcW w:w="1035" w:type="dxa"/>
            <w:tcBorders>
              <w:top w:val="single" w:color="000000" w:sz="4" w:space="0"/>
              <w:left w:val="single" w:color="000000" w:sz="4" w:space="0"/>
              <w:bottom w:val="single" w:color="000000" w:sz="4" w:space="0"/>
              <w:right w:val="single" w:color="000000" w:sz="4" w:space="0"/>
            </w:tcBorders>
            <w:vAlign w:val="center"/>
          </w:tcPr>
          <w:p w14:paraId="7A3A90D6">
            <w:pPr>
              <w:spacing w:line="360" w:lineRule="exact"/>
              <w:textAlignment w:val="center"/>
              <w:rPr>
                <w:rFonts w:hint="eastAsia" w:cs="仿宋_GB2312" w:asciiTheme="minorEastAsia" w:hAnsiTheme="minorEastAsia" w:eastAsiaTheme="minorEastAsia"/>
                <w:lang w:eastAsia="zh-CN" w:bidi="ar"/>
              </w:rPr>
            </w:pPr>
          </w:p>
        </w:tc>
      </w:tr>
      <w:tr w14:paraId="3890842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1F6B7A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CB181F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A4EE2C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A3A497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显示器参数调节</w:t>
            </w:r>
          </w:p>
        </w:tc>
        <w:tc>
          <w:tcPr>
            <w:tcW w:w="3960" w:type="dxa"/>
            <w:tcBorders>
              <w:top w:val="single" w:color="000000" w:sz="4" w:space="0"/>
              <w:left w:val="single" w:color="000000" w:sz="4" w:space="0"/>
              <w:bottom w:val="single" w:color="000000" w:sz="4" w:space="0"/>
              <w:right w:val="single" w:color="000000" w:sz="4" w:space="0"/>
            </w:tcBorders>
            <w:vAlign w:val="center"/>
          </w:tcPr>
          <w:p w14:paraId="4E30364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提供OSD选单按钮用于调节色彩、模式等；支持色温、亮度、对比度调节</w:t>
            </w:r>
          </w:p>
        </w:tc>
        <w:tc>
          <w:tcPr>
            <w:tcW w:w="1035" w:type="dxa"/>
            <w:tcBorders>
              <w:top w:val="single" w:color="000000" w:sz="4" w:space="0"/>
              <w:left w:val="single" w:color="000000" w:sz="4" w:space="0"/>
              <w:bottom w:val="single" w:color="000000" w:sz="4" w:space="0"/>
              <w:right w:val="single" w:color="000000" w:sz="4" w:space="0"/>
            </w:tcBorders>
            <w:vAlign w:val="center"/>
          </w:tcPr>
          <w:p w14:paraId="208F704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B3B391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A71C4D6">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94E31D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02A6B8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外设功能</w:t>
            </w:r>
          </w:p>
        </w:tc>
        <w:tc>
          <w:tcPr>
            <w:tcW w:w="1560" w:type="dxa"/>
            <w:tcBorders>
              <w:top w:val="single" w:color="000000" w:sz="4" w:space="0"/>
              <w:left w:val="single" w:color="000000" w:sz="4" w:space="0"/>
              <w:bottom w:val="single" w:color="000000" w:sz="4" w:space="0"/>
              <w:right w:val="nil"/>
            </w:tcBorders>
            <w:vAlign w:val="center"/>
          </w:tcPr>
          <w:p w14:paraId="1DA1B8E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摄像头物理隐私保护开关</w:t>
            </w:r>
          </w:p>
        </w:tc>
        <w:tc>
          <w:tcPr>
            <w:tcW w:w="3960" w:type="dxa"/>
            <w:tcBorders>
              <w:top w:val="single" w:color="000000" w:sz="4" w:space="0"/>
              <w:left w:val="single" w:color="000000" w:sz="4" w:space="0"/>
              <w:bottom w:val="single" w:color="000000" w:sz="4" w:space="0"/>
              <w:right w:val="single" w:color="000000" w:sz="4" w:space="0"/>
            </w:tcBorders>
            <w:vAlign w:val="center"/>
          </w:tcPr>
          <w:p w14:paraId="19EBCDC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BB7642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03F0C30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015BBE3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16DF96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00C2DC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F7E44E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传声器降噪</w:t>
            </w:r>
          </w:p>
        </w:tc>
        <w:tc>
          <w:tcPr>
            <w:tcW w:w="3960" w:type="dxa"/>
            <w:tcBorders>
              <w:top w:val="single" w:color="000000" w:sz="4" w:space="0"/>
              <w:left w:val="single" w:color="000000" w:sz="4" w:space="0"/>
              <w:bottom w:val="single" w:color="000000" w:sz="4" w:space="0"/>
              <w:right w:val="single" w:color="000000" w:sz="4" w:space="0"/>
            </w:tcBorders>
            <w:vAlign w:val="center"/>
          </w:tcPr>
          <w:p w14:paraId="08865EC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322EE4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68E70A8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3E3EBB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5EB9DC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0AF0E0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140252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键盘背光</w:t>
            </w:r>
          </w:p>
        </w:tc>
        <w:tc>
          <w:tcPr>
            <w:tcW w:w="3960" w:type="dxa"/>
            <w:tcBorders>
              <w:top w:val="single" w:color="000000" w:sz="4" w:space="0"/>
              <w:left w:val="single" w:color="000000" w:sz="4" w:space="0"/>
              <w:bottom w:val="single" w:color="000000" w:sz="4" w:space="0"/>
              <w:right w:val="single" w:color="000000" w:sz="4" w:space="0"/>
            </w:tcBorders>
            <w:vAlign w:val="center"/>
          </w:tcPr>
          <w:p w14:paraId="689EA5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464637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D1797E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53CC6391">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94D799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92057B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3910D5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光驱功能</w:t>
            </w:r>
          </w:p>
        </w:tc>
        <w:tc>
          <w:tcPr>
            <w:tcW w:w="3960" w:type="dxa"/>
            <w:tcBorders>
              <w:top w:val="single" w:color="000000" w:sz="4" w:space="0"/>
              <w:left w:val="single" w:color="000000" w:sz="4" w:space="0"/>
              <w:bottom w:val="single" w:color="000000" w:sz="4" w:space="0"/>
              <w:right w:val="single" w:color="000000" w:sz="4" w:space="0"/>
            </w:tcBorders>
            <w:vAlign w:val="center"/>
          </w:tcPr>
          <w:p w14:paraId="393AA38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EE0EC7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78E3D23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16F551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F87D2F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116</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17D20A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存储功能</w:t>
            </w:r>
          </w:p>
        </w:tc>
        <w:tc>
          <w:tcPr>
            <w:tcW w:w="1560" w:type="dxa"/>
            <w:tcBorders>
              <w:top w:val="single" w:color="000000" w:sz="4" w:space="0"/>
              <w:left w:val="single" w:color="000000" w:sz="4" w:space="0"/>
              <w:bottom w:val="single" w:color="000000" w:sz="4" w:space="0"/>
              <w:right w:val="nil"/>
            </w:tcBorders>
            <w:vAlign w:val="center"/>
          </w:tcPr>
          <w:p w14:paraId="2DA54CF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存储功能</w:t>
            </w:r>
          </w:p>
        </w:tc>
        <w:tc>
          <w:tcPr>
            <w:tcW w:w="3960" w:type="dxa"/>
            <w:tcBorders>
              <w:top w:val="single" w:color="000000" w:sz="4" w:space="0"/>
              <w:left w:val="single" w:color="000000" w:sz="4" w:space="0"/>
              <w:bottom w:val="single" w:color="000000" w:sz="4" w:space="0"/>
              <w:right w:val="single" w:color="000000" w:sz="4" w:space="0"/>
            </w:tcBorders>
            <w:vAlign w:val="center"/>
          </w:tcPr>
          <w:p w14:paraId="1419DFF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能通过SATA固态存储/PCIe固态存储 /UFS固态存储/SATA硬磁盘等存储部件提供存储功能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114D2EC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3DA815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72429C2C">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4038B9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C30BE06">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7C86E0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内置控制器固态存储加密</w:t>
            </w:r>
          </w:p>
        </w:tc>
        <w:tc>
          <w:tcPr>
            <w:tcW w:w="3960" w:type="dxa"/>
            <w:tcBorders>
              <w:top w:val="single" w:color="000000" w:sz="4" w:space="0"/>
              <w:left w:val="single" w:color="000000" w:sz="4" w:space="0"/>
              <w:bottom w:val="single" w:color="000000" w:sz="4" w:space="0"/>
              <w:right w:val="single" w:color="000000" w:sz="4" w:space="0"/>
            </w:tcBorders>
            <w:vAlign w:val="center"/>
          </w:tcPr>
          <w:p w14:paraId="4E47B18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EF33BA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4406A0A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BC0FF0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6AA680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118</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17F7282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网络设备功能</w:t>
            </w:r>
          </w:p>
        </w:tc>
        <w:tc>
          <w:tcPr>
            <w:tcW w:w="1560" w:type="dxa"/>
            <w:tcBorders>
              <w:top w:val="single" w:color="000000" w:sz="4" w:space="0"/>
              <w:left w:val="single" w:color="000000" w:sz="4" w:space="0"/>
              <w:bottom w:val="single" w:color="000000" w:sz="4" w:space="0"/>
              <w:right w:val="nil"/>
            </w:tcBorders>
            <w:vAlign w:val="center"/>
          </w:tcPr>
          <w:p w14:paraId="1661E06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网络功能</w:t>
            </w:r>
          </w:p>
        </w:tc>
        <w:tc>
          <w:tcPr>
            <w:tcW w:w="3960" w:type="dxa"/>
            <w:tcBorders>
              <w:top w:val="single" w:color="000000" w:sz="4" w:space="0"/>
              <w:left w:val="single" w:color="000000" w:sz="4" w:space="0"/>
              <w:bottom w:val="single" w:color="000000" w:sz="4" w:space="0"/>
              <w:right w:val="single" w:color="000000" w:sz="4" w:space="0"/>
            </w:tcBorders>
            <w:vAlign w:val="center"/>
          </w:tcPr>
          <w:p w14:paraId="08FC0EE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支持网络连接、网络开启/关闭功能；支持访问网络和数据交换功能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0643385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4067C5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80D983A">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EA0EE7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119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C22573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2EC333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无线网卡频段</w:t>
            </w:r>
          </w:p>
        </w:tc>
        <w:tc>
          <w:tcPr>
            <w:tcW w:w="3960" w:type="dxa"/>
            <w:tcBorders>
              <w:top w:val="single" w:color="000000" w:sz="4" w:space="0"/>
              <w:left w:val="single" w:color="000000" w:sz="4" w:space="0"/>
              <w:bottom w:val="single" w:color="000000" w:sz="4" w:space="0"/>
              <w:right w:val="single" w:color="000000" w:sz="4" w:space="0"/>
            </w:tcBorders>
            <w:vAlign w:val="center"/>
          </w:tcPr>
          <w:p w14:paraId="04224F1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55BE2B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C57E8B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034FBF14">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518A42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29D80F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748A11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物理开关</w:t>
            </w:r>
          </w:p>
        </w:tc>
        <w:tc>
          <w:tcPr>
            <w:tcW w:w="3960" w:type="dxa"/>
            <w:tcBorders>
              <w:top w:val="single" w:color="000000" w:sz="4" w:space="0"/>
              <w:left w:val="single" w:color="000000" w:sz="4" w:space="0"/>
              <w:bottom w:val="single" w:color="000000" w:sz="4" w:space="0"/>
              <w:right w:val="single" w:color="000000" w:sz="4" w:space="0"/>
            </w:tcBorders>
            <w:vAlign w:val="center"/>
          </w:tcPr>
          <w:p w14:paraId="129A75B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395ABFC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405616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974903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183041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C45FCA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8D0B53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数据传输</w:t>
            </w:r>
          </w:p>
        </w:tc>
        <w:tc>
          <w:tcPr>
            <w:tcW w:w="3960" w:type="dxa"/>
            <w:tcBorders>
              <w:top w:val="single" w:color="000000" w:sz="4" w:space="0"/>
              <w:left w:val="single" w:color="000000" w:sz="4" w:space="0"/>
              <w:bottom w:val="single" w:color="000000" w:sz="4" w:space="0"/>
              <w:right w:val="single" w:color="000000" w:sz="4" w:space="0"/>
            </w:tcBorders>
            <w:vAlign w:val="center"/>
          </w:tcPr>
          <w:p w14:paraId="389FFCB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支持数据传输能力，并提供数据流量和异常日志记录功能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5D93307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BC16A2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78BC9005">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92C45B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7B56F3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909538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蓝牙协议</w:t>
            </w:r>
          </w:p>
        </w:tc>
        <w:tc>
          <w:tcPr>
            <w:tcW w:w="3960" w:type="dxa"/>
            <w:tcBorders>
              <w:top w:val="single" w:color="000000" w:sz="4" w:space="0"/>
              <w:left w:val="single" w:color="000000" w:sz="4" w:space="0"/>
              <w:bottom w:val="single" w:color="000000" w:sz="4" w:space="0"/>
              <w:right w:val="single" w:color="000000" w:sz="4" w:space="0"/>
            </w:tcBorders>
            <w:vAlign w:val="center"/>
          </w:tcPr>
          <w:p w14:paraId="487C625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BE18FB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E47279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784C54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036871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3DA7D4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BB2B4D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有线网卡接口类型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609064F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支持RJ45接口</w:t>
            </w:r>
          </w:p>
        </w:tc>
        <w:tc>
          <w:tcPr>
            <w:tcW w:w="1035" w:type="dxa"/>
            <w:tcBorders>
              <w:top w:val="single" w:color="000000" w:sz="4" w:space="0"/>
              <w:left w:val="single" w:color="000000" w:sz="4" w:space="0"/>
              <w:bottom w:val="single" w:color="000000" w:sz="4" w:space="0"/>
              <w:right w:val="single" w:color="000000" w:sz="4" w:space="0"/>
            </w:tcBorders>
            <w:vAlign w:val="center"/>
          </w:tcPr>
          <w:p w14:paraId="6880A0E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60D12C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067EE11F">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90678F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DA0469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A8E764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无线网卡标准</w:t>
            </w:r>
          </w:p>
        </w:tc>
        <w:tc>
          <w:tcPr>
            <w:tcW w:w="3960" w:type="dxa"/>
            <w:tcBorders>
              <w:top w:val="single" w:color="000000" w:sz="4" w:space="0"/>
              <w:left w:val="single" w:color="000000" w:sz="4" w:space="0"/>
              <w:bottom w:val="single" w:color="000000" w:sz="4" w:space="0"/>
              <w:right w:val="single" w:color="000000" w:sz="4" w:space="0"/>
            </w:tcBorders>
            <w:vAlign w:val="center"/>
          </w:tcPr>
          <w:p w14:paraId="4E81BA7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770BC9A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4A4C64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CD792D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53121D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932B146">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11F837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网络设备拆装</w:t>
            </w:r>
          </w:p>
        </w:tc>
        <w:tc>
          <w:tcPr>
            <w:tcW w:w="3960" w:type="dxa"/>
            <w:tcBorders>
              <w:top w:val="single" w:color="000000" w:sz="4" w:space="0"/>
              <w:left w:val="single" w:color="000000" w:sz="4" w:space="0"/>
              <w:bottom w:val="single" w:color="000000" w:sz="4" w:space="0"/>
              <w:right w:val="single" w:color="000000" w:sz="4" w:space="0"/>
            </w:tcBorders>
            <w:vAlign w:val="center"/>
          </w:tcPr>
          <w:p w14:paraId="68099F4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网络设备支持物理拆装</w:t>
            </w:r>
          </w:p>
        </w:tc>
        <w:tc>
          <w:tcPr>
            <w:tcW w:w="1035" w:type="dxa"/>
            <w:tcBorders>
              <w:top w:val="single" w:color="000000" w:sz="4" w:space="0"/>
              <w:left w:val="single" w:color="000000" w:sz="4" w:space="0"/>
              <w:bottom w:val="single" w:color="000000" w:sz="4" w:space="0"/>
              <w:right w:val="single" w:color="000000" w:sz="4" w:space="0"/>
            </w:tcBorders>
            <w:vAlign w:val="center"/>
          </w:tcPr>
          <w:p w14:paraId="54C3279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794C4C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6F731B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C97671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126</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1A3CF65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外部接口功能</w:t>
            </w:r>
          </w:p>
        </w:tc>
        <w:tc>
          <w:tcPr>
            <w:tcW w:w="1560" w:type="dxa"/>
            <w:tcBorders>
              <w:top w:val="single" w:color="000000" w:sz="4" w:space="0"/>
              <w:left w:val="single" w:color="000000" w:sz="4" w:space="0"/>
              <w:bottom w:val="single" w:color="000000" w:sz="4" w:space="0"/>
              <w:right w:val="nil"/>
            </w:tcBorders>
            <w:vAlign w:val="center"/>
          </w:tcPr>
          <w:p w14:paraId="0034863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音频接口类型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20459557">
            <w:pPr>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bidi="ar"/>
              </w:rPr>
              <w:t>支持 3.5mm 孔径3段式</w:t>
            </w:r>
          </w:p>
        </w:tc>
        <w:tc>
          <w:tcPr>
            <w:tcW w:w="1035" w:type="dxa"/>
            <w:tcBorders>
              <w:top w:val="single" w:color="000000" w:sz="4" w:space="0"/>
              <w:left w:val="single" w:color="000000" w:sz="4" w:space="0"/>
              <w:bottom w:val="single" w:color="000000" w:sz="4" w:space="0"/>
              <w:right w:val="single" w:color="000000" w:sz="4" w:space="0"/>
            </w:tcBorders>
            <w:vAlign w:val="center"/>
          </w:tcPr>
          <w:p w14:paraId="5896B5E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F5B838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B5D567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556F97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27B9A3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2949A3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视频接口类型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4FB43AB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至少支持 VGA、HDMI两种显示接口</w:t>
            </w:r>
          </w:p>
        </w:tc>
        <w:tc>
          <w:tcPr>
            <w:tcW w:w="1035" w:type="dxa"/>
            <w:tcBorders>
              <w:top w:val="single" w:color="000000" w:sz="4" w:space="0"/>
              <w:left w:val="single" w:color="000000" w:sz="4" w:space="0"/>
              <w:bottom w:val="single" w:color="000000" w:sz="4" w:space="0"/>
              <w:right w:val="single" w:color="000000" w:sz="4" w:space="0"/>
            </w:tcBorders>
            <w:vAlign w:val="center"/>
          </w:tcPr>
          <w:p w14:paraId="011E7EFC">
            <w:pPr>
              <w:spacing w:line="360" w:lineRule="exact"/>
              <w:textAlignment w:val="center"/>
              <w:rPr>
                <w:rFonts w:hint="eastAsia" w:cs="仿宋_GB2312" w:asciiTheme="minorEastAsia" w:hAnsiTheme="minorEastAsia" w:eastAsiaTheme="minorEastAsia"/>
                <w:lang w:eastAsia="zh-CN" w:bidi="ar"/>
              </w:rPr>
            </w:pPr>
          </w:p>
        </w:tc>
      </w:tr>
      <w:tr w14:paraId="57A5E9C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AA31B7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40703F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E2F901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B18DBE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HDMI、DP、Type-C 显示接口要求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1122972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提供 HDMI作为显示接口，支持音频和视频同步输出</w:t>
            </w:r>
          </w:p>
        </w:tc>
        <w:tc>
          <w:tcPr>
            <w:tcW w:w="1035" w:type="dxa"/>
            <w:tcBorders>
              <w:top w:val="single" w:color="000000" w:sz="4" w:space="0"/>
              <w:left w:val="single" w:color="000000" w:sz="4" w:space="0"/>
              <w:bottom w:val="single" w:color="000000" w:sz="4" w:space="0"/>
              <w:right w:val="single" w:color="000000" w:sz="4" w:space="0"/>
            </w:tcBorders>
            <w:vAlign w:val="center"/>
          </w:tcPr>
          <w:p w14:paraId="0BA5F9E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0657B8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DBD2500">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0D2668B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129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7D094E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967E07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其他接口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46E4010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1980BDD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F1EEF4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0DE5132">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A90126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5EE81C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441F7B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存储卡接口类型</w:t>
            </w:r>
          </w:p>
        </w:tc>
        <w:tc>
          <w:tcPr>
            <w:tcW w:w="3960" w:type="dxa"/>
            <w:tcBorders>
              <w:top w:val="single" w:color="000000" w:sz="4" w:space="0"/>
              <w:left w:val="single" w:color="000000" w:sz="4" w:space="0"/>
              <w:bottom w:val="single" w:color="000000" w:sz="4" w:space="0"/>
              <w:right w:val="single" w:color="000000" w:sz="4" w:space="0"/>
            </w:tcBorders>
            <w:vAlign w:val="center"/>
          </w:tcPr>
          <w:p w14:paraId="637B7AE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6B1FFB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476608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FE5E55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D75246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131</w:t>
            </w:r>
          </w:p>
        </w:tc>
        <w:tc>
          <w:tcPr>
            <w:tcW w:w="1230" w:type="dxa"/>
            <w:tcBorders>
              <w:top w:val="single" w:color="000000" w:sz="4" w:space="0"/>
              <w:left w:val="single" w:color="000000" w:sz="4" w:space="0"/>
              <w:bottom w:val="single" w:color="000000" w:sz="4" w:space="0"/>
              <w:right w:val="single" w:color="000000" w:sz="4" w:space="0"/>
            </w:tcBorders>
            <w:vAlign w:val="center"/>
          </w:tcPr>
          <w:p w14:paraId="5FB0BE1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电源功能</w:t>
            </w:r>
          </w:p>
        </w:tc>
        <w:tc>
          <w:tcPr>
            <w:tcW w:w="1560" w:type="dxa"/>
            <w:tcBorders>
              <w:top w:val="single" w:color="000000" w:sz="4" w:space="0"/>
              <w:left w:val="single" w:color="000000" w:sz="4" w:space="0"/>
              <w:bottom w:val="single" w:color="000000" w:sz="4" w:space="0"/>
              <w:right w:val="nil"/>
            </w:tcBorders>
            <w:vAlign w:val="center"/>
          </w:tcPr>
          <w:p w14:paraId="5ACF773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电源线适配能力</w:t>
            </w:r>
          </w:p>
        </w:tc>
        <w:tc>
          <w:tcPr>
            <w:tcW w:w="3960" w:type="dxa"/>
            <w:tcBorders>
              <w:top w:val="single" w:color="000000" w:sz="4" w:space="0"/>
              <w:left w:val="single" w:color="000000" w:sz="4" w:space="0"/>
              <w:bottom w:val="single" w:color="000000" w:sz="4" w:space="0"/>
              <w:right w:val="single" w:color="000000" w:sz="4" w:space="0"/>
            </w:tcBorders>
            <w:vAlign w:val="center"/>
          </w:tcPr>
          <w:p w14:paraId="196BF4D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≥500W节能电源，电线组件应符合GB/T 15934的要求，可拆线的插头和连接器</w:t>
            </w:r>
          </w:p>
        </w:tc>
        <w:tc>
          <w:tcPr>
            <w:tcW w:w="1035" w:type="dxa"/>
            <w:tcBorders>
              <w:top w:val="single" w:color="000000" w:sz="4" w:space="0"/>
              <w:left w:val="single" w:color="000000" w:sz="4" w:space="0"/>
              <w:bottom w:val="single" w:color="000000" w:sz="4" w:space="0"/>
              <w:right w:val="single" w:color="000000" w:sz="4" w:space="0"/>
            </w:tcBorders>
            <w:vAlign w:val="center"/>
          </w:tcPr>
          <w:p w14:paraId="6A6B2A7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89AE08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1564CE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6E83F4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5E29A71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操作系统及软件功能</w:t>
            </w:r>
          </w:p>
        </w:tc>
        <w:tc>
          <w:tcPr>
            <w:tcW w:w="1560" w:type="dxa"/>
            <w:tcBorders>
              <w:top w:val="single" w:color="000000" w:sz="4" w:space="0"/>
              <w:left w:val="single" w:color="000000" w:sz="4" w:space="0"/>
              <w:bottom w:val="single" w:color="000000" w:sz="4" w:space="0"/>
              <w:right w:val="nil"/>
            </w:tcBorders>
            <w:vAlign w:val="center"/>
          </w:tcPr>
          <w:p w14:paraId="5E12F9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中文信息处理要求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014AE68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 18030 的相关规定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60AC86D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0F3FFD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F4CA51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74A0C1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A0DC58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260F35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操作系统备份及还原功能</w:t>
            </w:r>
          </w:p>
        </w:tc>
        <w:tc>
          <w:tcPr>
            <w:tcW w:w="3960" w:type="dxa"/>
            <w:tcBorders>
              <w:top w:val="single" w:color="000000" w:sz="4" w:space="0"/>
              <w:left w:val="single" w:color="000000" w:sz="4" w:space="0"/>
              <w:bottom w:val="single" w:color="000000" w:sz="4" w:space="0"/>
              <w:right w:val="single" w:color="000000" w:sz="4" w:space="0"/>
            </w:tcBorders>
            <w:vAlign w:val="center"/>
          </w:tcPr>
          <w:p w14:paraId="3A31A3B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支持操作系统备份及还原功能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7F6B2A9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E8BEEC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12A229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1FC975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20E32D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96F402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固件备份还原能力</w:t>
            </w:r>
          </w:p>
        </w:tc>
        <w:tc>
          <w:tcPr>
            <w:tcW w:w="3960" w:type="dxa"/>
            <w:tcBorders>
              <w:top w:val="single" w:color="000000" w:sz="4" w:space="0"/>
              <w:left w:val="single" w:color="000000" w:sz="4" w:space="0"/>
              <w:bottom w:val="single" w:color="000000" w:sz="4" w:space="0"/>
              <w:right w:val="single" w:color="000000" w:sz="4" w:space="0"/>
            </w:tcBorders>
            <w:vAlign w:val="center"/>
          </w:tcPr>
          <w:p w14:paraId="459442C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支持备份及还原固件的功能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7779157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4510C7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8F053F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BC7536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7B41A50">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284A61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操作系统及驱动升级</w:t>
            </w:r>
          </w:p>
        </w:tc>
        <w:tc>
          <w:tcPr>
            <w:tcW w:w="3960" w:type="dxa"/>
            <w:tcBorders>
              <w:top w:val="single" w:color="000000" w:sz="4" w:space="0"/>
              <w:left w:val="single" w:color="000000" w:sz="4" w:space="0"/>
              <w:bottom w:val="single" w:color="000000" w:sz="4" w:space="0"/>
              <w:right w:val="single" w:color="000000" w:sz="4" w:space="0"/>
            </w:tcBorders>
            <w:vAlign w:val="center"/>
          </w:tcPr>
          <w:p w14:paraId="5F8CE16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支持通过网络、闪存盘等方式对操作系统、驱动进行升级</w:t>
            </w:r>
          </w:p>
        </w:tc>
        <w:tc>
          <w:tcPr>
            <w:tcW w:w="1035" w:type="dxa"/>
            <w:tcBorders>
              <w:top w:val="single" w:color="000000" w:sz="4" w:space="0"/>
              <w:left w:val="single" w:color="000000" w:sz="4" w:space="0"/>
              <w:bottom w:val="single" w:color="000000" w:sz="4" w:space="0"/>
              <w:right w:val="single" w:color="000000" w:sz="4" w:space="0"/>
            </w:tcBorders>
            <w:vAlign w:val="center"/>
          </w:tcPr>
          <w:p w14:paraId="4DC84A2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7D8EC3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4576EB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4EB03B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79A935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F50C49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固件升级</w:t>
            </w:r>
          </w:p>
        </w:tc>
        <w:tc>
          <w:tcPr>
            <w:tcW w:w="3960" w:type="dxa"/>
            <w:tcBorders>
              <w:top w:val="single" w:color="000000" w:sz="4" w:space="0"/>
              <w:left w:val="single" w:color="000000" w:sz="4" w:space="0"/>
              <w:bottom w:val="single" w:color="000000" w:sz="4" w:space="0"/>
              <w:right w:val="single" w:color="000000" w:sz="4" w:space="0"/>
            </w:tcBorders>
            <w:vAlign w:val="center"/>
          </w:tcPr>
          <w:p w14:paraId="4BDF581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支持通过网络、闪存盘等方式对固件进行升级</w:t>
            </w:r>
          </w:p>
        </w:tc>
        <w:tc>
          <w:tcPr>
            <w:tcW w:w="1035" w:type="dxa"/>
            <w:tcBorders>
              <w:top w:val="single" w:color="000000" w:sz="4" w:space="0"/>
              <w:left w:val="single" w:color="000000" w:sz="4" w:space="0"/>
              <w:bottom w:val="single" w:color="000000" w:sz="4" w:space="0"/>
              <w:right w:val="single" w:color="000000" w:sz="4" w:space="0"/>
            </w:tcBorders>
            <w:vAlign w:val="center"/>
          </w:tcPr>
          <w:p w14:paraId="7874E5E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202254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50F187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67B851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27C9FC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68E9D3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BIOS 支持关闭通讯接口</w:t>
            </w:r>
          </w:p>
        </w:tc>
        <w:tc>
          <w:tcPr>
            <w:tcW w:w="3960" w:type="dxa"/>
            <w:tcBorders>
              <w:top w:val="single" w:color="000000" w:sz="4" w:space="0"/>
              <w:left w:val="single" w:color="000000" w:sz="4" w:space="0"/>
              <w:bottom w:val="single" w:color="000000" w:sz="4" w:space="0"/>
              <w:right w:val="single" w:color="000000" w:sz="4" w:space="0"/>
            </w:tcBorders>
            <w:vAlign w:val="center"/>
          </w:tcPr>
          <w:p w14:paraId="48336586">
            <w:pPr>
              <w:spacing w:line="360" w:lineRule="exact"/>
              <w:textAlignment w:val="center"/>
              <w:rPr>
                <w:rFonts w:hint="eastAsia" w:cs="仿宋_GB2312" w:asciiTheme="minorEastAsia" w:hAnsiTheme="minorEastAsia" w:eastAsiaTheme="minorEastAsia"/>
                <w:lang w:val="zh-TW" w:eastAsia="zh-TW"/>
              </w:rPr>
            </w:pPr>
            <w:r>
              <w:rPr>
                <w:rFonts w:cs="仿宋_GB2312" w:asciiTheme="minorEastAsia" w:hAnsiTheme="minorEastAsia" w:eastAsiaTheme="minorEastAsia"/>
                <w:lang w:eastAsia="zh-CN" w:bidi="ar"/>
              </w:rPr>
              <w:t>USB屏蔽技术，可设置为仅识别USB键盘、鼠标，无法识别USB读取设备</w:t>
            </w:r>
          </w:p>
        </w:tc>
        <w:tc>
          <w:tcPr>
            <w:tcW w:w="1035" w:type="dxa"/>
            <w:tcBorders>
              <w:top w:val="single" w:color="000000" w:sz="4" w:space="0"/>
              <w:left w:val="single" w:color="000000" w:sz="4" w:space="0"/>
              <w:bottom w:val="single" w:color="000000" w:sz="4" w:space="0"/>
              <w:right w:val="single" w:color="000000" w:sz="4" w:space="0"/>
            </w:tcBorders>
            <w:vAlign w:val="center"/>
          </w:tcPr>
          <w:p w14:paraId="3D8A829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bidi="ar"/>
              </w:rPr>
              <w:t>是</w:t>
            </w:r>
          </w:p>
        </w:tc>
      </w:tr>
      <w:tr w14:paraId="0889F64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BC97BE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40B0BA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278428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5E8940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固件查看信息</w:t>
            </w:r>
          </w:p>
        </w:tc>
        <w:tc>
          <w:tcPr>
            <w:tcW w:w="3960" w:type="dxa"/>
            <w:tcBorders>
              <w:top w:val="single" w:color="000000" w:sz="4" w:space="0"/>
              <w:left w:val="single" w:color="000000" w:sz="4" w:space="0"/>
              <w:bottom w:val="single" w:color="000000" w:sz="4" w:space="0"/>
              <w:right w:val="single" w:color="000000" w:sz="4" w:space="0"/>
            </w:tcBorders>
            <w:vAlign w:val="center"/>
          </w:tcPr>
          <w:p w14:paraId="6891134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支持查看固件版本、内存信息、主板信息、处理器信息和系统时间信息等功能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5B9CEB6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2B26DCF">
        <w:tblPrEx>
          <w:tblCellMar>
            <w:top w:w="0" w:type="dxa"/>
            <w:left w:w="108" w:type="dxa"/>
            <w:bottom w:w="0" w:type="dxa"/>
            <w:right w:w="108" w:type="dxa"/>
          </w:tblCellMar>
        </w:tblPrEx>
        <w:trPr>
          <w:trHeight w:val="90"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727B36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61015D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139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1AA9FB2">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D79E4B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固件设置启动顺序</w:t>
            </w:r>
          </w:p>
        </w:tc>
        <w:tc>
          <w:tcPr>
            <w:tcW w:w="3960" w:type="dxa"/>
            <w:tcBorders>
              <w:top w:val="single" w:color="000000" w:sz="4" w:space="0"/>
              <w:left w:val="single" w:color="000000" w:sz="4" w:space="0"/>
              <w:bottom w:val="single" w:color="000000" w:sz="4" w:space="0"/>
              <w:right w:val="single" w:color="000000" w:sz="4" w:space="0"/>
            </w:tcBorders>
            <w:vAlign w:val="center"/>
          </w:tcPr>
          <w:p w14:paraId="696D953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支持设置启动顺序功能，并按照设置的启动顺序启动</w:t>
            </w:r>
          </w:p>
        </w:tc>
        <w:tc>
          <w:tcPr>
            <w:tcW w:w="1035" w:type="dxa"/>
            <w:tcBorders>
              <w:top w:val="single" w:color="000000" w:sz="4" w:space="0"/>
              <w:left w:val="single" w:color="000000" w:sz="4" w:space="0"/>
              <w:bottom w:val="single" w:color="000000" w:sz="4" w:space="0"/>
              <w:right w:val="single" w:color="000000" w:sz="4" w:space="0"/>
            </w:tcBorders>
            <w:vAlign w:val="center"/>
          </w:tcPr>
          <w:p w14:paraId="2BB567A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A44E80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DC67B7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9B934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554EDC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8EBF94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固件设置口令</w:t>
            </w:r>
          </w:p>
        </w:tc>
        <w:tc>
          <w:tcPr>
            <w:tcW w:w="3960" w:type="dxa"/>
            <w:tcBorders>
              <w:top w:val="single" w:color="000000" w:sz="4" w:space="0"/>
              <w:left w:val="single" w:color="000000" w:sz="4" w:space="0"/>
              <w:bottom w:val="single" w:color="000000" w:sz="4" w:space="0"/>
              <w:right w:val="single" w:color="000000" w:sz="4" w:space="0"/>
            </w:tcBorders>
            <w:vAlign w:val="center"/>
          </w:tcPr>
          <w:p w14:paraId="1643EBF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支持设置口令、修改口令、验证口令功能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49C1595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8CC31C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C29D49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5572D0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99E7D9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E24354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固件设置网络引导</w:t>
            </w:r>
          </w:p>
        </w:tc>
        <w:tc>
          <w:tcPr>
            <w:tcW w:w="3960" w:type="dxa"/>
            <w:tcBorders>
              <w:top w:val="single" w:color="000000" w:sz="4" w:space="0"/>
              <w:left w:val="single" w:color="000000" w:sz="4" w:space="0"/>
              <w:bottom w:val="single" w:color="000000" w:sz="4" w:space="0"/>
              <w:right w:val="single" w:color="000000" w:sz="4" w:space="0"/>
            </w:tcBorders>
            <w:vAlign w:val="center"/>
          </w:tcPr>
          <w:p w14:paraId="4B45D95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支持网络引导启动和关闭功能</w:t>
            </w:r>
          </w:p>
        </w:tc>
        <w:tc>
          <w:tcPr>
            <w:tcW w:w="1035" w:type="dxa"/>
            <w:tcBorders>
              <w:top w:val="single" w:color="000000" w:sz="4" w:space="0"/>
              <w:left w:val="single" w:color="000000" w:sz="4" w:space="0"/>
              <w:bottom w:val="single" w:color="000000" w:sz="4" w:space="0"/>
              <w:right w:val="single" w:color="000000" w:sz="4" w:space="0"/>
            </w:tcBorders>
            <w:vAlign w:val="center"/>
          </w:tcPr>
          <w:p w14:paraId="26C0740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DF60ED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A946C00">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FD7D09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3A835D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生物识别功能</w:t>
            </w:r>
          </w:p>
        </w:tc>
        <w:tc>
          <w:tcPr>
            <w:tcW w:w="1560" w:type="dxa"/>
            <w:tcBorders>
              <w:top w:val="single" w:color="000000" w:sz="4" w:space="0"/>
              <w:left w:val="single" w:color="000000" w:sz="4" w:space="0"/>
              <w:bottom w:val="single" w:color="000000" w:sz="4" w:space="0"/>
              <w:right w:val="nil"/>
            </w:tcBorders>
            <w:vAlign w:val="center"/>
          </w:tcPr>
          <w:p w14:paraId="7829F4E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指纹识别</w:t>
            </w:r>
          </w:p>
        </w:tc>
        <w:tc>
          <w:tcPr>
            <w:tcW w:w="3960" w:type="dxa"/>
            <w:tcBorders>
              <w:top w:val="single" w:color="000000" w:sz="4" w:space="0"/>
              <w:left w:val="single" w:color="000000" w:sz="4" w:space="0"/>
              <w:bottom w:val="single" w:color="000000" w:sz="4" w:space="0"/>
              <w:right w:val="single" w:color="000000" w:sz="4" w:space="0"/>
            </w:tcBorders>
            <w:vAlign w:val="center"/>
          </w:tcPr>
          <w:p w14:paraId="1F468EA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7ABB387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2B2A2A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3714CC3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04E7EF2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AEA482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0C7282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人脸识别</w:t>
            </w:r>
          </w:p>
        </w:tc>
        <w:tc>
          <w:tcPr>
            <w:tcW w:w="3960" w:type="dxa"/>
            <w:tcBorders>
              <w:top w:val="single" w:color="000000" w:sz="4" w:space="0"/>
              <w:left w:val="single" w:color="000000" w:sz="4" w:space="0"/>
              <w:bottom w:val="single" w:color="000000" w:sz="4" w:space="0"/>
              <w:right w:val="single" w:color="000000" w:sz="4" w:space="0"/>
            </w:tcBorders>
            <w:vAlign w:val="center"/>
          </w:tcPr>
          <w:p w14:paraId="319A7D8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3F1F9CB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2AABA9F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ED551CD">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BFD66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A7EED9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E94943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静脉识别</w:t>
            </w:r>
          </w:p>
        </w:tc>
        <w:tc>
          <w:tcPr>
            <w:tcW w:w="3960" w:type="dxa"/>
            <w:tcBorders>
              <w:top w:val="single" w:color="000000" w:sz="4" w:space="0"/>
              <w:left w:val="single" w:color="000000" w:sz="4" w:space="0"/>
              <w:bottom w:val="single" w:color="000000" w:sz="4" w:space="0"/>
              <w:right w:val="single" w:color="000000" w:sz="4" w:space="0"/>
            </w:tcBorders>
            <w:vAlign w:val="center"/>
          </w:tcPr>
          <w:p w14:paraId="0093468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EFBA64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151234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4C53A16">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FA6F28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145</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5B575B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硬件加速功能</w:t>
            </w:r>
          </w:p>
        </w:tc>
        <w:tc>
          <w:tcPr>
            <w:tcW w:w="1560" w:type="dxa"/>
            <w:tcBorders>
              <w:top w:val="single" w:color="000000" w:sz="4" w:space="0"/>
              <w:left w:val="single" w:color="000000" w:sz="4" w:space="0"/>
              <w:bottom w:val="single" w:color="000000" w:sz="4" w:space="0"/>
              <w:right w:val="nil"/>
            </w:tcBorders>
            <w:vAlign w:val="center"/>
          </w:tcPr>
          <w:p w14:paraId="38CFB8A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NPU/GPU等AI加速模块</w:t>
            </w:r>
          </w:p>
        </w:tc>
        <w:tc>
          <w:tcPr>
            <w:tcW w:w="3960" w:type="dxa"/>
            <w:tcBorders>
              <w:top w:val="single" w:color="000000" w:sz="4" w:space="0"/>
              <w:left w:val="single" w:color="000000" w:sz="4" w:space="0"/>
              <w:bottom w:val="single" w:color="000000" w:sz="4" w:space="0"/>
              <w:right w:val="single" w:color="000000" w:sz="4" w:space="0"/>
            </w:tcBorders>
            <w:vAlign w:val="center"/>
          </w:tcPr>
          <w:p w14:paraId="78D2EA1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CB8A4E5">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12174E2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2952712F">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9A8AD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B3795E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3BDFC3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视频编解码加速模块</w:t>
            </w:r>
          </w:p>
        </w:tc>
        <w:tc>
          <w:tcPr>
            <w:tcW w:w="3960" w:type="dxa"/>
            <w:tcBorders>
              <w:top w:val="single" w:color="000000" w:sz="4" w:space="0"/>
              <w:left w:val="single" w:color="000000" w:sz="4" w:space="0"/>
              <w:bottom w:val="single" w:color="000000" w:sz="4" w:space="0"/>
              <w:right w:val="single" w:color="000000" w:sz="4" w:space="0"/>
            </w:tcBorders>
            <w:vAlign w:val="center"/>
          </w:tcPr>
          <w:p w14:paraId="35A06C6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65091FE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05F4529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4D3D64C">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AC11C2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42863B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F0D396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影像处理加速模块</w:t>
            </w:r>
          </w:p>
        </w:tc>
        <w:tc>
          <w:tcPr>
            <w:tcW w:w="3960" w:type="dxa"/>
            <w:tcBorders>
              <w:top w:val="single" w:color="000000" w:sz="4" w:space="0"/>
              <w:left w:val="single" w:color="000000" w:sz="4" w:space="0"/>
              <w:bottom w:val="single" w:color="000000" w:sz="4" w:space="0"/>
              <w:right w:val="single" w:color="000000" w:sz="4" w:space="0"/>
            </w:tcBorders>
            <w:vAlign w:val="center"/>
          </w:tcPr>
          <w:p w14:paraId="5768028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23E4B3C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5DBE212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6BBEBC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0A31F9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148</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661940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存储设备可靠性</w:t>
            </w:r>
          </w:p>
        </w:tc>
        <w:tc>
          <w:tcPr>
            <w:tcW w:w="1560" w:type="dxa"/>
            <w:tcBorders>
              <w:top w:val="single" w:color="000000" w:sz="4" w:space="0"/>
              <w:left w:val="single" w:color="000000" w:sz="4" w:space="0"/>
              <w:bottom w:val="single" w:color="000000" w:sz="4" w:space="0"/>
              <w:right w:val="nil"/>
            </w:tcBorders>
            <w:vAlign w:val="center"/>
          </w:tcPr>
          <w:p w14:paraId="6E83C51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固态存储寿命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6E6860A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TBW ≥80TB</w:t>
            </w:r>
          </w:p>
        </w:tc>
        <w:tc>
          <w:tcPr>
            <w:tcW w:w="1035" w:type="dxa"/>
            <w:tcBorders>
              <w:top w:val="single" w:color="000000" w:sz="4" w:space="0"/>
              <w:left w:val="single" w:color="000000" w:sz="4" w:space="0"/>
              <w:bottom w:val="single" w:color="000000" w:sz="4" w:space="0"/>
              <w:right w:val="single" w:color="000000" w:sz="4" w:space="0"/>
            </w:tcBorders>
            <w:vAlign w:val="center"/>
          </w:tcPr>
          <w:p w14:paraId="24FF64F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6C93628">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3CAD2D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DB19E8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149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946EC1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D709B4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机械硬盘寿命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53CE63A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通电时间≥5万小时</w:t>
            </w:r>
          </w:p>
        </w:tc>
        <w:tc>
          <w:tcPr>
            <w:tcW w:w="1035" w:type="dxa"/>
            <w:tcBorders>
              <w:top w:val="single" w:color="000000" w:sz="4" w:space="0"/>
              <w:left w:val="single" w:color="000000" w:sz="4" w:space="0"/>
              <w:bottom w:val="single" w:color="000000" w:sz="4" w:space="0"/>
              <w:right w:val="single" w:color="000000" w:sz="4" w:space="0"/>
            </w:tcBorders>
            <w:vAlign w:val="center"/>
          </w:tcPr>
          <w:p w14:paraId="07F1E5D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DED22A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38C807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30041A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150</w:t>
            </w:r>
          </w:p>
        </w:tc>
        <w:tc>
          <w:tcPr>
            <w:tcW w:w="1230" w:type="dxa"/>
            <w:tcBorders>
              <w:top w:val="single" w:color="000000" w:sz="4" w:space="0"/>
              <w:left w:val="single" w:color="000000" w:sz="4" w:space="0"/>
              <w:bottom w:val="single" w:color="000000" w:sz="4" w:space="0"/>
              <w:right w:val="single" w:color="000000" w:sz="4" w:space="0"/>
            </w:tcBorders>
            <w:vAlign w:val="center"/>
          </w:tcPr>
          <w:p w14:paraId="51CF32A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显示设备可靠性</w:t>
            </w:r>
          </w:p>
        </w:tc>
        <w:tc>
          <w:tcPr>
            <w:tcW w:w="1560" w:type="dxa"/>
            <w:tcBorders>
              <w:top w:val="single" w:color="000000" w:sz="4" w:space="0"/>
              <w:left w:val="single" w:color="000000" w:sz="4" w:space="0"/>
              <w:bottom w:val="single" w:color="000000" w:sz="4" w:space="0"/>
              <w:right w:val="nil"/>
            </w:tcBorders>
            <w:vAlign w:val="center"/>
          </w:tcPr>
          <w:p w14:paraId="3AB391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显示屏屏幕失效点</w:t>
            </w:r>
          </w:p>
        </w:tc>
        <w:tc>
          <w:tcPr>
            <w:tcW w:w="3960" w:type="dxa"/>
            <w:tcBorders>
              <w:top w:val="single" w:color="000000" w:sz="4" w:space="0"/>
              <w:left w:val="single" w:color="000000" w:sz="4" w:space="0"/>
              <w:bottom w:val="single" w:color="000000" w:sz="4" w:space="0"/>
              <w:right w:val="single" w:color="000000" w:sz="4" w:space="0"/>
            </w:tcBorders>
            <w:vAlign w:val="center"/>
          </w:tcPr>
          <w:p w14:paraId="27ACE21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9813.2的要求</w:t>
            </w:r>
          </w:p>
        </w:tc>
        <w:tc>
          <w:tcPr>
            <w:tcW w:w="1035" w:type="dxa"/>
            <w:tcBorders>
              <w:top w:val="single" w:color="000000" w:sz="4" w:space="0"/>
              <w:left w:val="single" w:color="000000" w:sz="4" w:space="0"/>
              <w:bottom w:val="single" w:color="000000" w:sz="4" w:space="0"/>
              <w:right w:val="single" w:color="000000" w:sz="4" w:space="0"/>
            </w:tcBorders>
            <w:vAlign w:val="center"/>
          </w:tcPr>
          <w:p w14:paraId="7A975742">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E1AF56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1882B9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DD3FEA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151</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5889AA9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外设可靠性</w:t>
            </w:r>
          </w:p>
        </w:tc>
        <w:tc>
          <w:tcPr>
            <w:tcW w:w="1560" w:type="dxa"/>
            <w:tcBorders>
              <w:top w:val="single" w:color="000000" w:sz="4" w:space="0"/>
              <w:left w:val="single" w:color="000000" w:sz="4" w:space="0"/>
              <w:bottom w:val="single" w:color="000000" w:sz="4" w:space="0"/>
              <w:right w:val="nil"/>
            </w:tcBorders>
            <w:vAlign w:val="center"/>
          </w:tcPr>
          <w:p w14:paraId="307A2EE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键盘按键寿命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0AFCFB1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≥1000 万次</w:t>
            </w:r>
          </w:p>
        </w:tc>
        <w:tc>
          <w:tcPr>
            <w:tcW w:w="1035" w:type="dxa"/>
            <w:tcBorders>
              <w:top w:val="single" w:color="000000" w:sz="4" w:space="0"/>
              <w:left w:val="single" w:color="000000" w:sz="4" w:space="0"/>
              <w:bottom w:val="single" w:color="000000" w:sz="4" w:space="0"/>
              <w:right w:val="single" w:color="000000" w:sz="4" w:space="0"/>
            </w:tcBorders>
            <w:vAlign w:val="center"/>
          </w:tcPr>
          <w:p w14:paraId="5AD4AC7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DD6778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D659F2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12328F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5C45E7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BB121B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鼠标按键寿命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54E4EF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≥500 万次</w:t>
            </w:r>
          </w:p>
        </w:tc>
        <w:tc>
          <w:tcPr>
            <w:tcW w:w="1035" w:type="dxa"/>
            <w:tcBorders>
              <w:top w:val="single" w:color="000000" w:sz="4" w:space="0"/>
              <w:left w:val="single" w:color="000000" w:sz="4" w:space="0"/>
              <w:bottom w:val="single" w:color="000000" w:sz="4" w:space="0"/>
              <w:right w:val="single" w:color="000000" w:sz="4" w:space="0"/>
            </w:tcBorders>
            <w:vAlign w:val="center"/>
          </w:tcPr>
          <w:p w14:paraId="16AF459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BCD952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448DD26">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B02FCD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1529A7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D7A248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键盘鼠标线材寿命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43E9515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键盘鼠标所用线材经±60°弯折不低于 3000 次，功能、外观完好</w:t>
            </w:r>
          </w:p>
        </w:tc>
        <w:tc>
          <w:tcPr>
            <w:tcW w:w="1035" w:type="dxa"/>
            <w:tcBorders>
              <w:top w:val="single" w:color="000000" w:sz="4" w:space="0"/>
              <w:left w:val="single" w:color="000000" w:sz="4" w:space="0"/>
              <w:bottom w:val="single" w:color="000000" w:sz="4" w:space="0"/>
              <w:right w:val="single" w:color="000000" w:sz="4" w:space="0"/>
            </w:tcBorders>
            <w:vAlign w:val="center"/>
          </w:tcPr>
          <w:p w14:paraId="68F53C2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FC8A6C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E423F6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A277E1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E01B61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7943F2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风扇寿命</w:t>
            </w:r>
          </w:p>
        </w:tc>
        <w:tc>
          <w:tcPr>
            <w:tcW w:w="3960" w:type="dxa"/>
            <w:tcBorders>
              <w:top w:val="single" w:color="000000" w:sz="4" w:space="0"/>
              <w:left w:val="single" w:color="000000" w:sz="4" w:space="0"/>
              <w:bottom w:val="single" w:color="000000" w:sz="4" w:space="0"/>
              <w:right w:val="single" w:color="000000" w:sz="4" w:space="0"/>
            </w:tcBorders>
            <w:vAlign w:val="center"/>
          </w:tcPr>
          <w:p w14:paraId="1FA1B6A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≥4 万小时</w:t>
            </w:r>
          </w:p>
        </w:tc>
        <w:tc>
          <w:tcPr>
            <w:tcW w:w="1035" w:type="dxa"/>
            <w:tcBorders>
              <w:top w:val="single" w:color="000000" w:sz="4" w:space="0"/>
              <w:left w:val="single" w:color="000000" w:sz="4" w:space="0"/>
              <w:bottom w:val="single" w:color="000000" w:sz="4" w:space="0"/>
              <w:right w:val="single" w:color="000000" w:sz="4" w:space="0"/>
            </w:tcBorders>
            <w:vAlign w:val="center"/>
          </w:tcPr>
          <w:p w14:paraId="633A9DA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AD5688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9BD4E0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84C3F9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155</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4C4284B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整机可靠性要求</w:t>
            </w:r>
          </w:p>
        </w:tc>
        <w:tc>
          <w:tcPr>
            <w:tcW w:w="1560" w:type="dxa"/>
            <w:tcBorders>
              <w:top w:val="single" w:color="000000" w:sz="4" w:space="0"/>
              <w:left w:val="single" w:color="000000" w:sz="4" w:space="0"/>
              <w:bottom w:val="single" w:color="000000" w:sz="4" w:space="0"/>
              <w:right w:val="nil"/>
            </w:tcBorders>
            <w:vAlign w:val="center"/>
          </w:tcPr>
          <w:p w14:paraId="6CC8CC7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电磁兼容性要求的抗扰度</w:t>
            </w:r>
          </w:p>
        </w:tc>
        <w:tc>
          <w:tcPr>
            <w:tcW w:w="3960" w:type="dxa"/>
            <w:tcBorders>
              <w:top w:val="single" w:color="000000" w:sz="4" w:space="0"/>
              <w:left w:val="single" w:color="000000" w:sz="4" w:space="0"/>
              <w:bottom w:val="single" w:color="000000" w:sz="4" w:space="0"/>
              <w:right w:val="single" w:color="000000" w:sz="4" w:space="0"/>
            </w:tcBorders>
            <w:vAlign w:val="center"/>
          </w:tcPr>
          <w:p w14:paraId="7774DAB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9254.2 的规定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3F3B096A">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355C1B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DA2E45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38A990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75D7D9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D9FBED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环境条件要求的气候环境适应性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0049995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2AC018E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2BD35C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F1C8B4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E75A48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5F5589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C69FB8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环境条件要求的振动适应性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1F85B86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62691DA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9692B2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4A4060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178FBE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F7C07B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60D73A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环境条件要求的冲击适应性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5FB48FA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04F44C1D">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6F55D6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C43C31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8271DC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159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1386E2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77EC9A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环境条件要求的碰撞适应性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317EDCD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51038D71">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8447E1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F9CD2AE">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CD0520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A3A8633">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1342BA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环境条件要求的运输包装件跌落适应性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0255A6A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4E4172E3">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6E60591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390A8D0">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BDD37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29CF1B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F689D4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MTBF 测试</w:t>
            </w:r>
          </w:p>
        </w:tc>
        <w:tc>
          <w:tcPr>
            <w:tcW w:w="3960" w:type="dxa"/>
            <w:tcBorders>
              <w:top w:val="single" w:color="000000" w:sz="4" w:space="0"/>
              <w:left w:val="single" w:color="000000" w:sz="4" w:space="0"/>
              <w:bottom w:val="single" w:color="000000" w:sz="4" w:space="0"/>
              <w:right w:val="single" w:color="000000" w:sz="4" w:space="0"/>
            </w:tcBorders>
            <w:vAlign w:val="center"/>
          </w:tcPr>
          <w:p w14:paraId="2043FD3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MTBF(m1)≥100万小时</w:t>
            </w:r>
          </w:p>
        </w:tc>
        <w:tc>
          <w:tcPr>
            <w:tcW w:w="1035" w:type="dxa"/>
            <w:tcBorders>
              <w:top w:val="single" w:color="000000" w:sz="4" w:space="0"/>
              <w:left w:val="single" w:color="000000" w:sz="4" w:space="0"/>
              <w:bottom w:val="single" w:color="000000" w:sz="4" w:space="0"/>
              <w:right w:val="single" w:color="000000" w:sz="4" w:space="0"/>
            </w:tcBorders>
            <w:vAlign w:val="center"/>
          </w:tcPr>
          <w:p w14:paraId="7272E6D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bidi="ar"/>
              </w:rPr>
              <w:t>是</w:t>
            </w:r>
          </w:p>
        </w:tc>
      </w:tr>
      <w:tr w14:paraId="7267712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B49474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5BD6BF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F53BA6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兼容要求</w:t>
            </w:r>
          </w:p>
        </w:tc>
        <w:tc>
          <w:tcPr>
            <w:tcW w:w="1560" w:type="dxa"/>
            <w:tcBorders>
              <w:top w:val="single" w:color="000000" w:sz="4" w:space="0"/>
              <w:left w:val="single" w:color="000000" w:sz="4" w:space="0"/>
              <w:bottom w:val="single" w:color="000000" w:sz="4" w:space="0"/>
              <w:right w:val="nil"/>
            </w:tcBorders>
            <w:vAlign w:val="center"/>
          </w:tcPr>
          <w:p w14:paraId="3D563C5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常用软件兼容</w:t>
            </w:r>
          </w:p>
        </w:tc>
        <w:tc>
          <w:tcPr>
            <w:tcW w:w="3960" w:type="dxa"/>
            <w:tcBorders>
              <w:top w:val="single" w:color="000000" w:sz="4" w:space="0"/>
              <w:left w:val="single" w:color="000000" w:sz="4" w:space="0"/>
              <w:bottom w:val="single" w:color="000000" w:sz="4" w:space="0"/>
              <w:right w:val="single" w:color="000000" w:sz="4" w:space="0"/>
            </w:tcBorders>
            <w:vAlign w:val="center"/>
          </w:tcPr>
          <w:p w14:paraId="7A6D0B3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支持流式软件、版式软件、浏览器、邮件采购人端、解压软件、多媒体、图形图像处理等常用软件</w:t>
            </w:r>
          </w:p>
        </w:tc>
        <w:tc>
          <w:tcPr>
            <w:tcW w:w="1035" w:type="dxa"/>
            <w:tcBorders>
              <w:top w:val="single" w:color="000000" w:sz="4" w:space="0"/>
              <w:left w:val="single" w:color="000000" w:sz="4" w:space="0"/>
              <w:bottom w:val="single" w:color="000000" w:sz="4" w:space="0"/>
              <w:right w:val="single" w:color="000000" w:sz="4" w:space="0"/>
            </w:tcBorders>
            <w:vAlign w:val="center"/>
          </w:tcPr>
          <w:p w14:paraId="17836467">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54D4E80">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5E4DDF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030F61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6BBB7D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39F48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数据库兼容</w:t>
            </w:r>
          </w:p>
        </w:tc>
        <w:tc>
          <w:tcPr>
            <w:tcW w:w="3960" w:type="dxa"/>
            <w:tcBorders>
              <w:top w:val="single" w:color="000000" w:sz="4" w:space="0"/>
              <w:left w:val="single" w:color="000000" w:sz="4" w:space="0"/>
              <w:bottom w:val="single" w:color="000000" w:sz="4" w:space="0"/>
              <w:right w:val="single" w:color="000000" w:sz="4" w:space="0"/>
            </w:tcBorders>
            <w:vAlign w:val="center"/>
          </w:tcPr>
          <w:p w14:paraId="4A476BD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兼容 3 个及以上厂商的数据库产品</w:t>
            </w:r>
          </w:p>
        </w:tc>
        <w:tc>
          <w:tcPr>
            <w:tcW w:w="1035" w:type="dxa"/>
            <w:tcBorders>
              <w:top w:val="single" w:color="000000" w:sz="4" w:space="0"/>
              <w:left w:val="single" w:color="000000" w:sz="4" w:space="0"/>
              <w:bottom w:val="single" w:color="000000" w:sz="4" w:space="0"/>
              <w:right w:val="single" w:color="000000" w:sz="4" w:space="0"/>
            </w:tcBorders>
            <w:vAlign w:val="center"/>
          </w:tcPr>
          <w:p w14:paraId="612F8B8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A17BBD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FF9F1F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4173327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85609A8">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952B08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中间件兼容</w:t>
            </w:r>
          </w:p>
        </w:tc>
        <w:tc>
          <w:tcPr>
            <w:tcW w:w="3960" w:type="dxa"/>
            <w:tcBorders>
              <w:top w:val="single" w:color="000000" w:sz="4" w:space="0"/>
              <w:left w:val="single" w:color="000000" w:sz="4" w:space="0"/>
              <w:bottom w:val="single" w:color="000000" w:sz="4" w:space="0"/>
              <w:right w:val="single" w:color="000000" w:sz="4" w:space="0"/>
            </w:tcBorders>
            <w:vAlign w:val="center"/>
          </w:tcPr>
          <w:p w14:paraId="5987386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兼容 3 个及以上厂商中间件产品</w:t>
            </w:r>
          </w:p>
        </w:tc>
        <w:tc>
          <w:tcPr>
            <w:tcW w:w="1035" w:type="dxa"/>
            <w:tcBorders>
              <w:top w:val="single" w:color="000000" w:sz="4" w:space="0"/>
              <w:left w:val="single" w:color="000000" w:sz="4" w:space="0"/>
              <w:bottom w:val="single" w:color="000000" w:sz="4" w:space="0"/>
              <w:right w:val="single" w:color="000000" w:sz="4" w:space="0"/>
            </w:tcBorders>
            <w:vAlign w:val="center"/>
          </w:tcPr>
          <w:p w14:paraId="09424A9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656F28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066F06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C9559A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31E3A8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6F4C193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平台软件兼容</w:t>
            </w:r>
          </w:p>
        </w:tc>
        <w:tc>
          <w:tcPr>
            <w:tcW w:w="3960" w:type="dxa"/>
            <w:tcBorders>
              <w:top w:val="single" w:color="000000" w:sz="4" w:space="0"/>
              <w:left w:val="single" w:color="000000" w:sz="4" w:space="0"/>
              <w:bottom w:val="single" w:color="000000" w:sz="4" w:space="0"/>
              <w:right w:val="single" w:color="000000" w:sz="4" w:space="0"/>
            </w:tcBorders>
            <w:vAlign w:val="center"/>
          </w:tcPr>
          <w:p w14:paraId="414D621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兼容 3 个及以上厂商云计算及大数据平台</w:t>
            </w:r>
          </w:p>
        </w:tc>
        <w:tc>
          <w:tcPr>
            <w:tcW w:w="1035" w:type="dxa"/>
            <w:tcBorders>
              <w:top w:val="single" w:color="000000" w:sz="4" w:space="0"/>
              <w:left w:val="single" w:color="000000" w:sz="4" w:space="0"/>
              <w:bottom w:val="single" w:color="000000" w:sz="4" w:space="0"/>
              <w:right w:val="single" w:color="000000" w:sz="4" w:space="0"/>
            </w:tcBorders>
            <w:vAlign w:val="center"/>
          </w:tcPr>
          <w:p w14:paraId="1A6B844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B45E04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D6982C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D0153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166</w:t>
            </w:r>
          </w:p>
        </w:tc>
        <w:tc>
          <w:tcPr>
            <w:tcW w:w="1230" w:type="dxa"/>
            <w:tcBorders>
              <w:top w:val="single" w:color="000000" w:sz="4" w:space="0"/>
              <w:left w:val="single" w:color="000000" w:sz="4" w:space="0"/>
              <w:bottom w:val="single" w:color="000000" w:sz="4" w:space="0"/>
              <w:right w:val="single" w:color="000000" w:sz="4" w:space="0"/>
            </w:tcBorders>
            <w:vAlign w:val="center"/>
          </w:tcPr>
          <w:p w14:paraId="358A57D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包装及运输要求</w:t>
            </w:r>
          </w:p>
        </w:tc>
        <w:tc>
          <w:tcPr>
            <w:tcW w:w="1560" w:type="dxa"/>
            <w:tcBorders>
              <w:top w:val="single" w:color="000000" w:sz="4" w:space="0"/>
              <w:left w:val="single" w:color="000000" w:sz="4" w:space="0"/>
              <w:bottom w:val="single" w:color="000000" w:sz="4" w:space="0"/>
              <w:right w:val="nil"/>
            </w:tcBorders>
            <w:vAlign w:val="center"/>
          </w:tcPr>
          <w:p w14:paraId="4106430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标志、包装、运输和贮存</w:t>
            </w:r>
          </w:p>
        </w:tc>
        <w:tc>
          <w:tcPr>
            <w:tcW w:w="3960" w:type="dxa"/>
            <w:tcBorders>
              <w:top w:val="single" w:color="000000" w:sz="4" w:space="0"/>
              <w:left w:val="single" w:color="000000" w:sz="4" w:space="0"/>
              <w:bottom w:val="single" w:color="000000" w:sz="4" w:space="0"/>
              <w:right w:val="single" w:color="000000" w:sz="4" w:space="0"/>
            </w:tcBorders>
            <w:vAlign w:val="center"/>
          </w:tcPr>
          <w:p w14:paraId="033E6F6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9813.1 和商品包装政府采购需求标准的相关规定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2CDF73F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E9F079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9BB5499">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F73ADC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167</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A7DC22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服务要求</w:t>
            </w:r>
          </w:p>
        </w:tc>
        <w:tc>
          <w:tcPr>
            <w:tcW w:w="1560" w:type="dxa"/>
            <w:tcBorders>
              <w:top w:val="single" w:color="000000" w:sz="4" w:space="0"/>
              <w:left w:val="single" w:color="000000" w:sz="4" w:space="0"/>
              <w:bottom w:val="single" w:color="000000" w:sz="4" w:space="0"/>
              <w:right w:val="nil"/>
            </w:tcBorders>
            <w:vAlign w:val="center"/>
          </w:tcPr>
          <w:p w14:paraId="5F96A85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配置检查工具</w:t>
            </w:r>
          </w:p>
        </w:tc>
        <w:tc>
          <w:tcPr>
            <w:tcW w:w="3960" w:type="dxa"/>
            <w:tcBorders>
              <w:top w:val="single" w:color="000000" w:sz="4" w:space="0"/>
              <w:left w:val="single" w:color="000000" w:sz="4" w:space="0"/>
              <w:bottom w:val="single" w:color="000000" w:sz="4" w:space="0"/>
              <w:right w:val="single" w:color="000000" w:sz="4" w:space="0"/>
            </w:tcBorders>
            <w:vAlign w:val="center"/>
          </w:tcPr>
          <w:p w14:paraId="3E08556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供应商提供自检测试工具</w:t>
            </w:r>
          </w:p>
        </w:tc>
        <w:tc>
          <w:tcPr>
            <w:tcW w:w="1035" w:type="dxa"/>
            <w:tcBorders>
              <w:top w:val="single" w:color="000000" w:sz="4" w:space="0"/>
              <w:left w:val="single" w:color="000000" w:sz="4" w:space="0"/>
              <w:bottom w:val="single" w:color="000000" w:sz="4" w:space="0"/>
              <w:right w:val="single" w:color="000000" w:sz="4" w:space="0"/>
            </w:tcBorders>
            <w:vAlign w:val="center"/>
          </w:tcPr>
          <w:p w14:paraId="3378D4F8">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983131F">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5D7EDEF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E2F249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8E2912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D3F2ED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服务响应</w:t>
            </w:r>
          </w:p>
        </w:tc>
        <w:tc>
          <w:tcPr>
            <w:tcW w:w="3960" w:type="dxa"/>
            <w:tcBorders>
              <w:top w:val="single" w:color="000000" w:sz="4" w:space="0"/>
              <w:left w:val="single" w:color="000000" w:sz="4" w:space="0"/>
              <w:bottom w:val="single" w:color="000000" w:sz="4" w:space="0"/>
              <w:right w:val="single" w:color="000000" w:sz="4" w:space="0"/>
            </w:tcBorders>
            <w:vAlign w:val="center"/>
          </w:tcPr>
          <w:p w14:paraId="520128CA">
            <w:pPr>
              <w:kinsoku/>
              <w:autoSpaceDE/>
              <w:autoSpaceDN/>
              <w:adjustRightInd/>
              <w:snapToGrid/>
              <w:spacing w:line="360" w:lineRule="exact"/>
              <w:textAlignment w:val="center"/>
              <w:rPr>
                <w:rFonts w:hint="eastAsia" w:cs="仿宋_GB2312" w:asciiTheme="minorEastAsia" w:hAnsiTheme="minorEastAsia" w:eastAsiaTheme="minorEastAsia"/>
                <w:lang w:eastAsia="zh-TW"/>
              </w:rPr>
            </w:pPr>
            <w:r>
              <w:rPr>
                <w:rFonts w:hint="eastAsia" w:cs="仿宋_GB2312" w:asciiTheme="minorEastAsia" w:hAnsiTheme="minorEastAsia" w:eastAsiaTheme="minorEastAsia"/>
                <w:lang w:eastAsia="zh-CN"/>
              </w:rPr>
              <w:t>a</w:t>
            </w:r>
            <w:r>
              <w:rPr>
                <w:rFonts w:cs="仿宋_GB2312" w:asciiTheme="minorEastAsia" w:hAnsiTheme="minorEastAsia" w:eastAsiaTheme="minorEastAsia"/>
                <w:lang w:eastAsia="zh-TW"/>
              </w:rPr>
              <w:t>）提供产品3 年维保及上门服务，提供制造厂商针对本项目的售后服务承诺函；厂商能通过微信服务平台提供全天候自助服务和12小时在线人工服务，支持添加单位服务账号，成批添加并绑定设备，实现保修期查询，预约维修，咨询在线客服及查询服务网点等功能</w:t>
            </w:r>
          </w:p>
          <w:p w14:paraId="19592D14">
            <w:pPr>
              <w:kinsoku/>
              <w:autoSpaceDE/>
              <w:autoSpaceDN/>
              <w:adjustRightInd/>
              <w:snapToGrid/>
              <w:spacing w:line="360" w:lineRule="exact"/>
              <w:textAlignment w:val="center"/>
              <w:rPr>
                <w:rFonts w:hint="eastAsia" w:cs="仿宋_GB2312" w:asciiTheme="minorEastAsia" w:hAnsiTheme="minorEastAsia" w:eastAsiaTheme="minorEastAsia"/>
                <w:lang w:eastAsia="zh-TW"/>
              </w:rPr>
            </w:pPr>
            <w:r>
              <w:rPr>
                <w:rFonts w:cs="仿宋_GB2312" w:asciiTheme="minorEastAsia" w:hAnsiTheme="minorEastAsia" w:eastAsiaTheme="minorEastAsia"/>
                <w:lang w:eastAsia="zh-TW"/>
              </w:rPr>
              <w:t>b）提供制造厂商大客户专属VIP 7*24小时400或800售后服务专线；</w:t>
            </w:r>
          </w:p>
          <w:p w14:paraId="71F102ED">
            <w:pPr>
              <w:spacing w:line="360" w:lineRule="exact"/>
              <w:textAlignment w:val="center"/>
              <w:rPr>
                <w:rFonts w:hint="eastAsia" w:cs="仿宋_GB2312" w:asciiTheme="minorEastAsia" w:hAnsiTheme="minorEastAsia" w:eastAsiaTheme="minorEastAsia"/>
                <w:lang w:val="zh-TW" w:eastAsia="zh-TW"/>
              </w:rPr>
            </w:pPr>
            <w:r>
              <w:rPr>
                <w:rFonts w:cs="仿宋_GB2312" w:asciiTheme="minorEastAsia" w:hAnsiTheme="minorEastAsia" w:eastAsiaTheme="minorEastAsia"/>
                <w:lang w:eastAsia="zh-TW"/>
              </w:rPr>
              <w:t>c）现场保障技术服务团队，生产厂商在当地具有售后服务网点，可提供一周七天不间断服务，提供包含时间和地址的生产厂商官网查询截图；</w:t>
            </w:r>
          </w:p>
        </w:tc>
        <w:tc>
          <w:tcPr>
            <w:tcW w:w="1035" w:type="dxa"/>
            <w:tcBorders>
              <w:top w:val="single" w:color="000000" w:sz="4" w:space="0"/>
              <w:left w:val="single" w:color="000000" w:sz="4" w:space="0"/>
              <w:bottom w:val="single" w:color="000000" w:sz="4" w:space="0"/>
              <w:right w:val="single" w:color="000000" w:sz="4" w:space="0"/>
            </w:tcBorders>
            <w:vAlign w:val="center"/>
          </w:tcPr>
          <w:p w14:paraId="185C42F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bidi="ar"/>
              </w:rPr>
              <w:t>是</w:t>
            </w:r>
          </w:p>
        </w:tc>
      </w:tr>
      <w:tr w14:paraId="53FD1CD9">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BCED52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2AFBEF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169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DBAB649">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00BC19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服务周期</w:t>
            </w:r>
          </w:p>
        </w:tc>
        <w:tc>
          <w:tcPr>
            <w:tcW w:w="3960" w:type="dxa"/>
            <w:tcBorders>
              <w:top w:val="single" w:color="000000" w:sz="4" w:space="0"/>
              <w:left w:val="single" w:color="000000" w:sz="4" w:space="0"/>
              <w:bottom w:val="single" w:color="000000" w:sz="4" w:space="0"/>
              <w:right w:val="single" w:color="000000" w:sz="4" w:space="0"/>
            </w:tcBorders>
            <w:vAlign w:val="center"/>
          </w:tcPr>
          <w:p w14:paraId="6F30088B">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a) 设备停产后应继续提供质量保障服务（含备品备件），服务终止时间与最后一批设备交付时间间隔不低于6 年；</w:t>
            </w:r>
          </w:p>
          <w:p w14:paraId="06C29ED2">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b) 产品停止服务时间应提前 1 年告知；</w:t>
            </w:r>
          </w:p>
          <w:p w14:paraId="26518CB7">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c) 应明确产品发布日期</w:t>
            </w:r>
          </w:p>
        </w:tc>
        <w:tc>
          <w:tcPr>
            <w:tcW w:w="1035" w:type="dxa"/>
            <w:tcBorders>
              <w:top w:val="single" w:color="000000" w:sz="4" w:space="0"/>
              <w:left w:val="single" w:color="000000" w:sz="4" w:space="0"/>
              <w:bottom w:val="single" w:color="000000" w:sz="4" w:space="0"/>
              <w:right w:val="single" w:color="000000" w:sz="4" w:space="0"/>
            </w:tcBorders>
            <w:vAlign w:val="center"/>
          </w:tcPr>
          <w:p w14:paraId="786766D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30CB35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7AA38A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F896E6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170</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A25A19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C40A12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预装操作系统</w:t>
            </w:r>
          </w:p>
        </w:tc>
        <w:tc>
          <w:tcPr>
            <w:tcW w:w="3960" w:type="dxa"/>
            <w:tcBorders>
              <w:top w:val="single" w:color="000000" w:sz="4" w:space="0"/>
              <w:left w:val="single" w:color="000000" w:sz="4" w:space="0"/>
              <w:bottom w:val="single" w:color="000000" w:sz="4" w:space="0"/>
              <w:right w:val="single" w:color="000000" w:sz="4" w:space="0"/>
            </w:tcBorders>
            <w:vAlign w:val="center"/>
          </w:tcPr>
          <w:p w14:paraId="145411CD">
            <w:pPr>
              <w:spacing w:line="360" w:lineRule="exact"/>
              <w:textAlignment w:val="center"/>
              <w:rPr>
                <w:rFonts w:hint="eastAsia" w:cs="仿宋_GB2312" w:asciiTheme="minorEastAsia" w:hAnsiTheme="minorEastAsia" w:eastAsiaTheme="minorEastAsia"/>
                <w:color w:val="FF0000"/>
                <w:lang w:val="zh-TW" w:eastAsia="zh-TW"/>
              </w:rPr>
            </w:pPr>
            <w:r>
              <w:rPr>
                <w:rFonts w:hint="eastAsia" w:cs="仿宋_GB2312" w:asciiTheme="minorEastAsia" w:hAnsiTheme="minorEastAsia" w:eastAsiaTheme="minorEastAsia"/>
                <w:color w:val="auto"/>
                <w:lang w:eastAsia="zh-CN" w:bidi="ar"/>
              </w:rPr>
              <w:t>预装</w:t>
            </w:r>
            <w:r>
              <w:rPr>
                <w:rFonts w:hint="eastAsia" w:cs="仿宋_GB2312" w:asciiTheme="minorEastAsia" w:hAnsiTheme="minorEastAsia" w:eastAsiaTheme="minorEastAsia"/>
                <w:lang w:bidi="ar"/>
              </w:rPr>
              <w:t>国产化</w:t>
            </w:r>
            <w:r>
              <w:rPr>
                <w:rFonts w:hint="eastAsia" w:cs="仿宋_GB2312" w:asciiTheme="minorEastAsia" w:hAnsiTheme="minorEastAsia" w:eastAsiaTheme="minorEastAsia"/>
                <w:color w:val="auto"/>
                <w:lang w:eastAsia="zh-CN" w:bidi="ar"/>
              </w:rPr>
              <w:t>操作系统</w:t>
            </w:r>
          </w:p>
        </w:tc>
        <w:tc>
          <w:tcPr>
            <w:tcW w:w="1035" w:type="dxa"/>
            <w:tcBorders>
              <w:top w:val="single" w:color="000000" w:sz="4" w:space="0"/>
              <w:left w:val="single" w:color="000000" w:sz="4" w:space="0"/>
              <w:bottom w:val="single" w:color="000000" w:sz="4" w:space="0"/>
              <w:right w:val="single" w:color="000000" w:sz="4" w:space="0"/>
            </w:tcBorders>
            <w:vAlign w:val="center"/>
          </w:tcPr>
          <w:p w14:paraId="2A4E3E6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F0FE9D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316B0E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062F80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171</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8F9EE1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5E0574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培训服务</w:t>
            </w:r>
          </w:p>
        </w:tc>
        <w:tc>
          <w:tcPr>
            <w:tcW w:w="3960" w:type="dxa"/>
            <w:tcBorders>
              <w:top w:val="single" w:color="000000" w:sz="4" w:space="0"/>
              <w:left w:val="single" w:color="000000" w:sz="4" w:space="0"/>
              <w:bottom w:val="single" w:color="000000" w:sz="4" w:space="0"/>
              <w:right w:val="single" w:color="000000" w:sz="4" w:space="0"/>
            </w:tcBorders>
            <w:vAlign w:val="center"/>
          </w:tcPr>
          <w:p w14:paraId="7DDF17E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供应商提供培训材料、产品手册、培训视频等培训相关内容</w:t>
            </w:r>
          </w:p>
        </w:tc>
        <w:tc>
          <w:tcPr>
            <w:tcW w:w="1035" w:type="dxa"/>
            <w:tcBorders>
              <w:top w:val="single" w:color="000000" w:sz="4" w:space="0"/>
              <w:left w:val="single" w:color="000000" w:sz="4" w:space="0"/>
              <w:bottom w:val="single" w:color="000000" w:sz="4" w:space="0"/>
              <w:right w:val="single" w:color="000000" w:sz="4" w:space="0"/>
            </w:tcBorders>
            <w:vAlign w:val="center"/>
          </w:tcPr>
          <w:p w14:paraId="3678FEA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213426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DF3E02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D3E9F7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522CC4D">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628D44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典型问题解决手册</w:t>
            </w:r>
          </w:p>
        </w:tc>
        <w:tc>
          <w:tcPr>
            <w:tcW w:w="3960" w:type="dxa"/>
            <w:tcBorders>
              <w:top w:val="single" w:color="000000" w:sz="4" w:space="0"/>
              <w:left w:val="single" w:color="000000" w:sz="4" w:space="0"/>
              <w:bottom w:val="single" w:color="000000" w:sz="4" w:space="0"/>
              <w:right w:val="single" w:color="000000" w:sz="4" w:space="0"/>
            </w:tcBorders>
            <w:vAlign w:val="center"/>
          </w:tcPr>
          <w:p w14:paraId="34098D5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供应商提供典型问题解决说明文档或视频</w:t>
            </w:r>
          </w:p>
        </w:tc>
        <w:tc>
          <w:tcPr>
            <w:tcW w:w="1035" w:type="dxa"/>
            <w:tcBorders>
              <w:top w:val="single" w:color="000000" w:sz="4" w:space="0"/>
              <w:left w:val="single" w:color="000000" w:sz="4" w:space="0"/>
              <w:bottom w:val="single" w:color="000000" w:sz="4" w:space="0"/>
              <w:right w:val="single" w:color="000000" w:sz="4" w:space="0"/>
            </w:tcBorders>
            <w:vAlign w:val="center"/>
          </w:tcPr>
          <w:p w14:paraId="6F43A5E6">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48B37E4">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D655B8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127402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173</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630CB14">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3094F6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厂家升级软件与扩容服务</w:t>
            </w:r>
          </w:p>
        </w:tc>
        <w:tc>
          <w:tcPr>
            <w:tcW w:w="3960" w:type="dxa"/>
            <w:tcBorders>
              <w:top w:val="single" w:color="000000" w:sz="4" w:space="0"/>
              <w:left w:val="single" w:color="000000" w:sz="4" w:space="0"/>
              <w:bottom w:val="single" w:color="000000" w:sz="4" w:space="0"/>
              <w:right w:val="single" w:color="000000" w:sz="4" w:space="0"/>
            </w:tcBorders>
            <w:vAlign w:val="center"/>
          </w:tcPr>
          <w:p w14:paraId="2EF57B8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供应商提供上门升级部件/软件与扩容的增值服务</w:t>
            </w:r>
          </w:p>
        </w:tc>
        <w:tc>
          <w:tcPr>
            <w:tcW w:w="1035" w:type="dxa"/>
            <w:tcBorders>
              <w:top w:val="single" w:color="000000" w:sz="4" w:space="0"/>
              <w:left w:val="single" w:color="000000" w:sz="4" w:space="0"/>
              <w:bottom w:val="single" w:color="000000" w:sz="4" w:space="0"/>
              <w:right w:val="single" w:color="000000" w:sz="4" w:space="0"/>
            </w:tcBorders>
            <w:vAlign w:val="center"/>
          </w:tcPr>
          <w:p w14:paraId="79E1480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D71D091">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4359E0E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DC3C8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174</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2A7BF97">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09520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整机质量服务要求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5467D61C">
            <w:pPr>
              <w:spacing w:line="360" w:lineRule="auto"/>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color w:val="auto"/>
                <w:lang w:eastAsia="zh-CN" w:bidi="ar"/>
              </w:rPr>
              <w:t>原厂免费服务周期（含换件和维修）3年免费上门服务</w:t>
            </w:r>
          </w:p>
        </w:tc>
        <w:tc>
          <w:tcPr>
            <w:tcW w:w="1035" w:type="dxa"/>
            <w:tcBorders>
              <w:top w:val="single" w:color="000000" w:sz="4" w:space="0"/>
              <w:left w:val="single" w:color="000000" w:sz="4" w:space="0"/>
              <w:bottom w:val="single" w:color="000000" w:sz="4" w:space="0"/>
              <w:right w:val="single" w:color="000000" w:sz="4" w:space="0"/>
            </w:tcBorders>
            <w:vAlign w:val="center"/>
          </w:tcPr>
          <w:p w14:paraId="68DF622A">
            <w:pPr>
              <w:spacing w:line="360" w:lineRule="auto"/>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4A2D73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2D18111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7DCAC2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7C2B20A">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7525AF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合格证书要求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5302F3B1">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供应商提供产品合格证</w:t>
            </w:r>
          </w:p>
        </w:tc>
        <w:tc>
          <w:tcPr>
            <w:tcW w:w="1035" w:type="dxa"/>
            <w:tcBorders>
              <w:top w:val="single" w:color="000000" w:sz="4" w:space="0"/>
              <w:left w:val="single" w:color="000000" w:sz="4" w:space="0"/>
              <w:bottom w:val="single" w:color="000000" w:sz="4" w:space="0"/>
              <w:right w:val="single" w:color="000000" w:sz="4" w:space="0"/>
            </w:tcBorders>
            <w:vAlign w:val="center"/>
          </w:tcPr>
          <w:p w14:paraId="02DD950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55574F3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BED7C84">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051A98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762185C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0943FA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开箱组装/使用指导要求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A0A1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供应商提供开箱组装/使用指导</w:t>
            </w:r>
          </w:p>
        </w:tc>
        <w:tc>
          <w:tcPr>
            <w:tcW w:w="1035" w:type="dxa"/>
            <w:tcBorders>
              <w:top w:val="single" w:color="000000" w:sz="4" w:space="0"/>
              <w:left w:val="single" w:color="000000" w:sz="4" w:space="0"/>
              <w:bottom w:val="single" w:color="000000" w:sz="4" w:space="0"/>
              <w:right w:val="single" w:color="000000" w:sz="4" w:space="0"/>
            </w:tcBorders>
            <w:vAlign w:val="center"/>
          </w:tcPr>
          <w:p w14:paraId="52788A1F">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74EC179D">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34EF98B">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3D0ED50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9A6B3E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328BFD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驱动下载服务要求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098DD43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供应商提供驱动光盘或下载方式</w:t>
            </w:r>
          </w:p>
        </w:tc>
        <w:tc>
          <w:tcPr>
            <w:tcW w:w="1035" w:type="dxa"/>
            <w:tcBorders>
              <w:top w:val="single" w:color="000000" w:sz="4" w:space="0"/>
              <w:left w:val="single" w:color="000000" w:sz="4" w:space="0"/>
              <w:bottom w:val="single" w:color="000000" w:sz="4" w:space="0"/>
              <w:right w:val="single" w:color="000000" w:sz="4" w:space="0"/>
            </w:tcBorders>
            <w:vAlign w:val="center"/>
          </w:tcPr>
          <w:p w14:paraId="4C171AF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94C24BA">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E4D3C55">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03A978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1C5AA5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387D23C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兼容适配软件下载服务要求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769646E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供应商提供兼容适配软件下载渠道（光盘、网站）</w:t>
            </w:r>
          </w:p>
        </w:tc>
        <w:tc>
          <w:tcPr>
            <w:tcW w:w="1035" w:type="dxa"/>
            <w:tcBorders>
              <w:top w:val="single" w:color="000000" w:sz="4" w:space="0"/>
              <w:left w:val="single" w:color="000000" w:sz="4" w:space="0"/>
              <w:bottom w:val="single" w:color="000000" w:sz="4" w:space="0"/>
              <w:right w:val="single" w:color="000000" w:sz="4" w:space="0"/>
            </w:tcBorders>
            <w:vAlign w:val="center"/>
          </w:tcPr>
          <w:p w14:paraId="73583400">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8D5B19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762AFB71">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B711F5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179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28CFBE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5839551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跨架构平台应用兼容</w:t>
            </w:r>
          </w:p>
        </w:tc>
        <w:tc>
          <w:tcPr>
            <w:tcW w:w="3960" w:type="dxa"/>
            <w:tcBorders>
              <w:top w:val="single" w:color="000000" w:sz="4" w:space="0"/>
              <w:left w:val="single" w:color="000000" w:sz="4" w:space="0"/>
              <w:bottom w:val="single" w:color="000000" w:sz="4" w:space="0"/>
              <w:right w:val="single" w:color="000000" w:sz="4" w:space="0"/>
            </w:tcBorders>
            <w:vAlign w:val="center"/>
          </w:tcPr>
          <w:p w14:paraId="461F0A0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A0A417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w:t>
            </w:r>
          </w:p>
        </w:tc>
      </w:tr>
      <w:tr w14:paraId="7C3A219C">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D5FA62A">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1A3B88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180</w:t>
            </w:r>
          </w:p>
        </w:tc>
        <w:tc>
          <w:tcPr>
            <w:tcW w:w="1230" w:type="dxa"/>
            <w:tcBorders>
              <w:top w:val="single" w:color="000000" w:sz="4" w:space="0"/>
              <w:left w:val="single" w:color="000000" w:sz="4" w:space="0"/>
              <w:bottom w:val="single" w:color="000000" w:sz="4" w:space="0"/>
              <w:right w:val="single" w:color="000000" w:sz="4" w:space="0"/>
            </w:tcBorders>
            <w:vAlign w:val="center"/>
          </w:tcPr>
          <w:p w14:paraId="39F0A15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供应链合规性</w:t>
            </w:r>
          </w:p>
        </w:tc>
        <w:tc>
          <w:tcPr>
            <w:tcW w:w="1560" w:type="dxa"/>
            <w:tcBorders>
              <w:top w:val="single" w:color="000000" w:sz="4" w:space="0"/>
              <w:left w:val="single" w:color="000000" w:sz="4" w:space="0"/>
              <w:bottom w:val="single" w:color="000000" w:sz="4" w:space="0"/>
              <w:right w:val="nil"/>
            </w:tcBorders>
            <w:vAlign w:val="center"/>
          </w:tcPr>
          <w:p w14:paraId="5FC2F75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产品部件保障</w:t>
            </w:r>
          </w:p>
        </w:tc>
        <w:tc>
          <w:tcPr>
            <w:tcW w:w="3960" w:type="dxa"/>
            <w:tcBorders>
              <w:top w:val="single" w:color="000000" w:sz="4" w:space="0"/>
              <w:left w:val="single" w:color="000000" w:sz="4" w:space="0"/>
              <w:bottom w:val="single" w:color="000000" w:sz="4" w:space="0"/>
              <w:right w:val="single" w:color="000000" w:sz="4" w:space="0"/>
            </w:tcBorders>
            <w:vAlign w:val="center"/>
          </w:tcPr>
          <w:p w14:paraId="7331731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供应商保障产品主要部件，提供 6 年的备件服务能力（自购买之日起），或提供可兼容原设备的升级换代产品</w:t>
            </w:r>
          </w:p>
        </w:tc>
        <w:tc>
          <w:tcPr>
            <w:tcW w:w="1035" w:type="dxa"/>
            <w:tcBorders>
              <w:top w:val="single" w:color="000000" w:sz="4" w:space="0"/>
              <w:left w:val="single" w:color="000000" w:sz="4" w:space="0"/>
              <w:bottom w:val="single" w:color="000000" w:sz="4" w:space="0"/>
              <w:right w:val="single" w:color="000000" w:sz="4" w:space="0"/>
            </w:tcBorders>
            <w:vAlign w:val="center"/>
          </w:tcPr>
          <w:p w14:paraId="0A674C9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3D320C92">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0CF9DDC1">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28BCD6F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181</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3D53613">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供应链质量</w:t>
            </w:r>
          </w:p>
        </w:tc>
        <w:tc>
          <w:tcPr>
            <w:tcW w:w="1560" w:type="dxa"/>
            <w:tcBorders>
              <w:top w:val="single" w:color="000000" w:sz="4" w:space="0"/>
              <w:left w:val="single" w:color="000000" w:sz="4" w:space="0"/>
              <w:bottom w:val="single" w:color="000000" w:sz="4" w:space="0"/>
              <w:right w:val="nil"/>
            </w:tcBorders>
            <w:vAlign w:val="center"/>
          </w:tcPr>
          <w:p w14:paraId="79AE1340">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抗干扰性</w:t>
            </w:r>
          </w:p>
        </w:tc>
        <w:tc>
          <w:tcPr>
            <w:tcW w:w="3960" w:type="dxa"/>
            <w:tcBorders>
              <w:top w:val="single" w:color="000000" w:sz="4" w:space="0"/>
              <w:left w:val="single" w:color="000000" w:sz="4" w:space="0"/>
              <w:bottom w:val="single" w:color="000000" w:sz="4" w:space="0"/>
              <w:right w:val="single" w:color="000000" w:sz="4" w:space="0"/>
            </w:tcBorders>
            <w:vAlign w:val="center"/>
          </w:tcPr>
          <w:p w14:paraId="4209FFD4">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当产品部件出现供应风险时，供应商应通知采购人并提供风险应对方案确保产品的服务保障</w:t>
            </w:r>
          </w:p>
        </w:tc>
        <w:tc>
          <w:tcPr>
            <w:tcW w:w="1035" w:type="dxa"/>
            <w:tcBorders>
              <w:top w:val="single" w:color="000000" w:sz="4" w:space="0"/>
              <w:left w:val="single" w:color="000000" w:sz="4" w:space="0"/>
              <w:bottom w:val="single" w:color="000000" w:sz="4" w:space="0"/>
              <w:right w:val="single" w:color="000000" w:sz="4" w:space="0"/>
            </w:tcBorders>
            <w:vAlign w:val="center"/>
          </w:tcPr>
          <w:p w14:paraId="15DECB3E">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495B9C55">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3923B948">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7BB2EE9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182</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185F06F">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A088E2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供应能力证明</w:t>
            </w:r>
          </w:p>
        </w:tc>
        <w:tc>
          <w:tcPr>
            <w:tcW w:w="3960" w:type="dxa"/>
            <w:tcBorders>
              <w:top w:val="single" w:color="000000" w:sz="4" w:space="0"/>
              <w:left w:val="single" w:color="000000" w:sz="4" w:space="0"/>
              <w:bottom w:val="single" w:color="000000" w:sz="4" w:space="0"/>
              <w:right w:val="single" w:color="000000" w:sz="4" w:space="0"/>
            </w:tcBorders>
            <w:vAlign w:val="center"/>
          </w:tcPr>
          <w:p w14:paraId="599E932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供应商提供供应链稳定承诺书，确保产品的部件在产品服务周期内稳定供货</w:t>
            </w:r>
          </w:p>
        </w:tc>
        <w:tc>
          <w:tcPr>
            <w:tcW w:w="1035" w:type="dxa"/>
            <w:tcBorders>
              <w:top w:val="single" w:color="000000" w:sz="4" w:space="0"/>
              <w:left w:val="single" w:color="000000" w:sz="4" w:space="0"/>
              <w:bottom w:val="single" w:color="000000" w:sz="4" w:space="0"/>
              <w:right w:val="single" w:color="000000" w:sz="4" w:space="0"/>
            </w:tcBorders>
            <w:vAlign w:val="center"/>
          </w:tcPr>
          <w:p w14:paraId="6CC7628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1FB175C6">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4515E761">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3DF8BE5">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183</w:t>
            </w:r>
          </w:p>
        </w:tc>
        <w:tc>
          <w:tcPr>
            <w:tcW w:w="1230" w:type="dxa"/>
            <w:tcBorders>
              <w:top w:val="single" w:color="000000" w:sz="4" w:space="0"/>
              <w:left w:val="single" w:color="000000" w:sz="4" w:space="0"/>
              <w:bottom w:val="single" w:color="000000" w:sz="4" w:space="0"/>
              <w:right w:val="single" w:color="000000" w:sz="4" w:space="0"/>
            </w:tcBorders>
            <w:vAlign w:val="center"/>
          </w:tcPr>
          <w:p w14:paraId="4D1F91CD">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关键部件安全要求</w:t>
            </w:r>
          </w:p>
        </w:tc>
        <w:tc>
          <w:tcPr>
            <w:tcW w:w="1560" w:type="dxa"/>
            <w:tcBorders>
              <w:top w:val="single" w:color="000000" w:sz="4" w:space="0"/>
              <w:left w:val="single" w:color="000000" w:sz="4" w:space="0"/>
              <w:bottom w:val="single" w:color="000000" w:sz="4" w:space="0"/>
              <w:right w:val="nil"/>
            </w:tcBorders>
            <w:vAlign w:val="center"/>
          </w:tcPr>
          <w:p w14:paraId="568F178C">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关键部件安全要求3</w:t>
            </w:r>
          </w:p>
        </w:tc>
        <w:tc>
          <w:tcPr>
            <w:tcW w:w="3960" w:type="dxa"/>
            <w:tcBorders>
              <w:top w:val="single" w:color="000000" w:sz="4" w:space="0"/>
              <w:left w:val="single" w:color="000000" w:sz="4" w:space="0"/>
              <w:bottom w:val="single" w:color="000000" w:sz="4" w:space="0"/>
              <w:right w:val="single" w:color="000000" w:sz="4" w:space="0"/>
            </w:tcBorders>
            <w:vAlign w:val="center"/>
          </w:tcPr>
          <w:p w14:paraId="226C3DF8">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403279AC">
            <w:pPr>
              <w:spacing w:line="360" w:lineRule="exact"/>
              <w:textAlignment w:val="center"/>
              <w:rPr>
                <w:rFonts w:hint="eastAsia" w:cs="仿宋_GB2312" w:asciiTheme="minorEastAsia" w:hAnsiTheme="minorEastAsia" w:eastAsiaTheme="minorEastAsia"/>
              </w:rPr>
            </w:pPr>
            <w:r>
              <w:rPr>
                <w:rFonts w:hint="eastAsia" w:cs="仿宋_GB2312" w:asciiTheme="minorEastAsia" w:hAnsiTheme="minorEastAsia" w:eastAsiaTheme="minorEastAsia"/>
                <w:lang w:eastAsia="zh-CN"/>
              </w:rPr>
              <w:t>/</w:t>
            </w:r>
          </w:p>
        </w:tc>
      </w:tr>
      <w:tr w14:paraId="49D8AA6E">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6E747420">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0F2E832">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184</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87A8257">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整机安全性要求</w:t>
            </w:r>
          </w:p>
        </w:tc>
        <w:tc>
          <w:tcPr>
            <w:tcW w:w="1560" w:type="dxa"/>
            <w:tcBorders>
              <w:top w:val="single" w:color="000000" w:sz="4" w:space="0"/>
              <w:left w:val="single" w:color="000000" w:sz="4" w:space="0"/>
              <w:bottom w:val="single" w:color="000000" w:sz="4" w:space="0"/>
              <w:right w:val="nil"/>
            </w:tcBorders>
            <w:vAlign w:val="center"/>
          </w:tcPr>
          <w:p w14:paraId="79123BE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密码算法实现</w:t>
            </w:r>
          </w:p>
        </w:tc>
        <w:tc>
          <w:tcPr>
            <w:tcW w:w="3960" w:type="dxa"/>
            <w:tcBorders>
              <w:top w:val="single" w:color="000000" w:sz="4" w:space="0"/>
              <w:left w:val="single" w:color="000000" w:sz="4" w:space="0"/>
              <w:bottom w:val="single" w:color="000000" w:sz="4" w:space="0"/>
              <w:right w:val="single" w:color="000000" w:sz="4" w:space="0"/>
            </w:tcBorders>
            <w:vAlign w:val="center"/>
          </w:tcPr>
          <w:p w14:paraId="665C74C7">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56A543CB">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rPr>
              <w:t>/</w:t>
            </w:r>
          </w:p>
        </w:tc>
      </w:tr>
      <w:tr w14:paraId="131489D3">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D1F2871">
            <w:pPr>
              <w:spacing w:line="360" w:lineRule="exact"/>
              <w:jc w:val="center"/>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3AED38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185</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FBAF7B">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4CFF32D3">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USB 端口管控</w:t>
            </w:r>
          </w:p>
        </w:tc>
        <w:tc>
          <w:tcPr>
            <w:tcW w:w="3960" w:type="dxa"/>
            <w:tcBorders>
              <w:top w:val="single" w:color="000000" w:sz="4" w:space="0"/>
              <w:left w:val="single" w:color="000000" w:sz="4" w:space="0"/>
              <w:bottom w:val="single" w:color="000000" w:sz="4" w:space="0"/>
              <w:right w:val="single" w:color="000000" w:sz="4" w:space="0"/>
            </w:tcBorders>
            <w:vAlign w:val="center"/>
          </w:tcPr>
          <w:p w14:paraId="3608C3A8">
            <w:pP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 USB 端口管控，USB屏蔽技术，可设置为仅识别USB键盘、鼠标，无法识别USB读取设备，有效防止数据泄露</w:t>
            </w:r>
          </w:p>
        </w:tc>
        <w:tc>
          <w:tcPr>
            <w:tcW w:w="1035" w:type="dxa"/>
            <w:tcBorders>
              <w:top w:val="single" w:color="000000" w:sz="4" w:space="0"/>
              <w:left w:val="single" w:color="000000" w:sz="4" w:space="0"/>
              <w:bottom w:val="single" w:color="000000" w:sz="4" w:space="0"/>
              <w:right w:val="single" w:color="000000" w:sz="4" w:space="0"/>
            </w:tcBorders>
            <w:vAlign w:val="center"/>
          </w:tcPr>
          <w:p w14:paraId="0C8C570C">
            <w:pP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bidi="ar"/>
              </w:rPr>
              <w:t>是</w:t>
            </w:r>
          </w:p>
        </w:tc>
      </w:tr>
      <w:tr w14:paraId="50ED3A2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tcPr>
          <w:p w14:paraId="19112BEF">
            <w:pPr>
              <w:spacing w:line="360" w:lineRule="exact"/>
              <w:rPr>
                <w:rFonts w:hint="eastAsia" w:cs="仿宋_GB2312" w:asciiTheme="minorEastAsia" w:hAnsiTheme="minorEastAsia" w:eastAsiaTheme="minorEastAsia"/>
                <w:lang w:val="zh-TW" w:eastAsia="zh-T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ACE827E">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186</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D9B9C8C">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796EE8A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安全物理锁</w:t>
            </w:r>
          </w:p>
        </w:tc>
        <w:tc>
          <w:tcPr>
            <w:tcW w:w="3960" w:type="dxa"/>
            <w:tcBorders>
              <w:top w:val="single" w:color="000000" w:sz="4" w:space="0"/>
              <w:left w:val="single" w:color="000000" w:sz="4" w:space="0"/>
              <w:bottom w:val="single" w:color="000000" w:sz="4" w:space="0"/>
              <w:right w:val="single" w:color="000000" w:sz="4" w:space="0"/>
            </w:tcBorders>
            <w:vAlign w:val="center"/>
          </w:tcPr>
          <w:p w14:paraId="304551A8">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1035" w:type="dxa"/>
            <w:tcBorders>
              <w:top w:val="single" w:color="000000" w:sz="4" w:space="0"/>
              <w:left w:val="single" w:color="000000" w:sz="4" w:space="0"/>
              <w:bottom w:val="single" w:color="000000" w:sz="4" w:space="0"/>
              <w:right w:val="single" w:color="000000" w:sz="4" w:space="0"/>
            </w:tcBorders>
            <w:vAlign w:val="center"/>
          </w:tcPr>
          <w:p w14:paraId="07AE9E9C">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rPr>
              <w:t>/</w:t>
            </w:r>
          </w:p>
        </w:tc>
      </w:tr>
      <w:tr w14:paraId="2A1CB58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1608ECFC">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BF4691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187</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F309CD5">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02EB370F">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信息安全基本要求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2A2D16C0">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a) 产品应符合 GB/T 39276 的 5.2 的规定；</w:t>
            </w:r>
          </w:p>
          <w:p w14:paraId="650F854E">
            <w:pPr>
              <w:spacing w:line="360" w:lineRule="exact"/>
              <w:textAlignment w:val="center"/>
              <w:rPr>
                <w:rFonts w:hint="eastAsia" w:cs="仿宋_GB2312" w:asciiTheme="minorEastAsia" w:hAnsiTheme="minorEastAsia" w:eastAsiaTheme="minorEastAsia"/>
                <w:lang w:eastAsia="zh-CN" w:bidi="ar"/>
              </w:rPr>
            </w:pPr>
            <w:r>
              <w:rPr>
                <w:rFonts w:hint="eastAsia" w:cs="仿宋_GB2312" w:asciiTheme="minorEastAsia" w:hAnsiTheme="minorEastAsia" w:eastAsiaTheme="minorEastAsia"/>
                <w:lang w:eastAsia="zh-CN" w:bidi="ar"/>
              </w:rPr>
              <w:t>b) 生产厂商应建立漏洞跟踪表，保证产品版本涉及到的漏洞(如驱动程序等)可查看；</w:t>
            </w:r>
          </w:p>
          <w:p w14:paraId="1448B730">
            <w:pPr>
              <w:spacing w:line="360" w:lineRule="exact"/>
              <w:textAlignment w:val="center"/>
              <w:rPr>
                <w:rFonts w:hint="eastAsia" w:cs="仿宋_GB2312" w:asciiTheme="minorEastAsia" w:hAnsiTheme="minorEastAsia" w:eastAsiaTheme="minorEastAsia"/>
                <w:lang w:eastAsia="zh-CN" w:bidi="ar"/>
              </w:rPr>
            </w:pPr>
            <w:bookmarkStart w:id="3" w:name="OLE_LINK3"/>
            <w:r>
              <w:rPr>
                <w:rFonts w:hint="eastAsia" w:cs="仿宋_GB2312" w:asciiTheme="minorEastAsia" w:hAnsiTheme="minorEastAsia" w:eastAsiaTheme="minorEastAsia"/>
                <w:lang w:eastAsia="zh-CN" w:bidi="ar"/>
              </w:rPr>
              <w:t xml:space="preserve">c) </w:t>
            </w:r>
            <w:bookmarkEnd w:id="3"/>
            <w:r>
              <w:rPr>
                <w:rFonts w:hint="eastAsia" w:cs="仿宋_GB2312" w:asciiTheme="minorEastAsia" w:hAnsiTheme="minorEastAsia" w:eastAsiaTheme="minorEastAsia"/>
                <w:lang w:eastAsia="zh-CN" w:bidi="ar"/>
              </w:rPr>
              <w:t>产品不得包含已知的恶意代码或漏洞，不存在未声明的指令、功能、接口</w:t>
            </w:r>
          </w:p>
          <w:p w14:paraId="15476E3F">
            <w:pPr>
              <w:spacing w:line="360" w:lineRule="exact"/>
              <w:textAlignment w:val="center"/>
              <w:rPr>
                <w:rFonts w:hint="eastAsia" w:cs="仿宋_GB2312" w:asciiTheme="minorEastAsia" w:hAnsiTheme="minorEastAsia" w:eastAsiaTheme="minorEastAsia"/>
                <w:lang w:eastAsia="zh-TW" w:bidi="ar"/>
              </w:rPr>
            </w:pPr>
            <w:r>
              <w:rPr>
                <w:rFonts w:hint="eastAsia" w:cs="仿宋_GB2312" w:asciiTheme="minorEastAsia" w:hAnsiTheme="minorEastAsia" w:eastAsiaTheme="minorEastAsia"/>
                <w:lang w:eastAsia="zh-CN" w:bidi="ar"/>
              </w:rPr>
              <w:t>d) 生产厂商需通过信息安全服务资质</w:t>
            </w:r>
          </w:p>
        </w:tc>
        <w:tc>
          <w:tcPr>
            <w:tcW w:w="1035" w:type="dxa"/>
            <w:tcBorders>
              <w:top w:val="single" w:color="000000" w:sz="4" w:space="0"/>
              <w:left w:val="single" w:color="000000" w:sz="4" w:space="0"/>
              <w:bottom w:val="single" w:color="000000" w:sz="4" w:space="0"/>
              <w:right w:val="single" w:color="000000" w:sz="4" w:space="0"/>
            </w:tcBorders>
            <w:vAlign w:val="center"/>
          </w:tcPr>
          <w:p w14:paraId="6F54392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2E03C587">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6CCB3D5F">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1895877B">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188</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75C1241">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2DE0CBEA">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固件安全启动</w:t>
            </w:r>
          </w:p>
        </w:tc>
        <w:tc>
          <w:tcPr>
            <w:tcW w:w="3960" w:type="dxa"/>
            <w:tcBorders>
              <w:top w:val="single" w:color="000000" w:sz="4" w:space="0"/>
              <w:left w:val="single" w:color="000000" w:sz="4" w:space="0"/>
              <w:bottom w:val="single" w:color="000000" w:sz="4" w:space="0"/>
              <w:right w:val="single" w:color="000000" w:sz="4" w:space="0"/>
            </w:tcBorders>
            <w:vAlign w:val="center"/>
          </w:tcPr>
          <w:p w14:paraId="3CECDB0D">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支持固件安全启动功能，固件启动过程中只有通过启动校验才能正常启动</w:t>
            </w:r>
          </w:p>
        </w:tc>
        <w:tc>
          <w:tcPr>
            <w:tcW w:w="1035" w:type="dxa"/>
            <w:tcBorders>
              <w:top w:val="single" w:color="000000" w:sz="4" w:space="0"/>
              <w:left w:val="single" w:color="000000" w:sz="4" w:space="0"/>
              <w:bottom w:val="single" w:color="000000" w:sz="4" w:space="0"/>
              <w:right w:val="single" w:color="000000" w:sz="4" w:space="0"/>
            </w:tcBorders>
            <w:vAlign w:val="center"/>
          </w:tcPr>
          <w:p w14:paraId="045AC209">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r w14:paraId="0BBAC27B">
        <w:tblPrEx>
          <w:tblCellMar>
            <w:top w:w="0" w:type="dxa"/>
            <w:left w:w="108" w:type="dxa"/>
            <w:bottom w:w="0" w:type="dxa"/>
            <w:right w:w="108" w:type="dxa"/>
          </w:tblCellMar>
        </w:tblPrEx>
        <w:trPr>
          <w:trHeight w:val="23" w:hRule="atLeast"/>
        </w:trPr>
        <w:tc>
          <w:tcPr>
            <w:tcW w:w="653" w:type="dxa"/>
            <w:tcBorders>
              <w:top w:val="single" w:color="000000" w:sz="4" w:space="0"/>
              <w:left w:val="single" w:color="000000" w:sz="4" w:space="0"/>
              <w:bottom w:val="single" w:color="000000" w:sz="4" w:space="0"/>
              <w:right w:val="single" w:color="000000" w:sz="4" w:space="0"/>
            </w:tcBorders>
            <w:vAlign w:val="center"/>
          </w:tcPr>
          <w:p w14:paraId="784F0F32">
            <w:pPr>
              <w:spacing w:line="360" w:lineRule="exact"/>
              <w:jc w:val="center"/>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6677F3F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189</w:t>
            </w: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41A7637E">
            <w:pPr>
              <w:spacing w:line="360" w:lineRule="exact"/>
              <w:jc w:val="center"/>
              <w:rPr>
                <w:rFonts w:hint="eastAsia" w:cs="仿宋_GB2312" w:asciiTheme="minorEastAsia" w:hAnsiTheme="minorEastAsia" w:eastAsiaTheme="minorEastAsia"/>
                <w:lang w:val="zh-TW" w:eastAsia="zh-TW"/>
              </w:rPr>
            </w:pPr>
          </w:p>
        </w:tc>
        <w:tc>
          <w:tcPr>
            <w:tcW w:w="1560" w:type="dxa"/>
            <w:tcBorders>
              <w:top w:val="single" w:color="000000" w:sz="4" w:space="0"/>
              <w:left w:val="single" w:color="000000" w:sz="4" w:space="0"/>
              <w:bottom w:val="single" w:color="000000" w:sz="4" w:space="0"/>
              <w:right w:val="nil"/>
            </w:tcBorders>
            <w:vAlign w:val="center"/>
          </w:tcPr>
          <w:p w14:paraId="1AA152F6">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限用物质的限量要求</w:t>
            </w:r>
          </w:p>
        </w:tc>
        <w:tc>
          <w:tcPr>
            <w:tcW w:w="3960" w:type="dxa"/>
            <w:tcBorders>
              <w:top w:val="single" w:color="000000" w:sz="4" w:space="0"/>
              <w:left w:val="single" w:color="000000" w:sz="4" w:space="0"/>
              <w:bottom w:val="single" w:color="000000" w:sz="4" w:space="0"/>
              <w:right w:val="single" w:color="000000" w:sz="4" w:space="0"/>
            </w:tcBorders>
            <w:vAlign w:val="center"/>
          </w:tcPr>
          <w:p w14:paraId="6C312719">
            <w:pPr>
              <w:spacing w:line="360" w:lineRule="exact"/>
              <w:textAlignment w:val="center"/>
              <w:rPr>
                <w:rFonts w:hint="eastAsia" w:cs="仿宋_GB2312" w:asciiTheme="minorEastAsia" w:hAnsiTheme="minorEastAsia" w:eastAsiaTheme="minorEastAsia"/>
                <w:lang w:val="zh-TW" w:eastAsia="zh-TW"/>
              </w:rPr>
            </w:pPr>
            <w:r>
              <w:rPr>
                <w:rFonts w:hint="eastAsia" w:cs="仿宋_GB2312" w:asciiTheme="minorEastAsia" w:hAnsiTheme="minorEastAsia" w:eastAsiaTheme="minorEastAsia"/>
                <w:lang w:eastAsia="zh-CN" w:bidi="ar"/>
              </w:rPr>
              <w:t>符合 GB/T 26572 中规定</w:t>
            </w:r>
          </w:p>
        </w:tc>
        <w:tc>
          <w:tcPr>
            <w:tcW w:w="1035" w:type="dxa"/>
            <w:tcBorders>
              <w:top w:val="single" w:color="000000" w:sz="4" w:space="0"/>
              <w:left w:val="single" w:color="000000" w:sz="4" w:space="0"/>
              <w:bottom w:val="single" w:color="000000" w:sz="4" w:space="0"/>
              <w:right w:val="single" w:color="000000" w:sz="4" w:space="0"/>
            </w:tcBorders>
            <w:vAlign w:val="center"/>
          </w:tcPr>
          <w:p w14:paraId="00EBD224">
            <w:pPr>
              <w:spacing w:line="360" w:lineRule="exact"/>
              <w:textAlignment w:val="center"/>
              <w:rPr>
                <w:rFonts w:hint="eastAsia" w:cs="仿宋_GB2312" w:asciiTheme="minorEastAsia" w:hAnsiTheme="minorEastAsia" w:eastAsiaTheme="minorEastAsia"/>
                <w:lang w:bidi="ar"/>
              </w:rPr>
            </w:pPr>
            <w:r>
              <w:rPr>
                <w:rFonts w:hint="eastAsia" w:cs="仿宋_GB2312" w:asciiTheme="minorEastAsia" w:hAnsiTheme="minorEastAsia" w:eastAsiaTheme="minorEastAsia"/>
                <w:lang w:eastAsia="zh-CN" w:bidi="ar"/>
              </w:rPr>
              <w:t>否</w:t>
            </w:r>
          </w:p>
        </w:tc>
      </w:tr>
    </w:tbl>
    <w:p w14:paraId="18ABF784">
      <w:pPr>
        <w:pStyle w:val="4"/>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200" w:right="0" w:rightChars="0"/>
        <w:jc w:val="both"/>
        <w:textAlignment w:val="baseline"/>
        <w:outlineLvl w:val="9"/>
        <w:rPr>
          <w:rFonts w:hint="eastAsia" w:asciiTheme="minorEastAsia" w:hAnsiTheme="minorEastAsia" w:eastAsiaTheme="minorEastAsia" w:cstheme="minorEastAsia"/>
          <w:spacing w:val="-1"/>
          <w:sz w:val="24"/>
          <w:szCs w:val="24"/>
        </w:rPr>
      </w:pPr>
    </w:p>
    <w:p w14:paraId="0DAD109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9E04B4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2DB161FB">
      <w:pPr>
        <w:pStyle w:val="4"/>
        <w:kinsoku/>
        <w:wordWrap w:val="0"/>
        <w:spacing w:line="360" w:lineRule="auto"/>
        <w:ind w:firstLine="472"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1"/>
          <w:sz w:val="24"/>
          <w:szCs w:val="24"/>
          <w:lang w:eastAsia="zh-CN"/>
        </w:rPr>
        <w:t>1.交付时间：签订合同</w:t>
      </w:r>
      <w:r>
        <w:rPr>
          <w:rFonts w:hint="eastAsia" w:asciiTheme="minorEastAsia" w:hAnsiTheme="minorEastAsia" w:eastAsiaTheme="minorEastAsia" w:cstheme="minorEastAsia"/>
          <w:spacing w:val="-1"/>
          <w:sz w:val="24"/>
          <w:szCs w:val="24"/>
          <w:highlight w:val="none"/>
          <w:lang w:eastAsia="zh-CN"/>
        </w:rPr>
        <w:t>后</w:t>
      </w:r>
      <w:r>
        <w:rPr>
          <w:rFonts w:hint="eastAsia" w:asciiTheme="minorEastAsia" w:hAnsiTheme="minorEastAsia" w:eastAsiaTheme="minorEastAsia" w:cstheme="minorEastAsia"/>
          <w:spacing w:val="-1"/>
          <w:sz w:val="24"/>
          <w:szCs w:val="24"/>
          <w:highlight w:val="none"/>
          <w:lang w:val="en-US" w:eastAsia="zh-CN"/>
        </w:rPr>
        <w:t>30</w:t>
      </w:r>
      <w:r>
        <w:rPr>
          <w:rFonts w:hint="eastAsia" w:asciiTheme="minorEastAsia" w:hAnsiTheme="minorEastAsia" w:eastAsiaTheme="minorEastAsia" w:cstheme="minorEastAsia"/>
          <w:spacing w:val="-1"/>
          <w:sz w:val="24"/>
          <w:szCs w:val="24"/>
          <w:lang w:eastAsia="zh-CN"/>
        </w:rPr>
        <w:t>日内完成该项目的供货和安装调试。逾期每天按成交金额的</w:t>
      </w:r>
      <w:r>
        <w:rPr>
          <w:rFonts w:hint="eastAsia" w:asciiTheme="minorEastAsia" w:hAnsiTheme="minorEastAsia" w:eastAsiaTheme="minorEastAsia" w:cstheme="minorEastAsia"/>
          <w:spacing w:val="-1"/>
          <w:sz w:val="24"/>
          <w:szCs w:val="24"/>
          <w:highlight w:val="none"/>
          <w:lang w:eastAsia="zh-CN"/>
        </w:rPr>
        <w:t xml:space="preserve"> 0.2% </w:t>
      </w:r>
      <w:r>
        <w:rPr>
          <w:rFonts w:hint="eastAsia" w:asciiTheme="minorEastAsia" w:hAnsiTheme="minorEastAsia" w:eastAsiaTheme="minorEastAsia" w:cstheme="minorEastAsia"/>
          <w:spacing w:val="-1"/>
          <w:sz w:val="24"/>
          <w:szCs w:val="24"/>
          <w:lang w:eastAsia="zh-CN"/>
        </w:rPr>
        <w:t>扣违约金（用户现场条件原因导致不能按时安装除外）。</w:t>
      </w:r>
    </w:p>
    <w:p w14:paraId="090899E0">
      <w:pPr>
        <w:pStyle w:val="4"/>
        <w:kinsoku/>
        <w:wordWrap w:val="0"/>
        <w:spacing w:line="360" w:lineRule="auto"/>
        <w:ind w:firstLine="472"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1"/>
          <w:sz w:val="24"/>
          <w:szCs w:val="24"/>
          <w:lang w:eastAsia="zh-CN"/>
        </w:rPr>
        <w:t>2.交付地点：供应商负责将货物运到采购人指定地点（南阳市宛西中等专业学校）、供应商负责办理运输和装卸等、费用由供应商负责。</w:t>
      </w:r>
    </w:p>
    <w:p w14:paraId="2A03E8FD">
      <w:pPr>
        <w:pStyle w:val="4"/>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3.付款条件和要求：</w:t>
      </w:r>
    </w:p>
    <w:p w14:paraId="730DF7BE">
      <w:pPr>
        <w:pStyle w:val="4"/>
        <w:kinsoku/>
        <w:wordWrap w:val="0"/>
        <w:spacing w:line="360" w:lineRule="auto"/>
        <w:ind w:firstLine="472" w:firstLineChars="200"/>
        <w:jc w:val="both"/>
        <w:rPr>
          <w:rFonts w:hint="eastAsia" w:asciiTheme="minorEastAsia" w:hAnsiTheme="minorEastAsia" w:eastAsiaTheme="minorEastAsia" w:cstheme="minorEastAsia"/>
          <w:spacing w:val="-2"/>
          <w:sz w:val="24"/>
          <w:szCs w:val="24"/>
          <w:highlight w:val="none"/>
          <w:lang w:eastAsia="zh-CN"/>
        </w:rPr>
      </w:pPr>
      <w:r>
        <w:rPr>
          <w:rFonts w:hint="eastAsia" w:asciiTheme="minorEastAsia" w:hAnsiTheme="minorEastAsia" w:eastAsiaTheme="minorEastAsia" w:cstheme="minorEastAsia"/>
          <w:spacing w:val="-2"/>
          <w:sz w:val="24"/>
          <w:szCs w:val="24"/>
          <w:highlight w:val="none"/>
          <w:lang w:eastAsia="zh-CN"/>
        </w:rPr>
        <w:t>采购人与中标单位签订合同后，在 5 日内支付合同金额的 40%作为预付款，完成设备供货安装调试并经验收小组验收合格后，自收到发票之日起 3 个工作日内完成合同款项 60%支付。</w:t>
      </w:r>
    </w:p>
    <w:p w14:paraId="0B5815E5">
      <w:pPr>
        <w:pStyle w:val="4"/>
        <w:kinsoku/>
        <w:wordWrap w:val="0"/>
        <w:spacing w:line="360" w:lineRule="auto"/>
        <w:ind w:firstLine="472"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★4.售后服务：</w:t>
      </w:r>
      <w:r>
        <w:rPr>
          <w:rFonts w:hint="eastAsia" w:asciiTheme="minorEastAsia" w:hAnsiTheme="minorEastAsia" w:eastAsiaTheme="minorEastAsia" w:cstheme="minorEastAsia"/>
          <w:spacing w:val="-1"/>
          <w:sz w:val="24"/>
          <w:szCs w:val="24"/>
          <w:lang w:eastAsia="zh-CN"/>
        </w:rPr>
        <w:t>供应商接到保修请求应马上响应，如有需要 24 小时内维修人员到达现场， 48 小时内无法完成维修的，提供备件供采购人使用。</w:t>
      </w:r>
      <w:r>
        <w:rPr>
          <w:rFonts w:hint="eastAsia" w:asciiTheme="minorEastAsia" w:hAnsiTheme="minorEastAsia" w:eastAsiaTheme="minorEastAsia" w:cstheme="minorEastAsia"/>
          <w:spacing w:val="-2"/>
          <w:sz w:val="24"/>
          <w:szCs w:val="24"/>
          <w:lang w:eastAsia="zh-CN"/>
        </w:rPr>
        <w:t>满足国家或行业相关要求。</w:t>
      </w:r>
    </w:p>
    <w:p w14:paraId="4D4CB028">
      <w:pPr>
        <w:pStyle w:val="4"/>
        <w:kinsoku/>
        <w:wordWrap w:val="0"/>
        <w:spacing w:line="360" w:lineRule="auto"/>
        <w:ind w:firstLine="472" w:firstLineChars="200"/>
        <w:jc w:val="both"/>
        <w:rPr>
          <w:rFonts w:hint="eastAsia"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5"/>
          <w:sz w:val="24"/>
          <w:szCs w:val="24"/>
          <w:lang w:eastAsia="zh-CN"/>
        </w:rPr>
        <w:t>质量要求：合格，达到国家相关规范标准并保证通过验收。</w:t>
      </w:r>
    </w:p>
    <w:p w14:paraId="120ED0B1">
      <w:pPr>
        <w:pStyle w:val="4"/>
        <w:kinsoku/>
        <w:wordWrap w:val="0"/>
        <w:spacing w:line="360" w:lineRule="auto"/>
        <w:ind w:firstLine="472" w:firstLineChars="200"/>
        <w:jc w:val="both"/>
        <w:rPr>
          <w:rFonts w:hint="eastAsia" w:asciiTheme="minorEastAsia" w:hAnsiTheme="minorEastAsia" w:eastAsiaTheme="minorEastAsia" w:cstheme="minorEastAsia"/>
          <w:spacing w:val="-5"/>
          <w:sz w:val="24"/>
          <w:szCs w:val="24"/>
          <w:highlight w:val="none"/>
          <w:lang w:eastAsia="zh-CN"/>
        </w:rPr>
      </w:pPr>
      <w:r>
        <w:rPr>
          <w:rFonts w:hint="eastAsia" w:asciiTheme="minorEastAsia" w:hAnsiTheme="minorEastAsia" w:eastAsiaTheme="minorEastAsia" w:cstheme="minorEastAsia"/>
          <w:spacing w:val="-2"/>
          <w:sz w:val="24"/>
          <w:szCs w:val="24"/>
          <w:highlight w:val="none"/>
          <w:lang w:eastAsia="zh-CN"/>
        </w:rPr>
        <w:t>★</w:t>
      </w:r>
      <w:r>
        <w:rPr>
          <w:rFonts w:hint="eastAsia" w:asciiTheme="minorEastAsia" w:hAnsiTheme="minorEastAsia" w:eastAsiaTheme="minorEastAsia" w:cstheme="minorEastAsia"/>
          <w:spacing w:val="-2"/>
          <w:sz w:val="24"/>
          <w:szCs w:val="24"/>
          <w:highlight w:val="none"/>
          <w:lang w:val="en-US" w:eastAsia="zh-CN"/>
        </w:rPr>
        <w:t>6</w:t>
      </w:r>
      <w:r>
        <w:rPr>
          <w:rFonts w:hint="eastAsia" w:asciiTheme="minorEastAsia" w:hAnsiTheme="minorEastAsia" w:eastAsiaTheme="minorEastAsia" w:cstheme="minorEastAsia"/>
          <w:spacing w:val="-5"/>
          <w:sz w:val="24"/>
          <w:szCs w:val="24"/>
          <w:highlight w:val="none"/>
          <w:lang w:eastAsia="zh-CN"/>
        </w:rPr>
        <w:t>.质保期：本项目免费质保期为三年（自验收报告签字确认日起、开始进入质保期）。质保期内、每年免费维护保养一次。</w:t>
      </w:r>
    </w:p>
    <w:p w14:paraId="5D68C7D4">
      <w:pPr>
        <w:pStyle w:val="4"/>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lang w:eastAsia="zh-CN"/>
        </w:rPr>
        <w:t>.强制采购的节能产品:挂壁式空调、台式计算机为政府强制采购的节能产品。节能产品是指财政部和国家发展和改革委员会公布的《节能产品政府采购品目清单》中的产品。投标人须在投标文件中附该产品节能证书，否则评标委员会有权不予认可。</w:t>
      </w:r>
    </w:p>
    <w:p w14:paraId="17C6EC54">
      <w:pPr>
        <w:pStyle w:val="4"/>
        <w:kinsoku/>
        <w:wordWrap w:val="0"/>
        <w:spacing w:line="360" w:lineRule="auto"/>
        <w:ind w:firstLine="480" w:firstLineChars="200"/>
        <w:jc w:val="both"/>
        <w:rPr>
          <w:rFonts w:hint="eastAsia"/>
          <w:sz w:val="24"/>
          <w:szCs w:val="24"/>
          <w:lang w:eastAsia="zh-CN"/>
        </w:rPr>
      </w:pPr>
      <w:r>
        <w:rPr>
          <w:rFonts w:hint="eastAsia"/>
          <w:sz w:val="24"/>
          <w:szCs w:val="24"/>
          <w:lang w:val="en-US" w:eastAsia="zh-CN"/>
        </w:rPr>
        <w:t>8</w:t>
      </w:r>
      <w:r>
        <w:rPr>
          <w:rFonts w:hint="eastAsia"/>
          <w:sz w:val="24"/>
          <w:szCs w:val="24"/>
          <w:lang w:eastAsia="zh-CN"/>
        </w:rPr>
        <w:t>.参与本项目的供应商应在响应文件中提交安装方案和售后服务方案。</w:t>
      </w:r>
    </w:p>
    <w:p w14:paraId="456523F6">
      <w:pPr>
        <w:pStyle w:val="4"/>
        <w:kinsoku/>
        <w:wordWrap w:val="0"/>
        <w:spacing w:line="360" w:lineRule="auto"/>
        <w:ind w:firstLine="472"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9</w:t>
      </w:r>
      <w:r>
        <w:rPr>
          <w:rFonts w:hint="eastAsia" w:asciiTheme="minorEastAsia" w:hAnsiTheme="minorEastAsia" w:eastAsiaTheme="minorEastAsia" w:cstheme="minorEastAsia"/>
          <w:spacing w:val="-1"/>
          <w:sz w:val="24"/>
          <w:szCs w:val="24"/>
          <w:lang w:eastAsia="zh-CN"/>
        </w:rPr>
        <w:t>.供应商在货物运输、安装调试等履约过程中，必须严格遵守国家、地方和行业作业标准，杜绝发生任何安全事故，并承诺如发生任何安全事故，由供应商承担一切责任和费用，采购人不承担连带责任。</w:t>
      </w:r>
    </w:p>
    <w:p w14:paraId="54217F37">
      <w:pPr>
        <w:pStyle w:val="4"/>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w:t>
      </w:r>
      <w:r>
        <w:rPr>
          <w:rFonts w:hint="eastAsia" w:asciiTheme="minorEastAsia" w:hAnsiTheme="minorEastAsia" w:eastAsiaTheme="minorEastAsia" w:cstheme="minorEastAsia"/>
          <w:spacing w:val="-2"/>
          <w:sz w:val="24"/>
          <w:szCs w:val="24"/>
          <w:lang w:val="en-US" w:eastAsia="zh-CN"/>
        </w:rPr>
        <w:t>0</w:t>
      </w:r>
      <w:r>
        <w:rPr>
          <w:rFonts w:hint="eastAsia" w:asciiTheme="minorEastAsia" w:hAnsiTheme="minorEastAsia" w:eastAsiaTheme="minorEastAsia" w:cstheme="minorEastAsia"/>
          <w:spacing w:val="-2"/>
          <w:sz w:val="24"/>
          <w:szCs w:val="24"/>
          <w:lang w:eastAsia="zh-CN"/>
        </w:rPr>
        <w:t>、验收要求：同意采购人组织验收、检验不合格或不符合质量要求、供应商除无条件退货、返工外、还应承担采购人的一切损失。同意采购人认为有必要时有权利邀请参加本项目的其他供应商或者第三方机构参与验收。参与验收的供应商或者第三方机构的意见作为验收书的参考资料一并存档。</w:t>
      </w:r>
    </w:p>
    <w:p w14:paraId="241A3B92">
      <w:pPr>
        <w:pStyle w:val="4"/>
        <w:kinsoku/>
        <w:wordWrap w:val="0"/>
        <w:spacing w:line="360" w:lineRule="auto"/>
        <w:ind w:firstLine="472" w:firstLineChars="20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11</w:t>
      </w:r>
      <w:r>
        <w:rPr>
          <w:rFonts w:hint="eastAsia" w:asciiTheme="minorEastAsia" w:hAnsiTheme="minorEastAsia" w:eastAsiaTheme="minorEastAsia" w:cstheme="minorEastAsia"/>
          <w:spacing w:val="-2"/>
          <w:sz w:val="24"/>
          <w:szCs w:val="24"/>
          <w:lang w:eastAsia="zh-CN"/>
        </w:rPr>
        <w:t>、合同备案：政府采购合同自签订之日起 2 个工作日内，采购人通过“南阳市政府采购网”进行合同公告和备案。</w:t>
      </w:r>
    </w:p>
    <w:p w14:paraId="1D6C1AAC">
      <w:pPr>
        <w:pStyle w:val="4"/>
        <w:kinsoku/>
        <w:wordWrap w:val="0"/>
        <w:spacing w:line="360" w:lineRule="auto"/>
        <w:ind w:firstLine="472"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2"/>
          <w:sz w:val="24"/>
          <w:szCs w:val="24"/>
          <w:lang w:eastAsia="zh-CN"/>
        </w:rPr>
        <w:t>说明：1、标注“★”符号的为本次谈判项目的“实质性技术服务要求”、</w:t>
      </w:r>
      <w:r>
        <w:rPr>
          <w:rFonts w:hint="eastAsia" w:asciiTheme="minorEastAsia" w:hAnsiTheme="minorEastAsia" w:eastAsiaTheme="minorEastAsia" w:cstheme="minorEastAsia"/>
          <w:spacing w:val="-2"/>
          <w:sz w:val="24"/>
          <w:szCs w:val="24"/>
          <w:lang w:val="en-US" w:eastAsia="zh-CN"/>
        </w:rPr>
        <w:t>参数</w:t>
      </w:r>
      <w:r>
        <w:rPr>
          <w:rFonts w:hint="eastAsia" w:asciiTheme="minorEastAsia" w:hAnsiTheme="minorEastAsia" w:eastAsiaTheme="minorEastAsia" w:cstheme="minorEastAsia"/>
          <w:spacing w:val="-2"/>
          <w:sz w:val="24"/>
          <w:szCs w:val="24"/>
          <w:lang w:eastAsia="zh-CN"/>
        </w:rPr>
        <w:t>标注“▲”符号的为本次谈判项目的“</w:t>
      </w:r>
      <w:r>
        <w:rPr>
          <w:rFonts w:hint="eastAsia" w:asciiTheme="minorEastAsia" w:hAnsiTheme="minorEastAsia" w:eastAsiaTheme="minorEastAsia" w:cstheme="minorEastAsia"/>
          <w:spacing w:val="-2"/>
          <w:sz w:val="24"/>
          <w:szCs w:val="24"/>
          <w:lang w:val="en-US" w:eastAsia="zh-CN"/>
        </w:rPr>
        <w:t>核心参数</w:t>
      </w:r>
      <w:r>
        <w:rPr>
          <w:rFonts w:hint="eastAsia" w:asciiTheme="minorEastAsia" w:hAnsiTheme="minorEastAsia" w:eastAsiaTheme="minorEastAsia" w:cstheme="minorEastAsia"/>
          <w:spacing w:val="-2"/>
          <w:sz w:val="24"/>
          <w:szCs w:val="24"/>
          <w:lang w:eastAsia="zh-CN"/>
        </w:rPr>
        <w:t>”不允许有负偏离或遗漏、有任意一项负偏离或遗漏的、作无效响应处理；其他的为“一般技术服务要求”。</w:t>
      </w:r>
    </w:p>
    <w:p w14:paraId="3C424B5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30"/>
          <w:sz w:val="24"/>
          <w:szCs w:val="24"/>
          <w:lang w:val="en-US" w:eastAsia="zh-CN"/>
        </w:rPr>
      </w:pPr>
      <w:r>
        <w:rPr>
          <w:rFonts w:hint="eastAsia" w:asciiTheme="minorEastAsia" w:hAnsiTheme="minorEastAsia" w:eastAsiaTheme="minorEastAsia" w:cstheme="minorEastAsia"/>
          <w:spacing w:val="-2"/>
          <w:sz w:val="24"/>
          <w:szCs w:val="24"/>
          <w:lang w:eastAsia="zh-CN"/>
        </w:rPr>
        <w:t>2、以上技术参数要求由采购人提供、如供应商认为以上要求有倾向性或排他性、根据《中华人民共和国政府采购法实施条例》第五十二条第二款规定、可以在获取采购文件之日起 7 个工作日内向采购人提出书面询问或质疑。</w:t>
      </w:r>
    </w:p>
    <w:p w14:paraId="34A06A62">
      <w:pPr>
        <w:pStyle w:val="4"/>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13291C35">
      <w:pPr>
        <w:pStyle w:val="4"/>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341C4D4">
      <w:pPr>
        <w:pStyle w:val="4"/>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6B95512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14:paraId="108BC637">
      <w:pPr>
        <w:pStyle w:val="4"/>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p w14:paraId="68C858C9">
      <w:pPr>
        <w:pStyle w:val="15"/>
        <w:keepNext w:val="0"/>
        <w:keepLines w:val="0"/>
        <w:pageBreakBefore w:val="0"/>
        <w:kinsoku/>
        <w:wordWrap w:val="0"/>
        <w:overflowPunct/>
        <w:topLinePunct w:val="0"/>
        <w:bidi w:val="0"/>
        <w:jc w:val="both"/>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1D07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5DCF19C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30F3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6A8D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0FBB0F4">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CBED3EB">
            <w:pPr>
              <w:pStyle w:val="1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56159771">
            <w:pPr>
              <w:pStyle w:val="1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p w14:paraId="57BBB4E5">
            <w:pPr>
              <w:pStyle w:val="1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p w14:paraId="57A6C391">
            <w:pPr>
              <w:pStyle w:val="1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6B169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B1D3D7C">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457A8CAF">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397A4278">
            <w:pPr>
              <w:pStyle w:val="1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3549D99E">
            <w:pPr>
              <w:pStyle w:val="1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100D4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D26DF7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48FEED1">
            <w:pPr>
              <w:pStyle w:val="1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工业 </w:t>
            </w:r>
          </w:p>
          <w:p w14:paraId="6C29E50B">
            <w:pPr>
              <w:pStyle w:val="1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14:paraId="5122D6C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15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14:paraId="67910562">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59CA9B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31A2229">
            <w:pPr>
              <w:pStyle w:val="1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2DE3B0CA">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谈判</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B6193C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谈判</w:t>
            </w:r>
            <w:r>
              <w:rPr>
                <w:rFonts w:hint="eastAsia" w:asciiTheme="minorEastAsia" w:hAnsiTheme="minorEastAsia" w:eastAsiaTheme="minorEastAsia" w:cstheme="minorEastAsia"/>
                <w:spacing w:val="-7"/>
                <w:sz w:val="24"/>
                <w:szCs w:val="24"/>
              </w:rPr>
              <w:t>报价的特殊规定：</w:t>
            </w:r>
          </w:p>
          <w:p w14:paraId="1F00E909">
            <w:pPr>
              <w:pStyle w:val="1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51E0DCA9">
            <w:pPr>
              <w:pStyle w:val="1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D2794A1">
            <w:pPr>
              <w:pStyle w:val="1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3D06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539FF5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2F5F60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79.5001 </w:t>
            </w:r>
            <w:r>
              <w:rPr>
                <w:rFonts w:hint="eastAsia" w:asciiTheme="minorEastAsia" w:hAnsiTheme="minorEastAsia" w:eastAsiaTheme="minorEastAsia" w:cstheme="minorEastAsia"/>
                <w:b w:val="0"/>
                <w:bCs/>
                <w:sz w:val="24"/>
                <w:szCs w:val="24"/>
                <w:lang w:val="en-US" w:eastAsia="zh-CN"/>
              </w:rPr>
              <w:t>万元</w:t>
            </w:r>
          </w:p>
        </w:tc>
      </w:tr>
      <w:tr w14:paraId="71A0F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F09005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A1BBAA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4436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920B1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8E9ED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39A9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27ADE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26BAA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26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2ED0E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9A740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F8A228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26</w:t>
            </w:r>
            <w:bookmarkStart w:id="38" w:name="_GoBack"/>
            <w:bookmarkEnd w:id="38"/>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39374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0F4DE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45D359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谈判小组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034FAB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175AFCE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01B940A3">
            <w:pPr>
              <w:pStyle w:val="1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6A8A0BE3">
      <w:pPr>
        <w:keepNext w:val="0"/>
        <w:keepLines w:val="0"/>
        <w:pageBreakBefore w:val="0"/>
        <w:kinsoku/>
        <w:wordWrap w:val="0"/>
        <w:overflowPunct/>
        <w:topLinePunct w:val="0"/>
        <w:bidi w:val="0"/>
        <w:spacing w:line="371" w:lineRule="auto"/>
        <w:jc w:val="both"/>
        <w:rPr>
          <w:rFonts w:ascii="Arial"/>
          <w:sz w:val="21"/>
        </w:rPr>
      </w:pPr>
    </w:p>
    <w:p w14:paraId="454DD55D">
      <w:pPr>
        <w:keepNext w:val="0"/>
        <w:keepLines w:val="0"/>
        <w:pageBreakBefore w:val="0"/>
        <w:kinsoku/>
        <w:wordWrap w:val="0"/>
        <w:overflowPunct/>
        <w:topLinePunct w:val="0"/>
        <w:bidi w:val="0"/>
        <w:spacing w:line="243" w:lineRule="auto"/>
        <w:jc w:val="both"/>
        <w:rPr>
          <w:rFonts w:ascii="Arial"/>
          <w:sz w:val="21"/>
        </w:rPr>
      </w:pPr>
    </w:p>
    <w:p w14:paraId="350418C3">
      <w:pPr>
        <w:keepNext w:val="0"/>
        <w:keepLines w:val="0"/>
        <w:pageBreakBefore w:val="0"/>
        <w:kinsoku/>
        <w:wordWrap w:val="0"/>
        <w:overflowPunct/>
        <w:topLinePunct w:val="0"/>
        <w:bidi w:val="0"/>
        <w:spacing w:line="244" w:lineRule="auto"/>
        <w:jc w:val="both"/>
        <w:rPr>
          <w:rFonts w:ascii="Arial"/>
          <w:sz w:val="21"/>
        </w:rPr>
      </w:pPr>
    </w:p>
    <w:p w14:paraId="0D5E4A61">
      <w:pPr>
        <w:pStyle w:val="4"/>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256778AF">
      <w:pPr>
        <w:pStyle w:val="4"/>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53BABDF1">
      <w:pPr>
        <w:pStyle w:val="4"/>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719DE909">
      <w:pPr>
        <w:pStyle w:val="4"/>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0794D64F">
      <w:pPr>
        <w:pStyle w:val="4"/>
        <w:keepNext w:val="0"/>
        <w:keepLines w:val="0"/>
        <w:pageBreakBefore w:val="0"/>
        <w:kinsoku/>
        <w:wordWrap w:val="0"/>
        <w:overflowPunct/>
        <w:topLinePunct w:val="0"/>
        <w:bidi w:val="0"/>
        <w:spacing w:before="91" w:line="360" w:lineRule="auto"/>
        <w:ind w:left="3844"/>
        <w:jc w:val="both"/>
        <w:rPr>
          <w:spacing w:val="-1"/>
          <w:sz w:val="28"/>
          <w:szCs w:val="28"/>
          <w14:textOutline w14:w="1800" w14:cap="flat" w14:cmpd="sng">
            <w14:solidFill>
              <w14:srgbClr w14:val="000000"/>
            </w14:solidFill>
            <w14:prstDash w14:val="solid"/>
            <w14:miter w14:val="0"/>
          </w14:textOutline>
        </w:rPr>
      </w:pPr>
    </w:p>
    <w:p w14:paraId="30AF44C5">
      <w:pPr>
        <w:pStyle w:val="4"/>
        <w:keepNext w:val="0"/>
        <w:keepLines w:val="0"/>
        <w:pageBreakBefore w:val="0"/>
        <w:kinsoku/>
        <w:wordWrap w:val="0"/>
        <w:overflowPunct/>
        <w:topLinePunct w:val="0"/>
        <w:bidi w:val="0"/>
        <w:spacing w:before="91" w:line="360" w:lineRule="auto"/>
        <w:jc w:val="center"/>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36FF9AB7">
      <w:pPr>
        <w:pStyle w:val="4"/>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14:paraId="4721363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356DB19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p>
    <w:p w14:paraId="1DDBEB5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C3A128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5D2175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337F9B6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79.5001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5B9F388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32608F0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09B07F0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0" w:firstLineChars="200"/>
        <w:jc w:val="both"/>
        <w:textAlignment w:val="baseline"/>
        <w:rPr>
          <w:rFonts w:hint="eastAsia" w:asciiTheme="minorEastAsia" w:hAnsiTheme="minorEastAsia" w:eastAsiaTheme="minorEastAsia" w:cstheme="minorEastAsia"/>
          <w:b/>
          <w:bCs/>
          <w:spacing w:val="2"/>
          <w:sz w:val="24"/>
          <w:szCs w:val="24"/>
        </w:rPr>
      </w:pPr>
      <w:r>
        <w:rPr>
          <w:rFonts w:hint="eastAsia" w:asciiTheme="minorEastAsia" w:hAnsiTheme="minorEastAsia" w:eastAsiaTheme="minorEastAsia" w:cstheme="minorEastAsia"/>
          <w:b/>
          <w:bCs/>
          <w:spacing w:val="2"/>
          <w:sz w:val="24"/>
          <w:szCs w:val="24"/>
          <w:lang w:val="en-US" w:eastAsia="zh-CN"/>
        </w:rPr>
        <w:t>3.</w:t>
      </w:r>
      <w:r>
        <w:rPr>
          <w:rFonts w:hint="eastAsia" w:asciiTheme="minorEastAsia" w:hAnsiTheme="minorEastAsia" w:eastAsiaTheme="minorEastAsia" w:cstheme="minorEastAsia"/>
          <w:b/>
          <w:bCs/>
          <w:spacing w:val="2"/>
          <w:sz w:val="24"/>
          <w:szCs w:val="24"/>
        </w:rPr>
        <w:t>政府采购政策（包括但不限于下列具体政策要求）</w:t>
      </w:r>
    </w:p>
    <w:p w14:paraId="4D583CF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1015F0D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03024A8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74A8E63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3</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132FC70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5F0F34A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2DD7160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137C780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42C7B71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011F5BE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3A06F20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3DBDF6B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1E0334A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063211C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0BC563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E34D78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5EEB0DE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7A19DAF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06C0AD4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0017BDA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3D485D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7527FCC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竞争性谈判公告</w:t>
      </w:r>
      <w:r>
        <w:rPr>
          <w:rFonts w:hint="eastAsia" w:asciiTheme="minorEastAsia" w:hAnsiTheme="minorEastAsia" w:eastAsiaTheme="minorEastAsia" w:cstheme="minorEastAsia"/>
          <w:spacing w:val="-8"/>
          <w:sz w:val="24"/>
          <w:szCs w:val="24"/>
        </w:rPr>
        <w:t>》。</w:t>
      </w:r>
    </w:p>
    <w:p w14:paraId="3E99136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37535D8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w:t>
      </w:r>
    </w:p>
    <w:p w14:paraId="66CD5FE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534BAAE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6F43D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350D313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14:paraId="5073EAD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》。（如涉及）。</w:t>
      </w:r>
    </w:p>
    <w:p w14:paraId="392201C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2404AC9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7E9D06E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286F309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66F6261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59BA9F0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30B7879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1DF3B45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197430B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33188D7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4.采购</w:t>
      </w:r>
      <w:r>
        <w:rPr>
          <w:rFonts w:hint="eastAsia" w:asciiTheme="minorEastAsia" w:hAnsiTheme="minorEastAsia" w:eastAsiaTheme="minorEastAsia" w:cstheme="minorEastAsia"/>
          <w:b/>
          <w:bCs/>
          <w:spacing w:val="-2"/>
          <w:sz w:val="24"/>
          <w:szCs w:val="24"/>
        </w:rPr>
        <w:t>费用</w:t>
      </w:r>
    </w:p>
    <w:p w14:paraId="44FC0EA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EC2F9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b/>
          <w:bCs/>
          <w:snapToGrid w:val="0"/>
          <w:color w:val="000000"/>
          <w:spacing w:val="-4"/>
          <w:kern w:val="0"/>
          <w:sz w:val="24"/>
          <w:szCs w:val="24"/>
          <w:lang w:val="en-US" w:eastAsia="zh-CN" w:bidi="ar-SA"/>
        </w:rPr>
      </w:pPr>
      <w:r>
        <w:rPr>
          <w:rFonts w:hint="eastAsia" w:asciiTheme="minorEastAsia" w:hAnsiTheme="minorEastAsia" w:eastAsiaTheme="minorEastAsia" w:cstheme="minorEastAsia"/>
          <w:b/>
          <w:bCs/>
          <w:snapToGrid w:val="0"/>
          <w:color w:val="000000"/>
          <w:spacing w:val="-4"/>
          <w:kern w:val="0"/>
          <w:sz w:val="24"/>
          <w:szCs w:val="24"/>
          <w:lang w:val="en-US" w:eastAsia="zh-CN" w:bidi="ar-SA"/>
        </w:rPr>
        <w:t>5.采购范围及适用法律</w:t>
      </w:r>
    </w:p>
    <w:p w14:paraId="5B0F7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5.1 本次采购适用的法律、法规为《中华人民共和国政府采购法》《中华人民共和国政府采购法实施条例》《政府采购非招标采购方式管理办法》《中华人民共和国民法典》以及其他相关政府采购法律法规。</w:t>
      </w:r>
    </w:p>
    <w:p w14:paraId="573DF2D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37012E10">
      <w:pPr>
        <w:keepNext w:val="0"/>
        <w:keepLines w:val="0"/>
        <w:pageBreakBefore w:val="0"/>
        <w:kinsoku/>
        <w:wordWrap w:val="0"/>
        <w:overflowPunct/>
        <w:topLinePunct w:val="0"/>
        <w:bidi w:val="0"/>
        <w:spacing w:line="360" w:lineRule="auto"/>
        <w:ind w:firstLine="567"/>
        <w:jc w:val="both"/>
        <w:rPr>
          <w:rFonts w:hint="default"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云桌面管理软件、计算机、交换机、机柜、配套桌椅、空调等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2B8D0ABB">
      <w:pPr>
        <w:keepNext w:val="0"/>
        <w:keepLines w:val="0"/>
        <w:pageBreakBefore w:val="0"/>
        <w:kinsoku/>
        <w:wordWrap w:val="0"/>
        <w:overflowPunct/>
        <w:topLinePunct w:val="0"/>
        <w:bidi w:val="0"/>
        <w:spacing w:line="292" w:lineRule="auto"/>
        <w:jc w:val="both"/>
        <w:rPr>
          <w:rFonts w:ascii="Arial"/>
          <w:sz w:val="21"/>
        </w:rPr>
      </w:pPr>
    </w:p>
    <w:p w14:paraId="7B378D64">
      <w:pPr>
        <w:pStyle w:val="4"/>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w:t>
      </w:r>
      <w:r>
        <w:rPr>
          <w:rFonts w:hint="eastAsia"/>
          <w:spacing w:val="-1"/>
          <w:sz w:val="28"/>
          <w:szCs w:val="28"/>
          <w:lang w:eastAsia="zh-CN"/>
          <w14:textOutline w14:w="1800" w14:cap="flat" w14:cmpd="sng">
            <w14:solidFill>
              <w14:srgbClr w14:val="000000"/>
            </w14:solidFill>
            <w14:prstDash w14:val="solid"/>
            <w14:miter w14:val="0"/>
          </w14:textOutline>
        </w:rPr>
        <w:t>谈判</w:t>
      </w:r>
      <w:r>
        <w:rPr>
          <w:spacing w:val="-1"/>
          <w:sz w:val="28"/>
          <w:szCs w:val="28"/>
          <w14:textOutline w14:w="1800" w14:cap="flat" w14:cmpd="sng">
            <w14:solidFill>
              <w14:srgbClr w14:val="000000"/>
            </w14:solidFill>
            <w14:prstDash w14:val="solid"/>
            <w14:miter w14:val="0"/>
          </w14:textOutline>
        </w:rPr>
        <w:t>文件</w:t>
      </w:r>
    </w:p>
    <w:p w14:paraId="09C272FC">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sz w:val="24"/>
          <w:szCs w:val="24"/>
        </w:rPr>
      </w:pPr>
      <w:r>
        <w:rPr>
          <w:rFonts w:hint="eastAsia"/>
          <w:b/>
          <w:bCs/>
          <w:sz w:val="24"/>
          <w:szCs w:val="24"/>
          <w:lang w:val="en-US" w:eastAsia="zh-CN"/>
        </w:rPr>
        <w:t>6.</w:t>
      </w:r>
      <w:r>
        <w:rPr>
          <w:b/>
          <w:bCs/>
          <w:sz w:val="24"/>
          <w:szCs w:val="24"/>
        </w:rPr>
        <w:t>竞争性</w:t>
      </w:r>
      <w:r>
        <w:rPr>
          <w:rFonts w:hint="eastAsia"/>
          <w:b/>
          <w:bCs/>
          <w:sz w:val="24"/>
          <w:szCs w:val="24"/>
          <w:lang w:eastAsia="zh-CN"/>
        </w:rPr>
        <w:t>谈判</w:t>
      </w:r>
      <w:r>
        <w:rPr>
          <w:b/>
          <w:bCs/>
          <w:sz w:val="24"/>
          <w:szCs w:val="24"/>
        </w:rPr>
        <w:t>文件构成</w:t>
      </w:r>
    </w:p>
    <w:p w14:paraId="3785637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6</w:t>
      </w:r>
      <w:r>
        <w:rPr>
          <w:spacing w:val="-1"/>
          <w:sz w:val="24"/>
          <w:szCs w:val="24"/>
        </w:rPr>
        <w:t>.1</w:t>
      </w:r>
      <w:r>
        <w:rPr>
          <w:rFonts w:hint="eastAsia"/>
          <w:spacing w:val="-1"/>
          <w:sz w:val="24"/>
          <w:szCs w:val="24"/>
          <w:lang w:val="en-US" w:eastAsia="zh-CN"/>
        </w:rPr>
        <w:t xml:space="preserve"> </w:t>
      </w:r>
      <w:r>
        <w:rPr>
          <w:spacing w:val="-1"/>
          <w:sz w:val="24"/>
          <w:szCs w:val="24"/>
        </w:rPr>
        <w:t>竞争性</w:t>
      </w:r>
      <w:r>
        <w:rPr>
          <w:rFonts w:hint="eastAsia"/>
          <w:spacing w:val="-1"/>
          <w:sz w:val="24"/>
          <w:szCs w:val="24"/>
          <w:lang w:eastAsia="zh-CN"/>
        </w:rPr>
        <w:t>谈判</w:t>
      </w:r>
      <w:r>
        <w:rPr>
          <w:spacing w:val="-1"/>
          <w:sz w:val="24"/>
          <w:szCs w:val="24"/>
        </w:rPr>
        <w:t>文件包括以下部分：</w:t>
      </w:r>
    </w:p>
    <w:p w14:paraId="436AD2B8">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竞争性谈判公告</w:t>
      </w:r>
      <w:r>
        <w:rPr>
          <w:spacing w:val="-1"/>
          <w:sz w:val="24"/>
          <w:szCs w:val="24"/>
        </w:rPr>
        <w:fldChar w:fldCharType="end"/>
      </w:r>
    </w:p>
    <w:p w14:paraId="07D8DF7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012F03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36B5BB5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lang w:eastAsia="zh-CN"/>
        </w:rPr>
        <w:t>评审程序和评定成交的标准</w:t>
      </w:r>
    </w:p>
    <w:p w14:paraId="09B555E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5824DDC0">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29BF96CE">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6.2 供应商应认真阅读竞争性谈判文件的全部内容。供应商应按照竞争性谈判文件要求提交响应文件并保证所提供的全部资料的真实性，并对竞争性谈判文件做出实质性响应，否则响应无效。</w:t>
      </w:r>
    </w:p>
    <w:p w14:paraId="3C3CFD5F">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7.对竞争性谈判文件的澄清或修改</w:t>
      </w:r>
    </w:p>
    <w:p w14:paraId="00CE0640">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可用补充文件的方式修正竞争性谈判文件，补充文件内容以公告的形式告知所有竞争性谈判文件收受人，该补充文件将成为竞争性谈判文件的组成部分，并替代所修正的部分。</w:t>
      </w:r>
    </w:p>
    <w:p w14:paraId="70094E6A">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可以酌情延长上传截止时间，并将此变更以公告形式通知所有竞争性谈判文件收受人。</w:t>
      </w:r>
    </w:p>
    <w:p w14:paraId="359E8DB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7.3 澄清或者修改的内容为竞争性谈判文件的组成部分，并对所有获取竞争性谈判文件的潜在供应商具有约束力。澄清或者修改的内容可能影响响应文件编制的，将在提交首次响应文件截止之日3个工作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通知所有获取谈判文件的供应商；不足上述时间的，将顺延上传响应文件截止时间。</w:t>
      </w:r>
    </w:p>
    <w:p w14:paraId="4B5AF30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7.4 政府采购项目实行网上受理，开标前所有信息保密。因此，采购人或采购代理机构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14:paraId="60AC286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7.5 供应商应关注是否有发布最新的澄清更正公告和更正的最新谈判文件（电子答疑文件），如有则需下载最新的谈判文件，并在此基础上制作最新的响应文件并上传。</w:t>
      </w:r>
    </w:p>
    <w:p w14:paraId="5F5F381D">
      <w:pPr>
        <w:pStyle w:val="4"/>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spacing w:val="-1"/>
          <w:sz w:val="24"/>
          <w:szCs w:val="24"/>
          <w:lang w:val="en-US" w:eastAsia="zh-CN"/>
        </w:rPr>
      </w:pPr>
    </w:p>
    <w:p w14:paraId="4A68CFA6">
      <w:pPr>
        <w:pStyle w:val="4"/>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14:paraId="419C4557">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8.响应范围、竞争性谈判文件中计量单位的使用及谈判语言</w:t>
      </w:r>
    </w:p>
    <w:p w14:paraId="62EED13C">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06B21AC">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8.2 除竞争性谈判文件有特殊要求外，本项目谈判所使用的计量单位，应采用中华人民共和国法定计量单位。</w:t>
      </w:r>
    </w:p>
    <w:p w14:paraId="6FE2892B">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3F581B6">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9.响应文件构成</w:t>
      </w:r>
    </w:p>
    <w:p w14:paraId="7FA4D20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供应商应当按照竞争性谈判文件的要求编制响应文件，并对其提交的响应文件的真实性、合法性承担法律责任。响应文件的部分格式要求，见第六章《响应文件格式》。</w:t>
      </w:r>
    </w:p>
    <w:p w14:paraId="64CBB840">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对于竞争性谈判文件中标记了实质性格式文件的，供应商不得改变格式中给定的文字所表达的含义，不得删减格式中的实质性内容，不得对应当填写的空格不填写或不实质性响应，否则响应无效。未标记实质性格式的文件和竞争性谈判文件未提供格式的内容，可由供应商自行编写。</w:t>
      </w:r>
    </w:p>
    <w:p w14:paraId="773E5A6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文件应使用企业电子营业执照生成并在截止时间前上传其加密版本，</w:t>
      </w:r>
      <w:r>
        <w:rPr>
          <w:rFonts w:hint="eastAsia" w:asciiTheme="minorEastAsia" w:hAnsiTheme="minorEastAsia" w:eastAsiaTheme="minorEastAsia" w:cstheme="minorEastAsia"/>
          <w:sz w:val="24"/>
          <w:szCs w:val="24"/>
          <w:lang w:val="en-US" w:eastAsia="zh-CN"/>
        </w:rPr>
        <w:t>根据谈判文件中规定的下载平台要求，</w:t>
      </w:r>
      <w:r>
        <w:rPr>
          <w:rFonts w:hint="eastAsia" w:asciiTheme="minorEastAsia" w:hAnsiTheme="minorEastAsia" w:eastAsiaTheme="minorEastAsia" w:cstheme="minorEastAsia"/>
          <w:sz w:val="24"/>
          <w:szCs w:val="24"/>
          <w:lang w:eastAsia="zh-CN"/>
        </w:rPr>
        <w:t>具体详见《电子营业执照应用平台系统操作手册-投标单位》。</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4A4B2B0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9.4 </w:t>
      </w:r>
      <w:r>
        <w:rPr>
          <w:rFonts w:hint="eastAsia" w:asciiTheme="minorEastAsia" w:hAnsiTheme="minorEastAsia" w:eastAsiaTheme="minorEastAsia" w:cstheme="minorEastAsia"/>
          <w:sz w:val="24"/>
          <w:szCs w:val="24"/>
        </w:rPr>
        <w:t>第四章《</w:t>
      </w:r>
      <w:r>
        <w:rPr>
          <w:rFonts w:hint="eastAsia" w:eastAsiaTheme="minorEastAsia"/>
          <w:spacing w:val="-1"/>
          <w:sz w:val="24"/>
          <w:szCs w:val="24"/>
          <w:lang w:eastAsia="zh-CN"/>
        </w:rPr>
        <w:t>评审程序和评定成交的标准</w:t>
      </w:r>
      <w:r>
        <w:rPr>
          <w:rFonts w:hint="eastAsia" w:asciiTheme="minorEastAsia" w:hAnsiTheme="minorEastAsia" w:eastAsiaTheme="minorEastAsia" w:cstheme="minorEastAsia"/>
          <w:sz w:val="24"/>
          <w:szCs w:val="24"/>
        </w:rPr>
        <w:t>》中涉及的证明文件。</w:t>
      </w:r>
    </w:p>
    <w:p w14:paraId="3E4A8D1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6CA2826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70B8B59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30424DC5">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10.报价</w:t>
      </w:r>
    </w:p>
    <w:p w14:paraId="14CB80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1CB99E3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谈判文件</w:t>
      </w:r>
      <w:r>
        <w:rPr>
          <w:rFonts w:hint="eastAsia" w:asciiTheme="minorEastAsia" w:hAnsiTheme="minorEastAsia" w:eastAsiaTheme="minorEastAsia" w:cstheme="minorEastAsia"/>
          <w:sz w:val="24"/>
          <w:szCs w:val="24"/>
        </w:rPr>
        <w:t>中有特殊规定的，从其规定。</w:t>
      </w:r>
    </w:p>
    <w:p w14:paraId="70831AF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D3D6EE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谈判</w:t>
      </w:r>
      <w:r>
        <w:rPr>
          <w:rFonts w:hint="eastAsia" w:asciiTheme="minorEastAsia" w:hAnsiTheme="minorEastAsia" w:eastAsiaTheme="minorEastAsia" w:cstheme="minorEastAsia"/>
          <w:sz w:val="24"/>
          <w:szCs w:val="24"/>
        </w:rPr>
        <w:t>文件要求完成本项目的全部相关费用。</w:t>
      </w:r>
    </w:p>
    <w:p w14:paraId="6C4A642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71F8339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4C773288">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10.5 本项目将按供应商所提交的单价和总价来支付本项目所需的费用。对供应商没有填写单价和总价的内容,将被认为这些项目费用已包括在报价中。</w:t>
      </w:r>
    </w:p>
    <w:p w14:paraId="08DC408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10.6 谈判结束，供应商进行网上最终报价。</w:t>
      </w:r>
    </w:p>
    <w:p w14:paraId="4DFAB624">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10.7 本次采购设有预算，供应商最终报价超过预算的，谈判小组将不予评议。</w:t>
      </w:r>
    </w:p>
    <w:p w14:paraId="5E0E3A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10.8 供应商的所有报价不得低于成本恶意竞争。</w:t>
      </w:r>
    </w:p>
    <w:p w14:paraId="394AC917">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11.响应有效期</w:t>
      </w:r>
    </w:p>
    <w:p w14:paraId="3A4B608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11.1 响应文件应在本竞争性谈判文件《供应商须知表》中规定的响应有效期内保持有效，响应有效期少于谈判文件规定期限的，其响应无效。成交人的响应有效期延长至项目验收合格之日。</w:t>
      </w:r>
    </w:p>
    <w:p w14:paraId="3003598C">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11.2 特别情况下，采购代理机构、采购人可于响应有效期满之前要求供应商同意延长有效期，要求与答复均为书面形式。供应商可以拒绝上述要求。对于同意该要求的供应商，既不要求也不允许其修改响应文件。</w:t>
      </w:r>
    </w:p>
    <w:p w14:paraId="5ED0CCC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12.响应</w:t>
      </w:r>
      <w:r>
        <w:rPr>
          <w:rFonts w:hint="eastAsia" w:asciiTheme="minorEastAsia" w:hAnsiTheme="minorEastAsia" w:eastAsiaTheme="minorEastAsia" w:cstheme="minorEastAsia"/>
          <w:b/>
          <w:bCs/>
          <w:sz w:val="24"/>
          <w:szCs w:val="24"/>
        </w:rPr>
        <w:t>文件的签署、盖章</w:t>
      </w:r>
    </w:p>
    <w:p w14:paraId="4316940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12.1 电子响应文件必须在规定签章处电子签章或手写签字后扫描上传进响应文件。</w:t>
      </w:r>
    </w:p>
    <w:p w14:paraId="6E9E92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12.2 竞争性谈判文件要求盖章的内容，一般通过电子营业执照加盖电子签章。</w:t>
      </w:r>
    </w:p>
    <w:p w14:paraId="31213433">
      <w:pPr>
        <w:pStyle w:val="4"/>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14:paraId="7019DA8A">
      <w:pPr>
        <w:pStyle w:val="4"/>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14:paraId="38ED5E5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w:t>
      </w:r>
      <w:r>
        <w:rPr>
          <w:rFonts w:hint="eastAsia" w:cs="宋体"/>
          <w:b/>
          <w:bCs/>
          <w:snapToGrid w:val="0"/>
          <w:color w:val="000000"/>
          <w:spacing w:val="-1"/>
          <w:kern w:val="0"/>
          <w:sz w:val="24"/>
          <w:szCs w:val="24"/>
          <w:lang w:val="en-US" w:eastAsia="zh-CN" w:bidi="ar-SA"/>
        </w:rPr>
        <w:t>3</w:t>
      </w:r>
      <w:r>
        <w:rPr>
          <w:rFonts w:hint="eastAsia" w:ascii="宋体" w:hAnsi="宋体" w:eastAsia="宋体" w:cs="宋体"/>
          <w:b/>
          <w:bCs/>
          <w:snapToGrid w:val="0"/>
          <w:color w:val="000000"/>
          <w:spacing w:val="-1"/>
          <w:kern w:val="0"/>
          <w:sz w:val="24"/>
          <w:szCs w:val="24"/>
          <w:lang w:val="en-US" w:eastAsia="zh-CN" w:bidi="ar-SA"/>
        </w:rPr>
        <w:t>.响应文件的提交</w:t>
      </w:r>
    </w:p>
    <w:p w14:paraId="62625F1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电子营业执照应用平台系统在上传截止时间前完成制作软件生成的加密电子响应文件的上传。未在上传截止时间前完成上传的，视为逾期提交。逾期提交的响应文件不予受理。</w:t>
      </w:r>
    </w:p>
    <w:p w14:paraId="466EF42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13.2 采购人及采购代理机构拒绝接受通过电子交易平台以外任何形式提交的响应文件。</w:t>
      </w:r>
    </w:p>
    <w:p w14:paraId="44F68DA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14.响应文件上传截止时间</w:t>
      </w:r>
    </w:p>
    <w:p w14:paraId="67FC8D9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供应商应在采购文件要求响应文件上传截止时间前，将电子响应文件提交至电子交易平台。</w:t>
      </w:r>
    </w:p>
    <w:p w14:paraId="5B943B0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15.响应文件的修改与撤回</w:t>
      </w:r>
    </w:p>
    <w:p w14:paraId="76639C5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15.1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674F107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32F76EA">
      <w:pPr>
        <w:keepNext w:val="0"/>
        <w:keepLines w:val="0"/>
        <w:pageBreakBefore w:val="0"/>
        <w:kinsoku/>
        <w:wordWrap w:val="0"/>
        <w:overflowPunct/>
        <w:topLinePunct w:val="0"/>
        <w:bidi w:val="0"/>
        <w:spacing w:line="256" w:lineRule="auto"/>
        <w:jc w:val="both"/>
        <w:rPr>
          <w:rFonts w:ascii="Arial"/>
          <w:sz w:val="21"/>
        </w:rPr>
      </w:pPr>
    </w:p>
    <w:p w14:paraId="412578E1">
      <w:pPr>
        <w:keepNext w:val="0"/>
        <w:keepLines w:val="0"/>
        <w:pageBreakBefore w:val="0"/>
        <w:kinsoku/>
        <w:wordWrap w:val="0"/>
        <w:overflowPunct/>
        <w:topLinePunct w:val="0"/>
        <w:bidi w:val="0"/>
        <w:spacing w:line="256" w:lineRule="auto"/>
        <w:jc w:val="both"/>
        <w:rPr>
          <w:rFonts w:ascii="Arial"/>
          <w:sz w:val="21"/>
        </w:rPr>
      </w:pPr>
    </w:p>
    <w:p w14:paraId="52ADD3CD">
      <w:pPr>
        <w:pStyle w:val="4"/>
        <w:keepNext w:val="0"/>
        <w:keepLines w:val="0"/>
        <w:pageBreakBefore w:val="0"/>
        <w:kinsoku/>
        <w:wordWrap w:val="0"/>
        <w:overflowPunct/>
        <w:topLinePunct w:val="0"/>
        <w:bidi w:val="0"/>
        <w:spacing w:before="1" w:line="218" w:lineRule="auto"/>
        <w:jc w:val="both"/>
        <w:rPr>
          <w:sz w:val="24"/>
          <w:szCs w:val="24"/>
        </w:rPr>
      </w:pPr>
    </w:p>
    <w:p w14:paraId="2CBA7F2F">
      <w:pPr>
        <w:keepNext w:val="0"/>
        <w:keepLines w:val="0"/>
        <w:pageBreakBefore w:val="0"/>
        <w:kinsoku/>
        <w:wordWrap w:val="0"/>
        <w:overflowPunct/>
        <w:topLinePunct w:val="0"/>
        <w:bidi w:val="0"/>
        <w:spacing w:line="218" w:lineRule="auto"/>
        <w:jc w:val="both"/>
        <w:rPr>
          <w:sz w:val="24"/>
          <w:szCs w:val="24"/>
        </w:rPr>
        <w:sectPr>
          <w:headerReference r:id="rId6" w:type="default"/>
          <w:footerReference r:id="rId7" w:type="default"/>
          <w:pgSz w:w="11907" w:h="16840"/>
          <w:pgMar w:top="1440" w:right="1800" w:bottom="1440" w:left="1800" w:header="878" w:footer="886" w:gutter="0"/>
          <w:pgNumType w:fmt="decimal" w:start="1"/>
          <w:cols w:space="720" w:num="1"/>
        </w:sectPr>
      </w:pPr>
    </w:p>
    <w:p w14:paraId="738B3674">
      <w:pPr>
        <w:pStyle w:val="4"/>
        <w:keepNext w:val="0"/>
        <w:keepLines w:val="0"/>
        <w:pageBreakBefore w:val="0"/>
        <w:kinsoku/>
        <w:wordWrap w:val="0"/>
        <w:overflowPunct/>
        <w:topLinePunct w:val="0"/>
        <w:bidi w:val="0"/>
        <w:spacing w:before="353" w:line="219" w:lineRule="auto"/>
        <w:jc w:val="center"/>
        <w:rPr>
          <w:rFonts w:hint="eastAsia" w:eastAsia="宋体"/>
          <w:sz w:val="36"/>
          <w:szCs w:val="36"/>
          <w:lang w:eastAsia="zh-CN"/>
          <w14:textOutline w14:w="2306" w14:cap="flat" w14:cmpd="sng">
            <w14:solidFill>
              <w14:srgbClr w14:val="000000"/>
            </w14:solidFill>
            <w14:prstDash w14:val="solid"/>
            <w14:miter w14:val="0"/>
          </w14:textOutline>
        </w:rPr>
      </w:pPr>
      <w:r>
        <w:rPr>
          <w:sz w:val="36"/>
          <w:szCs w:val="36"/>
          <w14:textOutline w14:w="2306" w14:cap="flat" w14:cmpd="sng">
            <w14:solidFill>
              <w14:srgbClr w14:val="000000"/>
            </w14:solidFill>
            <w14:prstDash w14:val="solid"/>
            <w14:miter w14:val="0"/>
          </w14:textOutline>
        </w:rPr>
        <w:t>第</w:t>
      </w:r>
      <w:r>
        <w:rPr>
          <w:rFonts w:hint="eastAsia"/>
          <w:sz w:val="36"/>
          <w:szCs w:val="36"/>
          <w:lang w:val="en-US" w:eastAsia="zh-CN"/>
          <w14:textOutline w14:w="2306" w14:cap="flat" w14:cmpd="sng">
            <w14:solidFill>
              <w14:srgbClr w14:val="000000"/>
            </w14:solidFill>
            <w14:prstDash w14:val="solid"/>
            <w14:miter w14:val="0"/>
          </w14:textOutline>
        </w:rPr>
        <w:t>四</w:t>
      </w:r>
      <w:r>
        <w:rPr>
          <w:sz w:val="36"/>
          <w:szCs w:val="36"/>
          <w14:textOutline w14:w="2306" w14:cap="flat" w14:cmpd="sng">
            <w14:solidFill>
              <w14:srgbClr w14:val="000000"/>
            </w14:solidFill>
            <w14:prstDash w14:val="solid"/>
            <w14:miter w14:val="0"/>
          </w14:textOutline>
        </w:rPr>
        <w:t>章</w:t>
      </w:r>
      <w:r>
        <w:rPr>
          <w:rFonts w:hint="eastAsia"/>
          <w:sz w:val="36"/>
          <w:szCs w:val="36"/>
          <w:lang w:val="en-US" w:eastAsia="zh-CN"/>
          <w14:textOutline w14:w="2306" w14:cap="flat" w14:cmpd="sng">
            <w14:solidFill>
              <w14:srgbClr w14:val="000000"/>
            </w14:solidFill>
            <w14:prstDash w14:val="solid"/>
            <w14:miter w14:val="0"/>
          </w14:textOutline>
        </w:rPr>
        <w:t xml:space="preserve"> </w:t>
      </w:r>
      <w:r>
        <w:rPr>
          <w:rFonts w:hint="eastAsia"/>
          <w:sz w:val="36"/>
          <w:szCs w:val="36"/>
          <w:lang w:eastAsia="zh-CN"/>
          <w14:textOutline w14:w="2306" w14:cap="flat" w14:cmpd="sng">
            <w14:solidFill>
              <w14:srgbClr w14:val="000000"/>
            </w14:solidFill>
            <w14:prstDash w14:val="solid"/>
            <w14:miter w14:val="0"/>
          </w14:textOutline>
        </w:rPr>
        <w:t>评审程序和评定成交的标准</w:t>
      </w:r>
    </w:p>
    <w:p w14:paraId="4744FF91">
      <w:pPr>
        <w:pStyle w:val="4"/>
        <w:keepNext w:val="0"/>
        <w:keepLines w:val="0"/>
        <w:pageBreakBefore w:val="0"/>
        <w:kinsoku/>
        <w:wordWrap w:val="0"/>
        <w:overflowPunct/>
        <w:topLinePunct w:val="0"/>
        <w:bidi w:val="0"/>
        <w:spacing w:before="256" w:line="220" w:lineRule="auto"/>
        <w:ind w:left="3702"/>
        <w:jc w:val="both"/>
        <w:outlineLvl w:val="1"/>
        <w:rPr>
          <w:spacing w:val="-2"/>
          <w:sz w:val="24"/>
          <w:szCs w:val="24"/>
          <w14:textOutline w14:w="1537" w14:cap="flat" w14:cmpd="sng">
            <w14:solidFill>
              <w14:srgbClr w14:val="000000"/>
            </w14:solidFill>
            <w14:prstDash w14:val="solid"/>
            <w14:miter w14:val="0"/>
          </w14:textOutline>
        </w:rPr>
      </w:pPr>
    </w:p>
    <w:p w14:paraId="026173B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一、编制、确认竞争性谈判文件</w:t>
      </w:r>
    </w:p>
    <w:p w14:paraId="04B1087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根据采购项目特点和采购实际需求编制竞争性谈判文件，编制的竞争性谈判文件应由采购人审核并确认。</w:t>
      </w:r>
    </w:p>
    <w:p w14:paraId="525AA46B">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1B0928D">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二、发布竞争性谈判公告，邀请供应商参加谈判</w:t>
      </w:r>
    </w:p>
    <w:p w14:paraId="2CFBE5C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竞争性谈判文件经采购人书面确认后，将在指定媒体和南阳市公共资源交易中心网发布竞争性谈判公告。供应商按照公告和竞争性谈判文件要求制作并递交响应文件。</w:t>
      </w:r>
    </w:p>
    <w:p w14:paraId="3764005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C4C4DA1">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三、组建谈判小组</w:t>
      </w:r>
    </w:p>
    <w:p w14:paraId="4786C01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谈判小组，竞争性谈判小组由采购人代表和评审专家共3人以上单数组成，其中评审专家人数不得少于谈判小组成员总数的2/3。评审专家应当从政府采购评审专家库内相关专业的专家名单中随机抽取。技术复杂、专业性强的采购项目，评审专家中应当包含1名法律专家。达到公开招标数额标准的货物或者服务采购项目，或者达到招标规模标准的政府采购工程，竞争性谈判小组应当由5人以上单数组成。</w:t>
      </w:r>
    </w:p>
    <w:p w14:paraId="6FBE63D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竞争性谈判小组对竞争性谈判文件进行审核并确认，负责对响应文件进行评审、质疑、评估、比较、确定成交候选人。</w:t>
      </w:r>
    </w:p>
    <w:p w14:paraId="10DD2F3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评审专家应当严格遵守评审工作纪律，按照客观、公正、审慎的原则，根据谈判文件规定的评审程序和评定成交的标准进行独立评审。</w:t>
      </w:r>
    </w:p>
    <w:p w14:paraId="776F20D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本人CA锁</w:t>
      </w:r>
      <w:r>
        <w:rPr>
          <w:rFonts w:hint="eastAsia" w:asciiTheme="minorEastAsia" w:hAnsiTheme="minorEastAsia" w:eastAsiaTheme="minorEastAsia" w:cstheme="minorEastAsia"/>
          <w:snapToGrid w:val="0"/>
          <w:color w:val="000000"/>
          <w:spacing w:val="3"/>
          <w:kern w:val="0"/>
          <w:sz w:val="24"/>
          <w:szCs w:val="24"/>
          <w:lang w:val="en-US" w:eastAsia="zh-CN" w:bidi="ar-SA"/>
        </w:rPr>
        <w:t>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43E81F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4EE2F56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736E45B9">
      <w:pPr>
        <w:pStyle w:val="10"/>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322C966">
      <w:pPr>
        <w:pStyle w:val="10"/>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0" w:firstLine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14:paraId="76B1BD4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电子营业执照扫码进行加密，供应商在解密前须自行检查电子营业执照的有效性。解密时未在开启响应文件时间后30分钟内进行解密成功的视为撤销其响应文件（因电子开标系统原因除外）。</w:t>
      </w:r>
    </w:p>
    <w:p w14:paraId="24772A0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30AF7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14:paraId="29D1D9C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谈判小组对供应商提交的响应文件进行评审。主要对响应文件的有效性、完整性和响应程度进行审查，具体包括：</w:t>
      </w:r>
    </w:p>
    <w:p w14:paraId="245F363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1.资格性审查</w:t>
      </w:r>
    </w:p>
    <w:tbl>
      <w:tblPr>
        <w:tblStyle w:val="16"/>
        <w:tblW w:w="8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2"/>
        <w:gridCol w:w="1298"/>
        <w:gridCol w:w="3796"/>
        <w:gridCol w:w="2684"/>
      </w:tblGrid>
      <w:tr w14:paraId="05A64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492" w:type="dxa"/>
            <w:vAlign w:val="top"/>
          </w:tcPr>
          <w:p w14:paraId="622B5348">
            <w:pPr>
              <w:keepNext w:val="0"/>
              <w:keepLines w:val="0"/>
              <w:pageBreakBefore w:val="0"/>
              <w:kinsoku/>
              <w:wordWrap w:val="0"/>
              <w:overflowPunct/>
              <w:topLinePunct w:val="0"/>
              <w:bidi w:val="0"/>
              <w:spacing w:before="119" w:line="222"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298" w:type="dxa"/>
            <w:vAlign w:val="top"/>
          </w:tcPr>
          <w:p w14:paraId="4384F64D">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796" w:type="dxa"/>
            <w:vAlign w:val="top"/>
          </w:tcPr>
          <w:p w14:paraId="689BDFA3">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84" w:type="dxa"/>
            <w:vAlign w:val="top"/>
          </w:tcPr>
          <w:p w14:paraId="3ACB15E3">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2C4A9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92" w:type="dxa"/>
            <w:vAlign w:val="center"/>
          </w:tcPr>
          <w:p w14:paraId="522DA06B">
            <w:pPr>
              <w:pStyle w:val="1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4A3843E8">
            <w:pPr>
              <w:pStyle w:val="1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8" w:type="dxa"/>
            <w:vAlign w:val="center"/>
          </w:tcPr>
          <w:p w14:paraId="17DEE60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796" w:type="dxa"/>
            <w:vAlign w:val="top"/>
          </w:tcPr>
          <w:p w14:paraId="5F65E7B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131AE80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7BE54C2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0BBB123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274F39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7A57000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47CB910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2684" w:type="dxa"/>
            <w:vAlign w:val="top"/>
          </w:tcPr>
          <w:p w14:paraId="1254C3F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14:paraId="492A4F4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7A519E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100C19E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519C931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39BF5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2" w:type="dxa"/>
            <w:vAlign w:val="top"/>
          </w:tcPr>
          <w:p w14:paraId="28168928">
            <w:pPr>
              <w:pStyle w:val="1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298" w:type="dxa"/>
            <w:vAlign w:val="top"/>
          </w:tcPr>
          <w:p w14:paraId="29FD6ADB">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796" w:type="dxa"/>
            <w:vAlign w:val="top"/>
          </w:tcPr>
          <w:p w14:paraId="765CC531">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竞争性谈判公告</w:t>
            </w:r>
            <w:r>
              <w:rPr>
                <w:rFonts w:hint="eastAsia" w:asciiTheme="minorEastAsia" w:hAnsiTheme="minorEastAsia" w:eastAsiaTheme="minorEastAsia" w:cstheme="minorEastAsia"/>
                <w:spacing w:val="-2"/>
                <w:sz w:val="24"/>
                <w:szCs w:val="24"/>
              </w:rPr>
              <w:t>》</w:t>
            </w:r>
          </w:p>
        </w:tc>
        <w:tc>
          <w:tcPr>
            <w:tcW w:w="2684" w:type="dxa"/>
            <w:vAlign w:val="top"/>
          </w:tcPr>
          <w:p w14:paraId="247E110C">
            <w:pPr>
              <w:pStyle w:val="1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644B1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492" w:type="dxa"/>
            <w:vAlign w:val="top"/>
          </w:tcPr>
          <w:p w14:paraId="2C01D105">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B446D66">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2716519">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410A509">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6C0EEB0">
            <w:pPr>
              <w:pStyle w:val="1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46B4806">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980EEA4">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D3C4F8">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A6F3B6A">
            <w:pPr>
              <w:pStyle w:val="1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0AB3193">
            <w:pPr>
              <w:pStyle w:val="17"/>
              <w:keepNext w:val="0"/>
              <w:keepLines w:val="0"/>
              <w:pageBreakBefore w:val="0"/>
              <w:kinsoku/>
              <w:wordWrap w:val="0"/>
              <w:overflowPunct/>
              <w:topLinePunct w:val="0"/>
              <w:bidi w:val="0"/>
              <w:spacing w:before="49" w:line="19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298" w:type="dxa"/>
            <w:vAlign w:val="top"/>
          </w:tcPr>
          <w:p w14:paraId="12D187B9">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5CA19D4">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B1690A4">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9636B7E">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49A2E55">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76E8B18">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61CF12E">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7C85C15">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A599104">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CF5AC6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796" w:type="dxa"/>
            <w:vAlign w:val="top"/>
          </w:tcPr>
          <w:p w14:paraId="3F6B14CA">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0E160177">
            <w:pPr>
              <w:pStyle w:val="1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16C9F002">
            <w:pPr>
              <w:pStyle w:val="1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84" w:type="dxa"/>
            <w:vAlign w:val="top"/>
          </w:tcPr>
          <w:p w14:paraId="4826348A">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84C87A9">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5E73460">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D969D04">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ABCDAD2">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2C9E990">
            <w:pPr>
              <w:pStyle w:val="1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DEEEEF4">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EBE629A">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A1ADFC">
            <w:pPr>
              <w:pStyle w:val="1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E521956">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3F783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92" w:type="dxa"/>
            <w:vAlign w:val="top"/>
          </w:tcPr>
          <w:p w14:paraId="66485F04">
            <w:pPr>
              <w:pStyle w:val="17"/>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8" w:type="dxa"/>
            <w:vAlign w:val="top"/>
          </w:tcPr>
          <w:p w14:paraId="234DEC8B">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796" w:type="dxa"/>
            <w:vAlign w:val="top"/>
          </w:tcPr>
          <w:p w14:paraId="36C1B7BB">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p>
        </w:tc>
        <w:tc>
          <w:tcPr>
            <w:tcW w:w="2684" w:type="dxa"/>
            <w:vAlign w:val="top"/>
          </w:tcPr>
          <w:p w14:paraId="1AE9C951">
            <w:pPr>
              <w:pStyle w:val="1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51F17779">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F01361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p>
    <w:p w14:paraId="683E5B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文件的各项要求。</w:t>
      </w:r>
    </w:p>
    <w:p w14:paraId="7645E74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14C8A93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46D57C9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对谈判文件的符合性和技术响应程度、项目方案或技术响应程度、综合实力、售后服务以及报价等因素，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12B1816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文件的响应文件按无效响应处理，</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小组应当告知提交响应文件的供应商。</w:t>
      </w:r>
    </w:p>
    <w:p w14:paraId="24B001D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39EC39B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0CE8DF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w:t>
      </w:r>
      <w:r>
        <w:rPr>
          <w:rFonts w:hint="eastAsia" w:asciiTheme="minorEastAsia" w:hAnsiTheme="minorEastAsia" w:eastAsiaTheme="minorEastAsia" w:cstheme="minorEastAsia"/>
          <w:b/>
          <w:bCs/>
          <w:snapToGrid w:val="0"/>
          <w:color w:val="000000"/>
          <w:spacing w:val="3"/>
          <w:kern w:val="0"/>
          <w:sz w:val="24"/>
          <w:szCs w:val="24"/>
          <w:lang w:val="en-US" w:eastAsia="zh-CN" w:bidi="ar-SA"/>
        </w:rPr>
        <w:t>谈判</w:t>
      </w:r>
      <w:r>
        <w:rPr>
          <w:rFonts w:hint="eastAsia" w:asciiTheme="minorEastAsia" w:hAnsiTheme="minorEastAsia" w:eastAsiaTheme="minorEastAsia" w:cstheme="minorEastAsia"/>
          <w:b/>
          <w:bCs/>
          <w:snapToGrid w:val="0"/>
          <w:color w:val="000000"/>
          <w:spacing w:val="3"/>
          <w:kern w:val="0"/>
          <w:sz w:val="24"/>
          <w:szCs w:val="24"/>
          <w:lang w:val="en-US" w:eastAsia="en-US" w:bidi="ar-SA"/>
        </w:rPr>
        <w:t>文件标明的资格要求的；</w:t>
      </w:r>
    </w:p>
    <w:p w14:paraId="1A7BBEB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61A1B5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789B8B5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电子营业执照</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14:paraId="6205CD20">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其他不符合谈判文件实质性要求的。</w:t>
      </w:r>
    </w:p>
    <w:p w14:paraId="2CFCE310">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28F468B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165CF31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4A3B23A7">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5127809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rFonts w:hint="eastAsia"/>
          <w:sz w:val="24"/>
          <w:szCs w:val="24"/>
          <w:lang w:eastAsia="zh-CN"/>
        </w:rPr>
        <w:t>谈判</w:t>
      </w:r>
      <w:r>
        <w:rPr>
          <w:sz w:val="24"/>
          <w:szCs w:val="24"/>
        </w:rPr>
        <w:t>、响应文件有关事项的澄清、说明或者更正和最后报价</w:t>
      </w:r>
    </w:p>
    <w:p w14:paraId="3245658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rFonts w:hint="eastAsia"/>
          <w:sz w:val="24"/>
          <w:szCs w:val="24"/>
          <w:lang w:eastAsia="zh-CN"/>
        </w:rPr>
        <w:t>谈判</w:t>
      </w:r>
      <w:r>
        <w:rPr>
          <w:sz w:val="24"/>
          <w:szCs w:val="24"/>
        </w:rPr>
        <w:t>小组所有成员将集中与单一供应商分别进行</w:t>
      </w:r>
      <w:r>
        <w:rPr>
          <w:rFonts w:hint="eastAsia"/>
          <w:sz w:val="24"/>
          <w:szCs w:val="24"/>
          <w:lang w:eastAsia="zh-CN"/>
        </w:rPr>
        <w:t>谈判</w:t>
      </w:r>
      <w:r>
        <w:rPr>
          <w:sz w:val="24"/>
          <w:szCs w:val="24"/>
        </w:rPr>
        <w:t>，并给予所有参加</w:t>
      </w:r>
      <w:r>
        <w:rPr>
          <w:rFonts w:hint="eastAsia"/>
          <w:sz w:val="24"/>
          <w:szCs w:val="24"/>
          <w:lang w:eastAsia="zh-CN"/>
        </w:rPr>
        <w:t>谈判</w:t>
      </w:r>
      <w:r>
        <w:rPr>
          <w:sz w:val="24"/>
          <w:szCs w:val="24"/>
        </w:rPr>
        <w:t>的供应商平等的</w:t>
      </w:r>
      <w:r>
        <w:rPr>
          <w:rFonts w:hint="eastAsia"/>
          <w:sz w:val="24"/>
          <w:szCs w:val="24"/>
          <w:lang w:eastAsia="zh-CN"/>
        </w:rPr>
        <w:t>谈判</w:t>
      </w:r>
      <w:r>
        <w:rPr>
          <w:sz w:val="24"/>
          <w:szCs w:val="24"/>
        </w:rPr>
        <w:t>机会。在谈判中，谈判的任何一方不得透露与谈判有关的其他供应商的技术资料、价格和其他信息。</w:t>
      </w:r>
    </w:p>
    <w:p w14:paraId="4A9A1E0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w:t>
      </w:r>
      <w:r>
        <w:rPr>
          <w:rFonts w:hint="eastAsia"/>
          <w:sz w:val="24"/>
          <w:szCs w:val="24"/>
          <w:lang w:eastAsia="zh-CN"/>
        </w:rPr>
        <w:t>谈判</w:t>
      </w:r>
      <w:r>
        <w:rPr>
          <w:sz w:val="24"/>
          <w:szCs w:val="24"/>
        </w:rPr>
        <w:t>过程中，</w:t>
      </w:r>
      <w:r>
        <w:rPr>
          <w:rFonts w:hint="eastAsia"/>
          <w:sz w:val="24"/>
          <w:szCs w:val="24"/>
          <w:lang w:eastAsia="zh-CN"/>
        </w:rPr>
        <w:t>谈判</w:t>
      </w:r>
      <w:r>
        <w:rPr>
          <w:sz w:val="24"/>
          <w:szCs w:val="24"/>
        </w:rPr>
        <w:t>小组可以根据</w:t>
      </w:r>
      <w:r>
        <w:rPr>
          <w:rFonts w:hint="eastAsia"/>
          <w:sz w:val="24"/>
          <w:szCs w:val="24"/>
          <w:lang w:eastAsia="zh-CN"/>
        </w:rPr>
        <w:t>谈判</w:t>
      </w:r>
      <w:r>
        <w:rPr>
          <w:sz w:val="24"/>
          <w:szCs w:val="24"/>
        </w:rPr>
        <w:t>文件和</w:t>
      </w:r>
      <w:r>
        <w:rPr>
          <w:rFonts w:hint="eastAsia"/>
          <w:sz w:val="24"/>
          <w:szCs w:val="24"/>
          <w:lang w:eastAsia="zh-CN"/>
        </w:rPr>
        <w:t>谈判</w:t>
      </w:r>
      <w:r>
        <w:rPr>
          <w:sz w:val="24"/>
          <w:szCs w:val="24"/>
        </w:rPr>
        <w:t>情况实质性变动采购需求中的技术、服务要求以及合同草案条款，但不得变动</w:t>
      </w:r>
      <w:r>
        <w:rPr>
          <w:rFonts w:hint="eastAsia"/>
          <w:sz w:val="24"/>
          <w:szCs w:val="24"/>
          <w:lang w:eastAsia="zh-CN"/>
        </w:rPr>
        <w:t>谈判</w:t>
      </w:r>
      <w:r>
        <w:rPr>
          <w:sz w:val="24"/>
          <w:szCs w:val="24"/>
        </w:rPr>
        <w:t>文件中的其他内容。实质性变动的内容，须经采购人代表确认。</w:t>
      </w:r>
    </w:p>
    <w:p w14:paraId="2869632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w:t>
      </w:r>
      <w:r>
        <w:rPr>
          <w:rFonts w:hint="eastAsia"/>
          <w:sz w:val="24"/>
          <w:szCs w:val="24"/>
          <w:lang w:eastAsia="zh-CN"/>
        </w:rPr>
        <w:t>谈判</w:t>
      </w:r>
      <w:r>
        <w:rPr>
          <w:sz w:val="24"/>
          <w:szCs w:val="24"/>
        </w:rPr>
        <w:t>文件作出的实质性变动是</w:t>
      </w:r>
      <w:r>
        <w:rPr>
          <w:rFonts w:hint="eastAsia"/>
          <w:sz w:val="24"/>
          <w:szCs w:val="24"/>
          <w:lang w:eastAsia="zh-CN"/>
        </w:rPr>
        <w:t>谈判</w:t>
      </w:r>
      <w:r>
        <w:rPr>
          <w:sz w:val="24"/>
          <w:szCs w:val="24"/>
        </w:rPr>
        <w:t>文件的有效组成部分，</w:t>
      </w:r>
      <w:r>
        <w:rPr>
          <w:rFonts w:hint="eastAsia"/>
          <w:sz w:val="24"/>
          <w:szCs w:val="24"/>
          <w:lang w:eastAsia="zh-CN"/>
        </w:rPr>
        <w:t>谈判</w:t>
      </w:r>
      <w:r>
        <w:rPr>
          <w:sz w:val="24"/>
          <w:szCs w:val="24"/>
        </w:rPr>
        <w:t>小组应当及时</w:t>
      </w:r>
      <w:r>
        <w:rPr>
          <w:rFonts w:hint="eastAsia"/>
          <w:sz w:val="24"/>
          <w:szCs w:val="24"/>
          <w:lang w:val="en-US" w:eastAsia="zh-CN"/>
        </w:rPr>
        <w:t>通过</w:t>
      </w:r>
      <w:r>
        <w:rPr>
          <w:rFonts w:hint="eastAsia"/>
          <w:sz w:val="24"/>
          <w:szCs w:val="24"/>
        </w:rPr>
        <w:t>评标系统通知</w:t>
      </w:r>
      <w:r>
        <w:rPr>
          <w:sz w:val="24"/>
          <w:szCs w:val="24"/>
        </w:rPr>
        <w:t>所有参加</w:t>
      </w:r>
      <w:r>
        <w:rPr>
          <w:rFonts w:hint="eastAsia"/>
          <w:sz w:val="24"/>
          <w:szCs w:val="24"/>
          <w:lang w:eastAsia="zh-CN"/>
        </w:rPr>
        <w:t>谈判</w:t>
      </w:r>
      <w:r>
        <w:rPr>
          <w:sz w:val="24"/>
          <w:szCs w:val="24"/>
        </w:rPr>
        <w:t>的供应商。</w:t>
      </w:r>
      <w:r>
        <w:rPr>
          <w:rFonts w:hint="eastAsia"/>
          <w:sz w:val="24"/>
          <w:szCs w:val="24"/>
        </w:rPr>
        <w:t>具体</w:t>
      </w:r>
      <w:r>
        <w:rPr>
          <w:rFonts w:hint="eastAsia"/>
          <w:sz w:val="24"/>
          <w:szCs w:val="24"/>
          <w:lang w:eastAsia="zh-CN"/>
        </w:rPr>
        <w:t>谈判</w:t>
      </w:r>
      <w:r>
        <w:rPr>
          <w:rFonts w:hint="eastAsia"/>
          <w:sz w:val="24"/>
          <w:szCs w:val="24"/>
        </w:rPr>
        <w:t>内容由</w:t>
      </w:r>
      <w:r>
        <w:rPr>
          <w:rFonts w:hint="eastAsia"/>
          <w:sz w:val="24"/>
          <w:szCs w:val="24"/>
          <w:lang w:eastAsia="zh-CN"/>
        </w:rPr>
        <w:t>谈判</w:t>
      </w:r>
      <w:r>
        <w:rPr>
          <w:rFonts w:hint="eastAsia"/>
          <w:sz w:val="24"/>
          <w:szCs w:val="24"/>
        </w:rPr>
        <w:t>小组根据</w:t>
      </w:r>
      <w:r>
        <w:rPr>
          <w:rFonts w:hint="eastAsia"/>
          <w:sz w:val="24"/>
          <w:szCs w:val="24"/>
          <w:lang w:eastAsia="zh-CN"/>
        </w:rPr>
        <w:t>谈判</w:t>
      </w:r>
      <w:r>
        <w:rPr>
          <w:rFonts w:hint="eastAsia"/>
          <w:sz w:val="24"/>
          <w:szCs w:val="24"/>
        </w:rPr>
        <w:t>实际情况确定。</w:t>
      </w:r>
    </w:p>
    <w:p w14:paraId="0626178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文件的变动情况和</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系统以在线形式提交承诺，并用电子营业执照签章。</w:t>
      </w:r>
    </w:p>
    <w:p w14:paraId="763B8EA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5BD15A0F">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小组在对响应文件的有效性、完整性和响应程度进行审查时，可以要求供应商对响应文件中含义不明确、同类问题表述不一致或者有明显文字和计算错误的内容等作出必要的澄清、说明或者更正。</w:t>
      </w:r>
    </w:p>
    <w:p w14:paraId="055599B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133435A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小组通过电子评标系统向所有实质性响应的供应商发出最后报价要求，各供应商在会员系统中收到有关信息后，必须在规定时间内给出答复，并在签章后提交。提交最后报价的供应商不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家。《政府采购非招标采购方式管理办法》第二十七条第二款规定的情形除外。最后报价是响应文件的有效组成部分。</w:t>
      </w:r>
    </w:p>
    <w:p w14:paraId="3A837091">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文件不能详细列明采购标的的技术、服务要求，需经</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交最后报价。《政府采购非招标采购方式管理办法》第二十七条第二款规定的情形除外。</w:t>
      </w:r>
    </w:p>
    <w:p w14:paraId="0021DFA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情况退出</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w:t>
      </w:r>
    </w:p>
    <w:p w14:paraId="2B0BAD4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00C5107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5A11A42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sz w:val="24"/>
          <w:szCs w:val="24"/>
        </w:rPr>
        <w:t>评定成交的标准与确定成交候选人名单</w:t>
      </w:r>
    </w:p>
    <w:p w14:paraId="52E9613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谈判小组应当从质量和服务均能满足采购文件实质性响应要求的供应商中，按照报价由低到高的顺序提出3名以上成交候选人，并编写评审报告。</w:t>
      </w:r>
    </w:p>
    <w:p w14:paraId="0A591F9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8</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2 谈判</w:t>
      </w:r>
      <w:r>
        <w:rPr>
          <w:rFonts w:hint="eastAsia" w:cs="宋体"/>
          <w:b/>
          <w:bCs/>
          <w:snapToGrid w:val="0"/>
          <w:color w:val="000000"/>
          <w:kern w:val="0"/>
          <w:sz w:val="24"/>
          <w:szCs w:val="24"/>
          <w:lang w:val="en-US" w:eastAsia="en-US" w:bidi="ar-SA"/>
        </w:rPr>
        <w:t>小组要对</w:t>
      </w:r>
      <w:r>
        <w:rPr>
          <w:rFonts w:hint="eastAsia" w:cs="宋体"/>
          <w:b/>
          <w:bCs/>
          <w:snapToGrid w:val="0"/>
          <w:color w:val="000000"/>
          <w:kern w:val="0"/>
          <w:sz w:val="24"/>
          <w:szCs w:val="24"/>
          <w:lang w:val="en-US" w:eastAsia="zh-CN" w:bidi="ar-SA"/>
        </w:rPr>
        <w:t>评审结果</w:t>
      </w:r>
      <w:r>
        <w:rPr>
          <w:rFonts w:hint="eastAsia" w:cs="宋体"/>
          <w:b/>
          <w:bCs/>
          <w:snapToGrid w:val="0"/>
          <w:color w:val="000000"/>
          <w:kern w:val="0"/>
          <w:sz w:val="24"/>
          <w:szCs w:val="24"/>
          <w:lang w:val="en-US" w:eastAsia="en-US" w:bidi="ar-SA"/>
        </w:rPr>
        <w:t>进行复核，特别是对排名第一的、报价最低的、响应文件被认定为无效的情形进行重点复核。</w:t>
      </w:r>
    </w:p>
    <w:p w14:paraId="743348F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default" w:cs="宋体"/>
          <w:snapToGrid w:val="0"/>
          <w:color w:val="000000"/>
          <w:kern w:val="0"/>
          <w:sz w:val="24"/>
          <w:szCs w:val="24"/>
          <w:lang w:val="en-US" w:eastAsia="zh-CN"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☑谈判</w:t>
      </w:r>
      <w:r>
        <w:rPr>
          <w:rFonts w:hint="eastAsia" w:cs="宋体"/>
          <w:snapToGrid w:val="0"/>
          <w:color w:val="000000"/>
          <w:kern w:val="0"/>
          <w:sz w:val="24"/>
          <w:szCs w:val="24"/>
          <w:lang w:val="en-US" w:eastAsia="en-US" w:bidi="ar-SA"/>
        </w:rPr>
        <w:t>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756187E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小组直接确定成交供应商。</w:t>
      </w:r>
    </w:p>
    <w:p w14:paraId="2FA7CF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报告违法行为</w:t>
      </w:r>
    </w:p>
    <w:p w14:paraId="0718679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ascii="Arial"/>
          <w:b/>
          <w:bCs/>
          <w:sz w:val="21"/>
        </w:rPr>
      </w:pPr>
      <w:r>
        <w:rPr>
          <w:rFonts w:hint="eastAsia" w:cs="宋体"/>
          <w:b/>
          <w:bCs/>
          <w:snapToGrid w:val="0"/>
          <w:color w:val="000000"/>
          <w:kern w:val="0"/>
          <w:sz w:val="24"/>
          <w:szCs w:val="24"/>
          <w:lang w:val="en-US" w:eastAsia="zh-CN" w:bidi="ar-SA"/>
        </w:rPr>
        <w:t>谈判</w:t>
      </w:r>
      <w:r>
        <w:rPr>
          <w:rFonts w:hint="eastAsia" w:cs="宋体"/>
          <w:b/>
          <w:bCs/>
          <w:snapToGrid w:val="0"/>
          <w:color w:val="000000"/>
          <w:kern w:val="0"/>
          <w:sz w:val="24"/>
          <w:szCs w:val="24"/>
          <w:lang w:val="en-US" w:eastAsia="en-US" w:bidi="ar-SA"/>
        </w:rPr>
        <w:t>小组在评审过程中发现供应商有行贿、</w:t>
      </w:r>
      <w:r>
        <w:rPr>
          <w:rFonts w:hint="eastAsia" w:cs="宋体"/>
          <w:b/>
          <w:bCs/>
          <w:snapToGrid w:val="0"/>
          <w:color w:val="000000"/>
          <w:kern w:val="0"/>
          <w:sz w:val="24"/>
          <w:szCs w:val="24"/>
          <w:lang w:val="en-US" w:eastAsia="zh-CN" w:bidi="ar-SA"/>
        </w:rPr>
        <w:t>提</w:t>
      </w:r>
      <w:r>
        <w:rPr>
          <w:rFonts w:hint="eastAsia" w:cs="宋体"/>
          <w:b/>
          <w:bCs/>
          <w:snapToGrid w:val="0"/>
          <w:color w:val="000000"/>
          <w:kern w:val="0"/>
          <w:sz w:val="24"/>
          <w:szCs w:val="24"/>
          <w:lang w:val="en-US" w:eastAsia="en-US" w:bidi="ar-SA"/>
        </w:rPr>
        <w:t>供虚假材料或者串通等违法行为时，有向采购人、采购代理机构或者有关部门报告的职责。</w:t>
      </w:r>
    </w:p>
    <w:p w14:paraId="15CFA89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有下列情况之一的，采购人或采购代理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宣布本项目终止：</w:t>
      </w:r>
    </w:p>
    <w:p w14:paraId="2178555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10.1 </w:t>
      </w:r>
      <w:r>
        <w:rPr>
          <w:rFonts w:hint="eastAsia" w:ascii="宋体" w:hAnsi="宋体" w:eastAsia="宋体" w:cs="宋体"/>
          <w:snapToGrid w:val="0"/>
          <w:color w:val="000000"/>
          <w:kern w:val="0"/>
          <w:sz w:val="24"/>
          <w:szCs w:val="24"/>
          <w:lang w:val="en-US" w:eastAsia="en-US" w:bidi="ar-SA"/>
        </w:rPr>
        <w:t>因情况变化，不再符合规定的竞争性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采购方式适用情形的；</w:t>
      </w:r>
    </w:p>
    <w:p w14:paraId="4B581C47">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10.2 </w:t>
      </w:r>
      <w:r>
        <w:rPr>
          <w:rFonts w:hint="eastAsia" w:ascii="宋体" w:hAnsi="宋体" w:eastAsia="宋体" w:cs="宋体"/>
          <w:snapToGrid w:val="0"/>
          <w:color w:val="000000"/>
          <w:kern w:val="0"/>
          <w:sz w:val="24"/>
          <w:szCs w:val="24"/>
          <w:lang w:val="en-US" w:eastAsia="en-US" w:bidi="ar-SA"/>
        </w:rPr>
        <w:t>出现影响采购公正的违法、违规行为的；</w:t>
      </w:r>
    </w:p>
    <w:p w14:paraId="412A146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10.3 </w:t>
      </w:r>
      <w:r>
        <w:rPr>
          <w:rFonts w:hint="eastAsia" w:ascii="宋体" w:hAnsi="宋体" w:eastAsia="宋体" w:cs="宋体"/>
          <w:snapToGrid w:val="0"/>
          <w:color w:val="000000"/>
          <w:kern w:val="0"/>
          <w:sz w:val="24"/>
          <w:szCs w:val="24"/>
          <w:lang w:val="en-US" w:eastAsia="en-US" w:bidi="ar-SA"/>
        </w:rPr>
        <w:t>法律法规规定的其他情况。</w:t>
      </w:r>
    </w:p>
    <w:p w14:paraId="0E566EF5">
      <w:pPr>
        <w:keepNext w:val="0"/>
        <w:keepLines w:val="0"/>
        <w:pageBreakBefore w:val="0"/>
        <w:kinsoku/>
        <w:wordWrap w:val="0"/>
        <w:overflowPunct/>
        <w:topLinePunct w:val="0"/>
        <w:bidi w:val="0"/>
        <w:spacing w:after="0" w:line="360" w:lineRule="auto"/>
        <w:jc w:val="both"/>
        <w:rPr>
          <w:rFonts w:hint="eastAsia" w:ascii="仿宋_GB2312" w:hAnsi="仿宋_GB2312" w:eastAsia="仿宋_GB2312" w:cs="仿宋_GB2312"/>
          <w:b/>
          <w:sz w:val="28"/>
          <w:szCs w:val="28"/>
          <w:lang w:val="en-US" w:eastAsia="zh-CN"/>
        </w:rPr>
      </w:pPr>
    </w:p>
    <w:p w14:paraId="6A609EA2">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14:paraId="68BCED6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261887D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将在“河南省政府采购网”和“南阳市公共资源交易中心网”上发布成交公告。</w:t>
      </w:r>
    </w:p>
    <w:p w14:paraId="796EF6F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6213747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76A6A22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通过“南阳市电子营业执照应用平台”向成交供应商发出电子成交通知书，成交供应商可登陆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南阳市电子营业执照应用平台</w:t>
      </w:r>
      <w:r>
        <w:rPr>
          <w:rFonts w:hint="eastAsia" w:ascii="宋体" w:hAnsi="宋体" w:eastAsia="宋体" w:cs="宋体"/>
          <w:snapToGrid w:val="0"/>
          <w:color w:val="000000"/>
          <w:kern w:val="0"/>
          <w:sz w:val="24"/>
          <w:szCs w:val="24"/>
          <w:lang w:val="en-US" w:eastAsia="en-US" w:bidi="ar-SA"/>
        </w:rPr>
        <w:t>，自行打印加盖电子签章的成交通知书。</w:t>
      </w:r>
    </w:p>
    <w:p w14:paraId="2D4F0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0E18206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651880A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签订政府采购合同，逾期无故不签订的，按《政府采购非招标采购方式管理办法》及有关规定处理。</w:t>
      </w:r>
    </w:p>
    <w:p w14:paraId="0247E572">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文件、响应文件、供应商在</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过程中的承诺以及确认材料，均为合同的有效组成部分。</w:t>
      </w:r>
    </w:p>
    <w:p w14:paraId="7D91AF9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文件要求签订政府采购合同，将取消其成交资格。</w:t>
      </w:r>
    </w:p>
    <w:p w14:paraId="3889341B">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597357F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14:paraId="0EF4730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0CFDA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6268882D">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010664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在线接收，请质疑人上传质疑函原件扫描件到南阳市公共资源电子营业执照应用平台并电话通知到项目负责人。</w:t>
      </w:r>
    </w:p>
    <w:p w14:paraId="43EE9A8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9FEC8FD">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575FBD6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3511FF8C">
      <w:pPr>
        <w:keepNext w:val="0"/>
        <w:keepLines w:val="0"/>
        <w:pageBreakBefore w:val="0"/>
        <w:kinsoku/>
        <w:wordWrap w:val="0"/>
        <w:overflowPunct/>
        <w:topLinePunct w:val="0"/>
        <w:bidi w:val="0"/>
        <w:spacing w:after="0" w:line="360" w:lineRule="auto"/>
        <w:jc w:val="both"/>
        <w:rPr>
          <w:rFonts w:hint="eastAsia" w:ascii="宋体" w:hAnsi="宋体" w:eastAsia="宋体" w:cs="宋体"/>
          <w:snapToGrid w:val="0"/>
          <w:color w:val="000000"/>
          <w:kern w:val="0"/>
          <w:sz w:val="24"/>
          <w:szCs w:val="24"/>
          <w:lang w:val="en-US" w:eastAsia="en-US" w:bidi="ar-SA"/>
        </w:rPr>
      </w:pPr>
    </w:p>
    <w:p w14:paraId="4B085F60">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14:paraId="174F48E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6B46B32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，随时接受</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小组的询问、质疑，并按照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小组的要求答复。</w:t>
      </w:r>
    </w:p>
    <w:p w14:paraId="76A264E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的全部费用。</w:t>
      </w:r>
    </w:p>
    <w:p w14:paraId="45AFACE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文件最终解释权归采购人或采购代理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w:t>
      </w:r>
    </w:p>
    <w:p w14:paraId="2B8DA31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08256B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A798DF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5A9929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DFEA17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3C20AE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FDDE47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97E7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21DE39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678D94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07A6E2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2F90039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3EFF278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15FB1BB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68232CB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22BB149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315F81A5">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5C34B11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3836A59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66BC830B">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DF17DB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60CF7C5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44638CD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669353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31210C3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54CE85C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086370D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593BDA35">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EB0AB60">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0B8E5991">
      <w:pPr>
        <w:keepNext w:val="0"/>
        <w:keepLines w:val="0"/>
        <w:pageBreakBefore w:val="0"/>
        <w:kinsoku/>
        <w:wordWrap w:val="0"/>
        <w:overflowPunct/>
        <w:topLinePunct w:val="0"/>
        <w:bidi w:val="0"/>
        <w:spacing w:after="0" w:line="360" w:lineRule="auto"/>
        <w:jc w:val="center"/>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14:paraId="16A9662A">
      <w:pPr>
        <w:pStyle w:val="4"/>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14:paraId="57F35CD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6B1045E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14:paraId="65D45091">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14:paraId="342858C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4.政府采购合同设定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14:paraId="50F061A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val="en-US"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14:paraId="793D9C8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14:paraId="0F17FDA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14:paraId="64175029">
      <w:pPr>
        <w:pStyle w:val="4"/>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14:paraId="14AC597E">
      <w:pPr>
        <w:keepNext w:val="0"/>
        <w:keepLines w:val="0"/>
        <w:pageBreakBefore w:val="0"/>
        <w:kinsoku/>
        <w:wordWrap w:val="0"/>
        <w:overflowPunct/>
        <w:topLinePunct w:val="0"/>
        <w:bidi w:val="0"/>
        <w:spacing w:line="220" w:lineRule="auto"/>
        <w:jc w:val="both"/>
        <w:rPr>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14:paraId="7BD25F69">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u w:val="single"/>
        </w:rPr>
      </w:pPr>
      <w:r>
        <w:rPr>
          <w:rFonts w:hint="eastAsia" w:ascii="宋体" w:hAnsi="宋体" w:cs="宋体"/>
          <w:color w:val="auto"/>
          <w:spacing w:val="11"/>
          <w:position w:val="1"/>
          <w:sz w:val="24"/>
          <w:szCs w:val="24"/>
        </w:rPr>
        <w:t xml:space="preserve">甲方：        </w:t>
      </w:r>
    </w:p>
    <w:p w14:paraId="6768334D">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w:t>
      </w:r>
      <w:r>
        <w:rPr>
          <w:rFonts w:hint="eastAsia" w:ascii="宋体" w:hAnsi="宋体" w:cs="宋体"/>
          <w:color w:val="auto"/>
          <w:spacing w:val="11"/>
          <w:position w:val="1"/>
          <w:sz w:val="24"/>
          <w:szCs w:val="24"/>
          <w:lang w:val="en-US" w:eastAsia="zh-CN"/>
        </w:rPr>
        <w:t xml:space="preserve"> </w:t>
      </w:r>
      <w:r>
        <w:rPr>
          <w:rFonts w:hint="eastAsia" w:ascii="宋体" w:hAnsi="宋体" w:cs="宋体"/>
          <w:color w:val="auto"/>
          <w:spacing w:val="11"/>
          <w:position w:val="1"/>
          <w:sz w:val="24"/>
          <w:szCs w:val="24"/>
        </w:rPr>
        <w:t xml:space="preserve"> </w:t>
      </w:r>
    </w:p>
    <w:p w14:paraId="4CDF2A6E">
      <w:pPr>
        <w:keepNext w:val="0"/>
        <w:keepLines w:val="0"/>
        <w:pageBreakBefore w:val="0"/>
        <w:widowControl w:val="0"/>
        <w:kinsoku/>
        <w:wordWrap w:val="0"/>
        <w:overflowPunct/>
        <w:topLinePunct/>
        <w:autoSpaceDE/>
        <w:autoSpaceDN/>
        <w:bidi w:val="0"/>
        <w:spacing w:line="360" w:lineRule="auto"/>
        <w:ind w:right="-159" w:firstLine="524" w:firstLineChars="200"/>
        <w:jc w:val="left"/>
        <w:rPr>
          <w:rFonts w:ascii="宋体" w:hAnsi="宋体" w:cs="宋体"/>
          <w:b/>
          <w:color w:val="auto"/>
          <w:spacing w:val="11"/>
          <w:position w:val="1"/>
          <w:sz w:val="24"/>
          <w:szCs w:val="24"/>
        </w:rPr>
      </w:pPr>
      <w:r>
        <w:rPr>
          <w:rFonts w:hint="eastAsia" w:ascii="宋体" w:hAnsi="宋体" w:cs="宋体"/>
          <w:color w:val="auto"/>
          <w:spacing w:val="11"/>
          <w:position w:val="1"/>
          <w:sz w:val="24"/>
          <w:szCs w:val="24"/>
        </w:rPr>
        <w:t>根据《中华人民共和国民法典》、《中华人民共和国政府采购法》的规定，按照招标编号:</w:t>
      </w:r>
      <w:r>
        <w:rPr>
          <w:rFonts w:hint="eastAsia" w:ascii="宋体" w:hAnsi="宋体" w:cs="宋体"/>
          <w:color w:val="auto"/>
          <w:spacing w:val="11"/>
          <w:position w:val="1"/>
          <w:sz w:val="24"/>
          <w:szCs w:val="24"/>
          <w:u w:val="single"/>
        </w:rPr>
        <w:t xml:space="preserve">           </w:t>
      </w:r>
      <w:r>
        <w:rPr>
          <w:rFonts w:hint="eastAsia" w:ascii="宋体" w:hAnsi="宋体" w:cs="宋体"/>
          <w:color w:val="auto"/>
          <w:spacing w:val="11"/>
          <w:position w:val="1"/>
          <w:sz w:val="24"/>
          <w:szCs w:val="24"/>
        </w:rPr>
        <w:t>项目公开招标的中标通知书、招标文件、投标方投标文件的要求，经甲、乙双方协商，本着平等自愿、诚实信用的原则，签订本合同。</w:t>
      </w:r>
    </w:p>
    <w:p w14:paraId="402B0912">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4" w:name="_Toc1786"/>
      <w:bookmarkStart w:id="5" w:name="_Toc2788"/>
      <w:r>
        <w:rPr>
          <w:rFonts w:hint="eastAsia" w:ascii="宋体" w:hAnsi="宋体" w:cs="宋体"/>
          <w:b/>
          <w:color w:val="auto"/>
          <w:spacing w:val="11"/>
          <w:position w:val="1"/>
          <w:sz w:val="24"/>
          <w:szCs w:val="24"/>
        </w:rPr>
        <w:t>一、供货产品的名称、商标、型号、制造厂商、数量、金额、交货时间</w:t>
      </w:r>
      <w:bookmarkEnd w:id="4"/>
      <w:bookmarkEnd w:id="5"/>
    </w:p>
    <w:p w14:paraId="13773826">
      <w:pPr>
        <w:keepNext w:val="0"/>
        <w:keepLines w:val="0"/>
        <w:pageBreakBefore w:val="0"/>
        <w:widowControl w:val="0"/>
        <w:kinsoku/>
        <w:wordWrap w:val="0"/>
        <w:overflowPunct/>
        <w:topLinePunct/>
        <w:autoSpaceDE/>
        <w:autoSpaceDN/>
        <w:bidi w:val="0"/>
        <w:spacing w:line="312" w:lineRule="auto"/>
        <w:ind w:firstLine="589" w:firstLineChars="225"/>
        <w:outlineLvl w:val="2"/>
        <w:rPr>
          <w:rFonts w:ascii="宋体" w:hAnsi="宋体" w:cs="宋体"/>
          <w:color w:val="auto"/>
          <w:spacing w:val="11"/>
          <w:position w:val="1"/>
          <w:sz w:val="24"/>
          <w:szCs w:val="24"/>
        </w:rPr>
      </w:pPr>
      <w:bookmarkStart w:id="6" w:name="_Toc14778"/>
      <w:bookmarkStart w:id="7" w:name="_Toc21384"/>
      <w:r>
        <w:rPr>
          <w:rFonts w:hint="eastAsia" w:ascii="宋体" w:hAnsi="宋体" w:cs="宋体"/>
          <w:color w:val="auto"/>
          <w:spacing w:val="11"/>
          <w:position w:val="1"/>
          <w:sz w:val="24"/>
          <w:szCs w:val="24"/>
        </w:rPr>
        <w:t>1、合同总价：RMBXXXXX万元整 。</w:t>
      </w:r>
      <w:bookmarkEnd w:id="6"/>
      <w:bookmarkEnd w:id="7"/>
    </w:p>
    <w:p w14:paraId="3274536E">
      <w:pPr>
        <w:keepNext w:val="0"/>
        <w:keepLines w:val="0"/>
        <w:pageBreakBefore w:val="0"/>
        <w:widowControl w:val="0"/>
        <w:kinsoku/>
        <w:wordWrap w:val="0"/>
        <w:overflowPunct/>
        <w:topLinePunct/>
        <w:autoSpaceDE/>
        <w:autoSpaceDN/>
        <w:bidi w:val="0"/>
        <w:spacing w:line="312" w:lineRule="auto"/>
        <w:ind w:firstLine="589" w:firstLineChars="225"/>
        <w:rPr>
          <w:rFonts w:ascii="宋体" w:hAnsi="宋体" w:cs="宋体"/>
          <w:color w:val="auto"/>
          <w:spacing w:val="11"/>
          <w:position w:val="1"/>
          <w:sz w:val="24"/>
          <w:szCs w:val="24"/>
          <w:highlight w:val="none"/>
        </w:rPr>
      </w:pPr>
      <w:r>
        <w:rPr>
          <w:rFonts w:hint="eastAsia" w:ascii="宋体" w:hAnsi="宋体" w:cs="宋体"/>
          <w:color w:val="auto"/>
          <w:spacing w:val="11"/>
          <w:position w:val="1"/>
          <w:sz w:val="24"/>
          <w:szCs w:val="24"/>
          <w:highlight w:val="none"/>
        </w:rPr>
        <w:t>2、设备的清单及具体要求详见附件（乙方投标文件投标报价一览表）。</w:t>
      </w:r>
    </w:p>
    <w:p w14:paraId="55E16E57">
      <w:pPr>
        <w:keepNext w:val="0"/>
        <w:keepLines w:val="0"/>
        <w:pageBreakBefore w:val="0"/>
        <w:widowControl w:val="0"/>
        <w:kinsoku/>
        <w:wordWrap w:val="0"/>
        <w:overflowPunct/>
        <w:topLinePunct/>
        <w:autoSpaceDE/>
        <w:autoSpaceDN/>
        <w:bidi w:val="0"/>
        <w:spacing w:line="312" w:lineRule="auto"/>
        <w:ind w:firstLine="589" w:firstLineChars="225"/>
        <w:rPr>
          <w:rFonts w:hint="eastAsia" w:ascii="宋体" w:hAnsi="宋体" w:cs="宋体"/>
          <w:color w:val="auto"/>
          <w:spacing w:val="11"/>
          <w:position w:val="1"/>
          <w:sz w:val="24"/>
          <w:szCs w:val="24"/>
          <w:highlight w:val="none"/>
          <w:lang w:val="en-US" w:eastAsia="zh-CN"/>
        </w:rPr>
      </w:pPr>
      <w:r>
        <w:rPr>
          <w:rFonts w:hint="eastAsia" w:ascii="宋体" w:hAnsi="宋体" w:cs="宋体"/>
          <w:color w:val="auto"/>
          <w:spacing w:val="11"/>
          <w:position w:val="1"/>
          <w:sz w:val="24"/>
          <w:szCs w:val="24"/>
          <w:highlight w:val="none"/>
        </w:rPr>
        <w:t>3、合同履行期限：</w:t>
      </w:r>
      <w:r>
        <w:rPr>
          <w:rFonts w:hint="eastAsia" w:ascii="宋体" w:hAnsi="宋体" w:cs="宋体"/>
          <w:color w:val="auto"/>
          <w:spacing w:val="11"/>
          <w:position w:val="1"/>
          <w:sz w:val="24"/>
          <w:szCs w:val="24"/>
          <w:highlight w:val="none"/>
          <w:lang w:val="en-US" w:eastAsia="zh-CN"/>
        </w:rPr>
        <w:t>30日历天</w:t>
      </w:r>
    </w:p>
    <w:p w14:paraId="56381EDB">
      <w:pPr>
        <w:keepNext w:val="0"/>
        <w:keepLines w:val="0"/>
        <w:pageBreakBefore w:val="0"/>
        <w:widowControl w:val="0"/>
        <w:kinsoku/>
        <w:wordWrap w:val="0"/>
        <w:overflowPunct/>
        <w:topLinePunct/>
        <w:autoSpaceDE/>
        <w:autoSpaceDN/>
        <w:bidi w:val="0"/>
        <w:spacing w:line="312" w:lineRule="auto"/>
        <w:ind w:firstLine="589" w:firstLineChars="225"/>
        <w:rPr>
          <w:rFonts w:ascii="宋体" w:hAnsi="宋体" w:cs="宋体"/>
          <w:b/>
          <w:color w:val="auto"/>
          <w:spacing w:val="11"/>
          <w:position w:val="1"/>
          <w:sz w:val="24"/>
          <w:szCs w:val="24"/>
        </w:rPr>
      </w:pPr>
      <w:r>
        <w:rPr>
          <w:rFonts w:hint="eastAsia" w:ascii="宋体" w:hAnsi="宋体" w:cs="宋体"/>
          <w:color w:val="auto"/>
          <w:spacing w:val="11"/>
          <w:position w:val="1"/>
          <w:sz w:val="24"/>
          <w:szCs w:val="24"/>
        </w:rPr>
        <w:t>4、合同总价为包含设备硬件、预装软件、运输、保险、安装调试、培训、售后服务等一切费用在内的运至最终目的地的交货价，该价在合同履行期间固定不变。</w:t>
      </w:r>
    </w:p>
    <w:p w14:paraId="353C147D">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8" w:name="_Toc25635"/>
      <w:bookmarkStart w:id="9" w:name="_Toc16692"/>
      <w:r>
        <w:rPr>
          <w:rFonts w:hint="eastAsia" w:ascii="宋体" w:hAnsi="宋体" w:cs="宋体"/>
          <w:b/>
          <w:color w:val="auto"/>
          <w:spacing w:val="11"/>
          <w:position w:val="1"/>
          <w:sz w:val="24"/>
          <w:szCs w:val="24"/>
        </w:rPr>
        <w:t>二、货物产地及标准</w:t>
      </w:r>
      <w:bookmarkEnd w:id="8"/>
      <w:bookmarkEnd w:id="9"/>
    </w:p>
    <w:p w14:paraId="6EC2C351">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1、货物为制造商全新的(原装)产品(含零部件、配件、随机工具等)，表面无划伤、无碰撞，无任何缺陷。</w:t>
      </w:r>
    </w:p>
    <w:p w14:paraId="1AB743F8">
      <w:pPr>
        <w:keepNext w:val="0"/>
        <w:keepLines w:val="0"/>
        <w:pageBreakBefore w:val="0"/>
        <w:widowControl w:val="0"/>
        <w:kinsoku/>
        <w:wordWrap w:val="0"/>
        <w:overflowPunct/>
        <w:topLinePunct/>
        <w:autoSpaceDE/>
        <w:autoSpaceDN/>
        <w:bidi w:val="0"/>
        <w:spacing w:line="360" w:lineRule="auto"/>
        <w:ind w:right="-159" w:firstLine="524" w:firstLineChars="200"/>
        <w:outlineLvl w:val="2"/>
        <w:rPr>
          <w:rFonts w:ascii="宋体" w:hAnsi="宋体" w:cs="宋体"/>
          <w:color w:val="auto"/>
          <w:spacing w:val="11"/>
          <w:position w:val="1"/>
          <w:sz w:val="24"/>
          <w:szCs w:val="24"/>
        </w:rPr>
      </w:pPr>
      <w:bookmarkStart w:id="10" w:name="_Toc3610"/>
      <w:bookmarkStart w:id="11" w:name="_Toc9747"/>
      <w:r>
        <w:rPr>
          <w:rFonts w:hint="eastAsia" w:ascii="宋体" w:hAnsi="宋体" w:cs="宋体"/>
          <w:color w:val="auto"/>
          <w:spacing w:val="11"/>
          <w:position w:val="1"/>
          <w:sz w:val="24"/>
          <w:szCs w:val="24"/>
        </w:rPr>
        <w:t>2、标准</w:t>
      </w:r>
      <w:bookmarkEnd w:id="10"/>
      <w:bookmarkEnd w:id="11"/>
    </w:p>
    <w:p w14:paraId="79BE06A8">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本合同所指的货物应符合招标文件要求、乙方投标产品所列出的配置、技术参数及各项要求，同时应符合中华人民共和国国家质量及国家安全环保标准。</w:t>
      </w:r>
    </w:p>
    <w:p w14:paraId="79E59B20">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3、进口产品必须具备原产地证明和商检部门的检验证明及合法进货渠道证明。</w:t>
      </w:r>
    </w:p>
    <w:p w14:paraId="7BF483D3">
      <w:pPr>
        <w:keepNext w:val="0"/>
        <w:keepLines w:val="0"/>
        <w:pageBreakBefore w:val="0"/>
        <w:widowControl w:val="0"/>
        <w:kinsoku/>
        <w:wordWrap w:val="0"/>
        <w:overflowPunct/>
        <w:topLinePunct/>
        <w:autoSpaceDE/>
        <w:autoSpaceDN/>
        <w:bidi w:val="0"/>
        <w:spacing w:line="360" w:lineRule="auto"/>
        <w:ind w:right="-159" w:firstLine="524" w:firstLineChars="200"/>
        <w:outlineLvl w:val="2"/>
        <w:rPr>
          <w:rFonts w:ascii="宋体" w:hAnsi="宋体" w:cs="宋体"/>
          <w:color w:val="auto"/>
          <w:spacing w:val="11"/>
          <w:position w:val="1"/>
          <w:sz w:val="24"/>
          <w:szCs w:val="24"/>
        </w:rPr>
      </w:pPr>
      <w:bookmarkStart w:id="12" w:name="_Toc8124"/>
      <w:bookmarkStart w:id="13" w:name="_Toc276"/>
      <w:r>
        <w:rPr>
          <w:rFonts w:hint="eastAsia" w:ascii="宋体" w:hAnsi="宋体" w:cs="宋体"/>
          <w:color w:val="auto"/>
          <w:spacing w:val="11"/>
          <w:position w:val="1"/>
          <w:sz w:val="24"/>
          <w:szCs w:val="24"/>
        </w:rPr>
        <w:t>4、国内制造的产品必须具备出厂合格证。</w:t>
      </w:r>
      <w:bookmarkEnd w:id="12"/>
      <w:bookmarkEnd w:id="13"/>
    </w:p>
    <w:p w14:paraId="0EF866AA">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5、乙方应将所供货物的用户手册、保修手册、有关资料及配件、备品备件、随机工具等交付给甲方，甲方须知的重要资料应附有中文说明。</w:t>
      </w:r>
    </w:p>
    <w:p w14:paraId="6106FF5A">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14" w:name="_Toc25636"/>
      <w:bookmarkStart w:id="15" w:name="_Toc20537"/>
      <w:r>
        <w:rPr>
          <w:rFonts w:hint="eastAsia" w:ascii="宋体" w:hAnsi="宋体" w:cs="宋体"/>
          <w:b/>
          <w:color w:val="auto"/>
          <w:spacing w:val="11"/>
          <w:position w:val="1"/>
          <w:sz w:val="24"/>
          <w:szCs w:val="24"/>
        </w:rPr>
        <w:t>三、交货方式和交货地点</w:t>
      </w:r>
      <w:bookmarkEnd w:id="14"/>
      <w:bookmarkEnd w:id="15"/>
    </w:p>
    <w:p w14:paraId="12B196E7">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hint="eastAsia" w:ascii="宋体" w:hAnsi="宋体" w:eastAsia="宋体" w:cs="宋体"/>
          <w:b w:val="0"/>
          <w:bCs/>
          <w:color w:val="auto"/>
          <w:spacing w:val="11"/>
          <w:position w:val="1"/>
          <w:sz w:val="24"/>
          <w:szCs w:val="24"/>
          <w:highlight w:val="none"/>
          <w:lang w:eastAsia="zh-CN"/>
        </w:rPr>
      </w:pPr>
      <w:bookmarkStart w:id="16" w:name="_Toc14976"/>
      <w:bookmarkStart w:id="17" w:name="_Toc17462"/>
      <w:r>
        <w:rPr>
          <w:rFonts w:hint="eastAsia" w:ascii="宋体" w:hAnsi="宋体" w:cs="宋体"/>
          <w:b w:val="0"/>
          <w:bCs/>
          <w:color w:val="auto"/>
          <w:spacing w:val="11"/>
          <w:position w:val="1"/>
          <w:sz w:val="24"/>
          <w:szCs w:val="24"/>
          <w:highlight w:val="none"/>
        </w:rPr>
        <w:t>1、合同签订后</w:t>
      </w:r>
      <w:r>
        <w:rPr>
          <w:rFonts w:hint="eastAsia" w:ascii="宋体" w:hAnsi="宋体" w:cs="宋体"/>
          <w:b w:val="0"/>
          <w:bCs/>
          <w:color w:val="auto"/>
          <w:spacing w:val="11"/>
          <w:position w:val="1"/>
          <w:sz w:val="24"/>
          <w:szCs w:val="24"/>
          <w:highlight w:val="none"/>
          <w:lang w:val="en-US" w:eastAsia="zh-CN"/>
        </w:rPr>
        <w:t>30</w:t>
      </w:r>
      <w:r>
        <w:rPr>
          <w:rFonts w:hint="eastAsia" w:ascii="宋体" w:hAnsi="宋体" w:cs="宋体"/>
          <w:b w:val="0"/>
          <w:bCs/>
          <w:color w:val="auto"/>
          <w:spacing w:val="11"/>
          <w:position w:val="1"/>
          <w:sz w:val="24"/>
          <w:szCs w:val="24"/>
          <w:highlight w:val="none"/>
        </w:rPr>
        <w:t>日历</w:t>
      </w:r>
      <w:r>
        <w:rPr>
          <w:rFonts w:hint="eastAsia" w:ascii="宋体" w:hAnsi="宋体" w:cs="宋体"/>
          <w:b w:val="0"/>
          <w:bCs/>
          <w:color w:val="auto"/>
          <w:spacing w:val="11"/>
          <w:position w:val="1"/>
          <w:sz w:val="24"/>
          <w:szCs w:val="24"/>
          <w:highlight w:val="none"/>
          <w:lang w:eastAsia="zh-CN"/>
        </w:rPr>
        <w:t>天内交货。</w:t>
      </w:r>
    </w:p>
    <w:p w14:paraId="33341B9B">
      <w:pPr>
        <w:keepNext w:val="0"/>
        <w:keepLines w:val="0"/>
        <w:pageBreakBefore w:val="0"/>
        <w:widowControl w:val="0"/>
        <w:kinsoku/>
        <w:wordWrap w:val="0"/>
        <w:overflowPunct/>
        <w:topLinePunct/>
        <w:autoSpaceDE/>
        <w:autoSpaceDN/>
        <w:bidi w:val="0"/>
        <w:spacing w:line="360" w:lineRule="auto"/>
        <w:ind w:right="-159" w:firstLine="524" w:firstLineChars="200"/>
        <w:jc w:val="left"/>
        <w:outlineLvl w:val="1"/>
        <w:rPr>
          <w:rFonts w:hint="eastAsia" w:ascii="宋体" w:hAnsi="宋体" w:cs="宋体"/>
          <w:b w:val="0"/>
          <w:bCs/>
          <w:color w:val="auto"/>
          <w:spacing w:val="11"/>
          <w:position w:val="1"/>
          <w:sz w:val="24"/>
          <w:szCs w:val="24"/>
          <w:highlight w:val="none"/>
        </w:rPr>
      </w:pPr>
      <w:r>
        <w:rPr>
          <w:rFonts w:hint="eastAsia" w:ascii="宋体" w:hAnsi="宋体" w:cs="宋体"/>
          <w:b w:val="0"/>
          <w:bCs/>
          <w:color w:val="auto"/>
          <w:spacing w:val="11"/>
          <w:position w:val="1"/>
          <w:sz w:val="24"/>
          <w:szCs w:val="24"/>
          <w:highlight w:val="none"/>
        </w:rPr>
        <w:t>2、货物由乙方负责包装及托运至</w:t>
      </w:r>
      <w:r>
        <w:rPr>
          <w:rFonts w:hint="eastAsia" w:ascii="宋体" w:hAnsi="宋体" w:cs="宋体"/>
          <w:b w:val="0"/>
          <w:bCs/>
          <w:color w:val="auto"/>
          <w:spacing w:val="11"/>
          <w:position w:val="1"/>
          <w:sz w:val="24"/>
          <w:szCs w:val="24"/>
          <w:highlight w:val="none"/>
          <w:lang w:val="en-US" w:eastAsia="zh-CN"/>
        </w:rPr>
        <w:t>采购人指定点</w:t>
      </w:r>
      <w:r>
        <w:rPr>
          <w:rFonts w:hint="eastAsia" w:ascii="宋体" w:hAnsi="宋体" w:cs="宋体"/>
          <w:b w:val="0"/>
          <w:bCs/>
          <w:color w:val="auto"/>
          <w:spacing w:val="11"/>
          <w:position w:val="1"/>
          <w:sz w:val="24"/>
          <w:szCs w:val="24"/>
          <w:highlight w:val="none"/>
        </w:rPr>
        <w:t>，运费由乙方承担。</w:t>
      </w:r>
    </w:p>
    <w:p w14:paraId="47FEE553">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r>
        <w:rPr>
          <w:rFonts w:hint="eastAsia" w:ascii="宋体" w:hAnsi="宋体" w:cs="宋体"/>
          <w:b/>
          <w:color w:val="auto"/>
          <w:spacing w:val="11"/>
          <w:position w:val="1"/>
          <w:sz w:val="24"/>
          <w:szCs w:val="24"/>
        </w:rPr>
        <w:t>四、包装</w:t>
      </w:r>
      <w:bookmarkEnd w:id="16"/>
      <w:bookmarkEnd w:id="17"/>
    </w:p>
    <w:p w14:paraId="2D563D04">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乙方交付的货物应为制造商原厂包装，包装箱号与设备出厂批号一致。</w:t>
      </w:r>
    </w:p>
    <w:p w14:paraId="599A40CD">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18" w:name="_Toc17591"/>
      <w:bookmarkStart w:id="19" w:name="_Toc6096"/>
      <w:r>
        <w:rPr>
          <w:rFonts w:hint="eastAsia" w:ascii="宋体" w:hAnsi="宋体" w:cs="宋体"/>
          <w:b/>
          <w:color w:val="auto"/>
          <w:spacing w:val="11"/>
          <w:position w:val="1"/>
          <w:sz w:val="24"/>
          <w:szCs w:val="24"/>
        </w:rPr>
        <w:t>五、安装与调试</w:t>
      </w:r>
      <w:bookmarkEnd w:id="18"/>
      <w:bookmarkEnd w:id="19"/>
    </w:p>
    <w:p w14:paraId="1826D306">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乙方必须负责将设备安装并调试至甲方认可的最佳状态，甲方不承担设备安装、调试费用。</w:t>
      </w:r>
    </w:p>
    <w:p w14:paraId="5AD332EA">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20" w:name="_Toc3717"/>
      <w:bookmarkStart w:id="21" w:name="_Toc6746"/>
      <w:r>
        <w:rPr>
          <w:rFonts w:hint="eastAsia" w:ascii="宋体" w:hAnsi="宋体" w:cs="宋体"/>
          <w:b/>
          <w:color w:val="auto"/>
          <w:spacing w:val="11"/>
          <w:position w:val="1"/>
          <w:sz w:val="24"/>
          <w:szCs w:val="24"/>
        </w:rPr>
        <w:t>六、验收方式、质量保证期及售后服务要求</w:t>
      </w:r>
      <w:bookmarkEnd w:id="20"/>
      <w:bookmarkEnd w:id="21"/>
    </w:p>
    <w:p w14:paraId="001F4743">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1、验收时，乙方须提供合同约定产品中甲方指定产品的质量检测报告，质量检测报告应由地市级及以上国家质量技术管理部门出具。</w:t>
      </w:r>
    </w:p>
    <w:p w14:paraId="0C536EEC">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2、甲乙双方以本合同约定的产品技术参数、配置为标准进行验收，验收合格后由甲方签署验收证明文件。</w:t>
      </w:r>
    </w:p>
    <w:p w14:paraId="5923CF26">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3、质量保证期起始时间是：验收合格后甲方签署验收证明文件日期。</w:t>
      </w:r>
    </w:p>
    <w:p w14:paraId="02B666CA">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highlight w:val="red"/>
        </w:rPr>
      </w:pPr>
      <w:r>
        <w:rPr>
          <w:rFonts w:hint="eastAsia" w:ascii="宋体" w:hAnsi="宋体" w:cs="宋体"/>
          <w:color w:val="auto"/>
          <w:spacing w:val="11"/>
          <w:position w:val="1"/>
          <w:sz w:val="24"/>
          <w:szCs w:val="24"/>
        </w:rPr>
        <w:t>4、货物质量保证期和</w:t>
      </w:r>
      <w:r>
        <w:rPr>
          <w:rFonts w:hint="eastAsia" w:ascii="宋体" w:hAnsi="宋体" w:cs="宋体"/>
          <w:color w:val="auto"/>
          <w:spacing w:val="11"/>
          <w:position w:val="1"/>
          <w:sz w:val="24"/>
          <w:szCs w:val="24"/>
          <w:highlight w:val="none"/>
        </w:rPr>
        <w:t>免费维修期根据乙方在投标文件中的承诺和原装产品生产厂家的保质期承诺，质保期本项目免费质保期为三年（自验收报告签字确认日起、开始进入质保期）。质保期内、每年免费维护保养一次。</w:t>
      </w:r>
    </w:p>
    <w:p w14:paraId="4FC9EBDA">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5、质量保证期内，整机或零部件非人为因素不能使用而更换部分的质量保证期和免费维修期相应延长。</w:t>
      </w:r>
    </w:p>
    <w:p w14:paraId="6BA581DD">
      <w:pPr>
        <w:keepNext w:val="0"/>
        <w:keepLines w:val="0"/>
        <w:pageBreakBefore w:val="0"/>
        <w:widowControl w:val="0"/>
        <w:kinsoku/>
        <w:wordWrap w:val="0"/>
        <w:overflowPunct/>
        <w:topLinePunct/>
        <w:autoSpaceDE/>
        <w:autoSpaceDN/>
        <w:bidi w:val="0"/>
        <w:spacing w:line="360" w:lineRule="auto"/>
        <w:ind w:right="-159" w:firstLine="524" w:firstLineChars="200"/>
        <w:outlineLvl w:val="2"/>
        <w:rPr>
          <w:rFonts w:ascii="宋体" w:hAnsi="宋体" w:cs="宋体"/>
          <w:color w:val="auto"/>
          <w:spacing w:val="11"/>
          <w:position w:val="1"/>
          <w:sz w:val="24"/>
          <w:szCs w:val="24"/>
        </w:rPr>
      </w:pPr>
      <w:bookmarkStart w:id="22" w:name="_Toc3656"/>
      <w:bookmarkStart w:id="23" w:name="_Toc12041"/>
      <w:r>
        <w:rPr>
          <w:rFonts w:hint="eastAsia" w:ascii="宋体" w:hAnsi="宋体" w:cs="宋体"/>
          <w:color w:val="auto"/>
          <w:spacing w:val="11"/>
          <w:position w:val="1"/>
          <w:sz w:val="24"/>
          <w:szCs w:val="24"/>
        </w:rPr>
        <w:t>6、乙方负责向甲方提供现场操作及维修保养方面的培训。</w:t>
      </w:r>
      <w:bookmarkEnd w:id="22"/>
      <w:bookmarkEnd w:id="23"/>
    </w:p>
    <w:p w14:paraId="627392EF">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24" w:name="_Toc7918"/>
      <w:bookmarkStart w:id="25" w:name="_Toc29701"/>
      <w:r>
        <w:rPr>
          <w:rFonts w:hint="eastAsia" w:ascii="宋体" w:hAnsi="宋体" w:cs="宋体"/>
          <w:b/>
          <w:color w:val="auto"/>
          <w:spacing w:val="11"/>
          <w:position w:val="1"/>
          <w:sz w:val="24"/>
          <w:szCs w:val="24"/>
        </w:rPr>
        <w:t>七、付款方式</w:t>
      </w:r>
      <w:bookmarkEnd w:id="24"/>
      <w:bookmarkEnd w:id="25"/>
    </w:p>
    <w:p w14:paraId="6D2E54D1">
      <w:pPr>
        <w:keepNext w:val="0"/>
        <w:keepLines w:val="0"/>
        <w:pageBreakBefore w:val="0"/>
        <w:widowControl w:val="0"/>
        <w:kinsoku/>
        <w:wordWrap w:val="0"/>
        <w:overflowPunct/>
        <w:topLinePunct/>
        <w:autoSpaceDE/>
        <w:autoSpaceDN/>
        <w:bidi w:val="0"/>
        <w:spacing w:before="1" w:line="360" w:lineRule="auto"/>
        <w:ind w:firstLine="420" w:firstLineChars="0"/>
        <w:rPr>
          <w:rFonts w:hint="eastAsia" w:asciiTheme="minorEastAsia" w:hAnsiTheme="minorEastAsia" w:eastAsiaTheme="minorEastAsia" w:cstheme="minorEastAsia"/>
          <w:sz w:val="24"/>
          <w:szCs w:val="24"/>
          <w14:textFill>
            <w14:gradFill>
              <w14:gsLst>
                <w14:gs w14:pos="0">
                  <w14:srgbClr w14:val="E30000"/>
                </w14:gs>
                <w14:gs w14:pos="100000">
                  <w14:srgbClr w14:val="760303"/>
                </w14:gs>
              </w14:gsLst>
              <w14:lin w14:scaled="0"/>
            </w14:gradFill>
          </w14:textFill>
        </w:rPr>
      </w:pPr>
      <w:bookmarkStart w:id="26" w:name="_Toc21543"/>
      <w:bookmarkStart w:id="27" w:name="_Toc1761"/>
      <w:r>
        <w:rPr>
          <w:rFonts w:hint="eastAsia" w:asciiTheme="minorEastAsia" w:hAnsiTheme="minorEastAsia" w:eastAsiaTheme="minorEastAsia" w:cstheme="minorEastAsia"/>
          <w:spacing w:val="-1"/>
          <w:sz w:val="24"/>
          <w:szCs w:val="24"/>
        </w:rPr>
        <w:t>付款方</w:t>
      </w:r>
      <w:r>
        <w:rPr>
          <w:rFonts w:hint="eastAsia" w:asciiTheme="minorEastAsia" w:hAnsiTheme="minorEastAsia" w:eastAsiaTheme="minorEastAsia" w:cstheme="minorEastAsia"/>
          <w:spacing w:val="-1"/>
          <w:sz w:val="24"/>
          <w:szCs w:val="24"/>
          <w:highlight w:val="none"/>
        </w:rPr>
        <w:t>式：采购人与中标单位签订合同后，在 5 日内支付合同金额的 40%作为预付款，完成设备供货安装调试并经验收小组验收合格后，自收到发票之日起 3 个工作日内完成合同款项 60%支付。</w:t>
      </w:r>
    </w:p>
    <w:p w14:paraId="3EB11DC6">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r>
        <w:rPr>
          <w:rFonts w:hint="eastAsia" w:ascii="宋体" w:hAnsi="宋体" w:cs="宋体"/>
          <w:b/>
          <w:color w:val="auto"/>
          <w:spacing w:val="11"/>
          <w:position w:val="1"/>
          <w:sz w:val="24"/>
          <w:szCs w:val="24"/>
        </w:rPr>
        <w:t>八、违约责任</w:t>
      </w:r>
      <w:bookmarkEnd w:id="26"/>
      <w:bookmarkEnd w:id="27"/>
    </w:p>
    <w:p w14:paraId="22F12FD1">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乙方不能按本合同规定的交货时间交付货物，或在合同规定的交货时间内乙方交付的货物（包括安装、调试）达不到验收标准的，乙方须向采购单位支付本合同总价5%的违约金，甲方可向南阳市人民政府采购管理部门投诉。</w:t>
      </w:r>
    </w:p>
    <w:p w14:paraId="590CC9B1">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2、乙方不能按本合同规定的交货时间交付货物，或在合同规定的交货时间内乙方交付的货物（包括安装、调试）达不到验收标准的，除乙方按照第八条第1款交纳违约金外，从逾期之日起乙方需另外每日按本合同总价</w:t>
      </w:r>
      <w:r>
        <w:rPr>
          <w:rFonts w:hint="eastAsia" w:ascii="宋体" w:hAnsi="宋体" w:cs="宋体"/>
          <w:color w:val="auto"/>
          <w:spacing w:val="11"/>
          <w:position w:val="1"/>
          <w:sz w:val="24"/>
          <w:szCs w:val="24"/>
          <w:highlight w:val="none"/>
        </w:rPr>
        <w:t>2‰</w:t>
      </w:r>
      <w:r>
        <w:rPr>
          <w:rFonts w:hint="eastAsia" w:ascii="宋体" w:hAnsi="宋体" w:cs="宋体"/>
          <w:color w:val="auto"/>
          <w:spacing w:val="11"/>
          <w:position w:val="1"/>
          <w:sz w:val="24"/>
          <w:szCs w:val="24"/>
        </w:rPr>
        <w:t>的数额向采购单位支付违约金；逾期十五日以上的，甲方有权终止合同，由此造成的甲方经济损失由乙方承担，甲方可南阳市人民政府采购管理部门投诉。</w:t>
      </w:r>
    </w:p>
    <w:p w14:paraId="74FEACB6">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3、验收时，甲方如发现乙方交付的产品品种、型号、规格、质量一项或多项不符合合同约定的产品技术参数、配置等，除乙方按照第八条第1款及第2款交纳违约金外，乙方已交付的货物由甲方存留，直至在规定的时间内交付合同约定的产品，并达到验收标准；规定的时间到后，乙方交付的货物仍未达到合同约定的，甲方终止合同。</w:t>
      </w:r>
    </w:p>
    <w:p w14:paraId="6C7541CF">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4、乙方不按其售后服务承诺响应甲方的服务请求的，乙方须向甲方支付合同总价2%的违约金。</w:t>
      </w:r>
    </w:p>
    <w:p w14:paraId="5B3E76EA">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5、甲方不按合同规定接收货物，或无正当理由不按政府采购办的要求办理结算手续的，甲方须向乙方支付本合同总价2%的违约金，同时乙方可向南阳市人民政府采购管理部门投诉。</w:t>
      </w:r>
    </w:p>
    <w:p w14:paraId="50B19B4D">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28" w:name="_Toc32370"/>
      <w:bookmarkStart w:id="29" w:name="_Toc9157"/>
      <w:r>
        <w:rPr>
          <w:rFonts w:hint="eastAsia" w:ascii="宋体" w:hAnsi="宋体" w:cs="宋体"/>
          <w:b/>
          <w:color w:val="auto"/>
          <w:spacing w:val="11"/>
          <w:position w:val="1"/>
          <w:sz w:val="24"/>
          <w:szCs w:val="24"/>
        </w:rPr>
        <w:t>九、提出异议的时间和方法</w:t>
      </w:r>
      <w:bookmarkEnd w:id="28"/>
      <w:bookmarkEnd w:id="29"/>
    </w:p>
    <w:p w14:paraId="1B1828E6">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1、甲方在验收中如发现货物的品种、型号、规格、质量不符合约定的，应在妥善保管货物的同时，合理期间向乙方提出书面异议。</w:t>
      </w:r>
    </w:p>
    <w:p w14:paraId="1F6F3CCD">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2、乙方在接到甲方书面异议后，应在24小时内作出处理并予以书面说明；否则，即视为乙方默认了甲方提出的异议。</w:t>
      </w:r>
    </w:p>
    <w:p w14:paraId="6B95966D">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3、甲方因违章操作、保管保养不善等自身因素造成质量问题的，不得提出异议。</w:t>
      </w:r>
    </w:p>
    <w:p w14:paraId="0E57489B">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30" w:name="_Toc22446"/>
      <w:bookmarkStart w:id="31" w:name="_Toc10125"/>
      <w:r>
        <w:rPr>
          <w:rFonts w:hint="eastAsia" w:ascii="宋体" w:hAnsi="宋体" w:cs="宋体"/>
          <w:b/>
          <w:color w:val="auto"/>
          <w:spacing w:val="11"/>
          <w:position w:val="1"/>
          <w:sz w:val="24"/>
          <w:szCs w:val="24"/>
        </w:rPr>
        <w:t>十、不可抗力</w:t>
      </w:r>
      <w:bookmarkEnd w:id="30"/>
      <w:bookmarkEnd w:id="31"/>
    </w:p>
    <w:p w14:paraId="746F365B">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任何一方由于不可抗力原因无法履行合同时，应在不可抗力事件结束后1日内向对方通报，以减轻可能给对方造成的损失；在取得有关机构的不可抗力证明或双方谅解确认后，允许延期履行或修订合同，并视情况免于承担部分或全部的违约责任。</w:t>
      </w:r>
    </w:p>
    <w:p w14:paraId="5016874D">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32" w:name="_Toc17095"/>
      <w:bookmarkStart w:id="33" w:name="_Toc23310"/>
      <w:r>
        <w:rPr>
          <w:rFonts w:hint="eastAsia" w:ascii="宋体" w:hAnsi="宋体" w:cs="宋体"/>
          <w:b/>
          <w:color w:val="auto"/>
          <w:spacing w:val="11"/>
          <w:position w:val="1"/>
          <w:sz w:val="24"/>
          <w:szCs w:val="24"/>
        </w:rPr>
        <w:t>十一、争议的解决</w:t>
      </w:r>
      <w:bookmarkEnd w:id="32"/>
      <w:bookmarkEnd w:id="33"/>
    </w:p>
    <w:p w14:paraId="0EBB8519">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1、合同履行过程中发生的任何争议，双方协商解决，如协商不能达成一致，向南阳市有管辖权的人民法院起诉。</w:t>
      </w:r>
    </w:p>
    <w:p w14:paraId="67B5769E">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2、因货物质量问题发生的争议，统一由南阳市质量技术监督局鉴定，其鉴定为最终鉴定。货物符合质量技术标准的，鉴定费由甲方承担；货物不符合质量技术标准的，鉴定费由乙方承担。</w:t>
      </w:r>
    </w:p>
    <w:p w14:paraId="47784BC5">
      <w:pPr>
        <w:keepNext w:val="0"/>
        <w:keepLines w:val="0"/>
        <w:pageBreakBefore w:val="0"/>
        <w:widowControl w:val="0"/>
        <w:kinsoku/>
        <w:wordWrap w:val="0"/>
        <w:overflowPunct/>
        <w:topLinePunct/>
        <w:autoSpaceDE/>
        <w:autoSpaceDN/>
        <w:bidi w:val="0"/>
        <w:spacing w:line="360" w:lineRule="auto"/>
        <w:ind w:right="-159" w:firstLine="524" w:firstLineChars="200"/>
        <w:outlineLvl w:val="1"/>
        <w:rPr>
          <w:rFonts w:ascii="宋体" w:hAnsi="宋体" w:cs="宋体"/>
          <w:b/>
          <w:color w:val="auto"/>
          <w:spacing w:val="11"/>
          <w:position w:val="1"/>
          <w:sz w:val="24"/>
          <w:szCs w:val="24"/>
        </w:rPr>
      </w:pPr>
      <w:bookmarkStart w:id="34" w:name="_Toc7060"/>
      <w:bookmarkStart w:id="35" w:name="_Toc7525"/>
      <w:r>
        <w:rPr>
          <w:rFonts w:hint="eastAsia" w:ascii="宋体" w:hAnsi="宋体" w:cs="宋体"/>
          <w:b/>
          <w:color w:val="auto"/>
          <w:spacing w:val="11"/>
          <w:position w:val="1"/>
          <w:sz w:val="24"/>
          <w:szCs w:val="24"/>
        </w:rPr>
        <w:t>十二、其它</w:t>
      </w:r>
      <w:bookmarkEnd w:id="34"/>
      <w:bookmarkEnd w:id="35"/>
    </w:p>
    <w:p w14:paraId="0B343812">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1、合同所有附件均为合同的有效组成部分，与合同具有同等的法律效力。合同附件包括:</w:t>
      </w:r>
      <w:r>
        <w:rPr>
          <w:rFonts w:hint="eastAsia" w:ascii="宋体" w:hAnsi="宋体" w:eastAsia="宋体" w:cs="宋体"/>
          <w:color w:val="auto"/>
          <w:spacing w:val="11"/>
          <w:position w:val="1"/>
          <w:sz w:val="24"/>
          <w:szCs w:val="24"/>
          <w:lang w:eastAsia="zh-CN"/>
        </w:rPr>
        <w:t>（</w:t>
      </w:r>
      <w:r>
        <w:rPr>
          <w:rFonts w:hint="eastAsia" w:ascii="宋体" w:hAnsi="宋体" w:eastAsia="宋体" w:cs="宋体"/>
          <w:color w:val="auto"/>
          <w:spacing w:val="11"/>
          <w:position w:val="1"/>
          <w:sz w:val="24"/>
          <w:szCs w:val="24"/>
          <w:lang w:val="en-US" w:eastAsia="zh-CN"/>
        </w:rPr>
        <w:t>项目名称</w:t>
      </w:r>
      <w:r>
        <w:rPr>
          <w:rFonts w:hint="eastAsia" w:ascii="宋体" w:hAnsi="宋体" w:eastAsia="宋体" w:cs="宋体"/>
          <w:color w:val="auto"/>
          <w:spacing w:val="11"/>
          <w:position w:val="1"/>
          <w:sz w:val="24"/>
          <w:szCs w:val="24"/>
          <w:lang w:eastAsia="zh-CN"/>
        </w:rPr>
        <w:t>）</w:t>
      </w:r>
      <w:r>
        <w:rPr>
          <w:rFonts w:hint="eastAsia" w:ascii="宋体" w:hAnsi="宋体" w:cs="宋体"/>
          <w:color w:val="auto"/>
          <w:spacing w:val="11"/>
          <w:position w:val="1"/>
          <w:sz w:val="24"/>
          <w:szCs w:val="24"/>
          <w:lang w:eastAsia="zh-CN"/>
        </w:rPr>
        <w:t>项目</w:t>
      </w:r>
      <w:r>
        <w:rPr>
          <w:rFonts w:hint="eastAsia" w:ascii="宋体" w:hAnsi="宋体" w:cs="宋体"/>
          <w:color w:val="auto"/>
          <w:spacing w:val="11"/>
          <w:position w:val="1"/>
          <w:sz w:val="24"/>
          <w:szCs w:val="24"/>
        </w:rPr>
        <w:t>的招标文件、乙方投标文件及招标过程中形成的其他文件。</w:t>
      </w:r>
    </w:p>
    <w:p w14:paraId="1291279F">
      <w:pPr>
        <w:keepNext w:val="0"/>
        <w:keepLines w:val="0"/>
        <w:pageBreakBefore w:val="0"/>
        <w:widowControl w:val="0"/>
        <w:kinsoku/>
        <w:wordWrap w:val="0"/>
        <w:overflowPunct/>
        <w:topLinePunct/>
        <w:autoSpaceDE/>
        <w:autoSpaceDN/>
        <w:bidi w:val="0"/>
        <w:spacing w:line="360" w:lineRule="auto"/>
        <w:ind w:right="-159" w:firstLine="524" w:firstLineChars="200"/>
        <w:outlineLvl w:val="2"/>
        <w:rPr>
          <w:rFonts w:ascii="宋体" w:hAnsi="宋体" w:cs="宋体"/>
          <w:color w:val="auto"/>
          <w:spacing w:val="11"/>
          <w:position w:val="1"/>
          <w:sz w:val="24"/>
          <w:szCs w:val="24"/>
        </w:rPr>
      </w:pPr>
      <w:bookmarkStart w:id="36" w:name="_Toc17385"/>
      <w:bookmarkStart w:id="37" w:name="_Toc30509"/>
      <w:r>
        <w:rPr>
          <w:rFonts w:hint="eastAsia" w:ascii="宋体" w:hAnsi="宋体" w:cs="宋体"/>
          <w:color w:val="auto"/>
          <w:spacing w:val="11"/>
          <w:position w:val="1"/>
          <w:sz w:val="24"/>
          <w:szCs w:val="24"/>
        </w:rPr>
        <w:t>2、本合同经甲乙双方法人代表或授权代理人签字盖章之日起生效。</w:t>
      </w:r>
      <w:bookmarkEnd w:id="36"/>
      <w:bookmarkEnd w:id="37"/>
    </w:p>
    <w:p w14:paraId="38CE64BC">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3、本合同一式捌份：甲方持有柒份，乙方持有壹份，均具有同等法律效力。</w:t>
      </w:r>
    </w:p>
    <w:tbl>
      <w:tblPr>
        <w:tblStyle w:val="11"/>
        <w:tblpPr w:leftFromText="180" w:rightFromText="180" w:vertAnchor="text" w:horzAnchor="page" w:tblpX="1475" w:tblpY="208"/>
        <w:tblOverlap w:val="never"/>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4"/>
        <w:gridCol w:w="4394"/>
      </w:tblGrid>
      <w:tr w14:paraId="7BED5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104" w:type="dxa"/>
            <w:vAlign w:val="top"/>
          </w:tcPr>
          <w:p w14:paraId="3AB2039E">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甲方：(公章)  </w:t>
            </w:r>
          </w:p>
          <w:p w14:paraId="40261F3F">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授权代理人：</w:t>
            </w:r>
          </w:p>
          <w:p w14:paraId="3CFD3EB4">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日期：</w:t>
            </w:r>
          </w:p>
          <w:p w14:paraId="1262F2DD">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地址：</w:t>
            </w:r>
          </w:p>
          <w:p w14:paraId="2A9AC2B6">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电话：</w:t>
            </w:r>
          </w:p>
          <w:p w14:paraId="55A5443D">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传真： </w:t>
            </w:r>
          </w:p>
          <w:p w14:paraId="6A158D18">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甲方开户行：  </w:t>
            </w:r>
          </w:p>
          <w:p w14:paraId="2A563DB2">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甲方账号：  </w:t>
            </w:r>
          </w:p>
          <w:p w14:paraId="3A9E47F0">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甲方账号名称：  </w:t>
            </w:r>
          </w:p>
          <w:p w14:paraId="500900E6">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甲方统一社会信用代码：</w:t>
            </w:r>
          </w:p>
        </w:tc>
        <w:tc>
          <w:tcPr>
            <w:tcW w:w="4394" w:type="dxa"/>
            <w:vAlign w:val="top"/>
          </w:tcPr>
          <w:p w14:paraId="5F075A43">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乙方：(公章)</w:t>
            </w:r>
          </w:p>
          <w:p w14:paraId="7430A7B3">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法定代表人(授权代理人)：</w:t>
            </w:r>
          </w:p>
          <w:p w14:paraId="562DA5D4">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日期：</w:t>
            </w:r>
          </w:p>
          <w:p w14:paraId="3BFBBCBA">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地址：</w:t>
            </w:r>
          </w:p>
          <w:p w14:paraId="7F7AC2A4">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乙方手机：</w:t>
            </w:r>
          </w:p>
          <w:p w14:paraId="05CF5B62">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传真：  </w:t>
            </w:r>
          </w:p>
          <w:p w14:paraId="371FB066">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乙方开户行： </w:t>
            </w:r>
          </w:p>
          <w:p w14:paraId="1A515D6F">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乙方账号：</w:t>
            </w:r>
          </w:p>
          <w:p w14:paraId="1BDA12B4">
            <w:pPr>
              <w:keepNext w:val="0"/>
              <w:keepLines w:val="0"/>
              <w:pageBreakBefore w:val="0"/>
              <w:widowControl w:val="0"/>
              <w:kinsoku/>
              <w:wordWrap w:val="0"/>
              <w:overflowPunct/>
              <w:topLinePunct/>
              <w:autoSpaceDE/>
              <w:autoSpaceDN/>
              <w:bidi w:val="0"/>
              <w:snapToGrid w:val="0"/>
              <w:spacing w:line="48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乙方账号名称：</w:t>
            </w:r>
          </w:p>
          <w:p w14:paraId="73D701F7">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r>
              <w:rPr>
                <w:rFonts w:hint="eastAsia" w:ascii="宋体" w:hAnsi="宋体" w:cs="宋体"/>
                <w:color w:val="auto"/>
                <w:spacing w:val="11"/>
                <w:position w:val="1"/>
                <w:sz w:val="24"/>
                <w:szCs w:val="24"/>
              </w:rPr>
              <w:t>乙方统一社会信用代码：</w:t>
            </w:r>
          </w:p>
        </w:tc>
      </w:tr>
    </w:tbl>
    <w:p w14:paraId="7C25CAD8">
      <w:pPr>
        <w:keepNext w:val="0"/>
        <w:keepLines w:val="0"/>
        <w:pageBreakBefore w:val="0"/>
        <w:widowControl w:val="0"/>
        <w:kinsoku/>
        <w:wordWrap w:val="0"/>
        <w:overflowPunct/>
        <w:topLinePunct/>
        <w:autoSpaceDE/>
        <w:autoSpaceDN/>
        <w:bidi w:val="0"/>
        <w:spacing w:line="360" w:lineRule="auto"/>
        <w:ind w:right="-159" w:firstLine="524" w:firstLineChars="200"/>
        <w:rPr>
          <w:rFonts w:ascii="宋体" w:hAnsi="宋体" w:cs="宋体"/>
          <w:color w:val="auto"/>
          <w:spacing w:val="11"/>
          <w:position w:val="1"/>
          <w:sz w:val="24"/>
          <w:szCs w:val="24"/>
        </w:rPr>
      </w:pPr>
    </w:p>
    <w:p w14:paraId="1496786E">
      <w:pPr>
        <w:pStyle w:val="4"/>
        <w:keepNext w:val="0"/>
        <w:keepLines w:val="0"/>
        <w:pageBreakBefore w:val="0"/>
        <w:widowControl w:val="0"/>
        <w:kinsoku/>
        <w:wordWrap w:val="0"/>
        <w:overflowPunct/>
        <w:topLinePunct/>
        <w:autoSpaceDE/>
        <w:autoSpaceDN/>
        <w:bidi w:val="0"/>
        <w:rPr>
          <w:rFonts w:hAnsi="宋体" w:cs="宋体"/>
          <w:color w:val="auto"/>
          <w:spacing w:val="11"/>
          <w:position w:val="1"/>
          <w:sz w:val="24"/>
          <w:szCs w:val="24"/>
        </w:rPr>
      </w:pPr>
      <w:r>
        <w:rPr>
          <w:rFonts w:hint="eastAsia" w:hAnsi="宋体" w:cs="宋体"/>
          <w:color w:val="auto"/>
          <w:spacing w:val="11"/>
          <w:position w:val="1"/>
          <w:sz w:val="24"/>
          <w:szCs w:val="24"/>
        </w:rPr>
        <w:t>企业规模：微企业  小企业   中型企业   大型企业（请在相对应选项划√）</w:t>
      </w:r>
    </w:p>
    <w:p w14:paraId="13C390A7">
      <w:pPr>
        <w:keepNext w:val="0"/>
        <w:keepLines w:val="0"/>
        <w:pageBreakBefore w:val="0"/>
        <w:widowControl w:val="0"/>
        <w:kinsoku/>
        <w:wordWrap w:val="0"/>
        <w:overflowPunct/>
        <w:topLinePunct/>
        <w:autoSpaceDE/>
        <w:autoSpaceDN/>
        <w:bidi w:val="0"/>
        <w:ind w:firstLine="524" w:firstLineChars="200"/>
        <w:jc w:val="left"/>
        <w:rPr>
          <w:rFonts w:ascii="宋体" w:hAnsi="宋体" w:cs="宋体"/>
          <w:color w:val="auto"/>
          <w:spacing w:val="11"/>
          <w:position w:val="1"/>
          <w:sz w:val="24"/>
          <w:szCs w:val="24"/>
        </w:rPr>
      </w:pPr>
      <w:r>
        <w:rPr>
          <w:rFonts w:hint="eastAsia" w:ascii="宋体" w:hAnsi="宋体" w:cs="宋体"/>
          <w:b/>
          <w:bCs/>
          <w:color w:val="auto"/>
          <w:spacing w:val="11"/>
          <w:position w:val="1"/>
          <w:sz w:val="24"/>
          <w:szCs w:val="24"/>
        </w:rPr>
        <w:t>（四）履约验收方案</w:t>
      </w:r>
    </w:p>
    <w:p w14:paraId="59A1515B">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（1）履约验收主体</w:t>
      </w:r>
    </w:p>
    <w:p w14:paraId="7A5A731B">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☑采购人</w:t>
      </w:r>
    </w:p>
    <w:p w14:paraId="774B4656">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□采购代理机构</w:t>
      </w:r>
    </w:p>
    <w:p w14:paraId="56B788AD">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□本项目的其他供应商</w:t>
      </w:r>
    </w:p>
    <w:p w14:paraId="5D6BF152">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□第三方专业机构</w:t>
      </w:r>
    </w:p>
    <w:p w14:paraId="7297B3A6">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□专家</w:t>
      </w:r>
    </w:p>
    <w:p w14:paraId="305043B9">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□服务对象</w:t>
      </w:r>
    </w:p>
    <w:p w14:paraId="3B39AD3D">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□其他</w:t>
      </w:r>
    </w:p>
    <w:p w14:paraId="1A6007EC">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（2）履约验收时间</w:t>
      </w:r>
    </w:p>
    <w:p w14:paraId="0EFE8645">
      <w:pPr>
        <w:keepNext w:val="0"/>
        <w:keepLines w:val="0"/>
        <w:pageBreakBefore w:val="0"/>
        <w:widowControl w:val="0"/>
        <w:kinsoku/>
        <w:wordWrap w:val="0"/>
        <w:overflowPunct/>
        <w:topLinePunct/>
        <w:autoSpaceDE/>
        <w:autoSpaceDN/>
        <w:bidi w:val="0"/>
        <w:spacing w:line="360" w:lineRule="auto"/>
        <w:ind w:firstLine="786" w:firstLineChars="300"/>
        <w:jc w:val="left"/>
        <w:rPr>
          <w:rFonts w:ascii="宋体" w:hAnsi="宋体" w:cs="宋体"/>
          <w:color w:val="auto"/>
          <w:spacing w:val="11"/>
          <w:position w:val="1"/>
          <w:sz w:val="24"/>
          <w:szCs w:val="24"/>
          <w:u w:val="single"/>
        </w:rPr>
      </w:pPr>
      <w:r>
        <w:rPr>
          <w:rFonts w:hint="eastAsia" w:ascii="宋体" w:hAnsi="宋体" w:cs="宋体"/>
          <w:color w:val="auto"/>
          <w:spacing w:val="11"/>
          <w:position w:val="1"/>
          <w:sz w:val="24"/>
          <w:szCs w:val="24"/>
        </w:rPr>
        <w:t>按照合同约定供货完毕后组织验收，验收时间约为</w:t>
      </w:r>
      <w:r>
        <w:rPr>
          <w:rFonts w:hint="eastAsia" w:ascii="宋体" w:hAnsi="宋体" w:cs="宋体"/>
          <w:color w:val="auto"/>
          <w:spacing w:val="11"/>
          <w:position w:val="1"/>
          <w:sz w:val="24"/>
          <w:szCs w:val="24"/>
          <w:highlight w:val="none"/>
        </w:rPr>
        <w:t>202</w:t>
      </w:r>
      <w:r>
        <w:rPr>
          <w:rFonts w:hint="eastAsia" w:ascii="宋体" w:hAnsi="宋体" w:cs="宋体"/>
          <w:color w:val="auto"/>
          <w:spacing w:val="11"/>
          <w:position w:val="1"/>
          <w:sz w:val="24"/>
          <w:szCs w:val="24"/>
          <w:highlight w:val="none"/>
          <w:lang w:val="en-US" w:eastAsia="zh-CN"/>
        </w:rPr>
        <w:t>6</w:t>
      </w:r>
      <w:r>
        <w:rPr>
          <w:rFonts w:hint="eastAsia" w:ascii="宋体" w:hAnsi="宋体" w:cs="宋体"/>
          <w:color w:val="auto"/>
          <w:spacing w:val="11"/>
          <w:position w:val="1"/>
          <w:sz w:val="24"/>
          <w:szCs w:val="24"/>
        </w:rPr>
        <w:t>年</w:t>
      </w:r>
      <w:r>
        <w:rPr>
          <w:rFonts w:hint="eastAsia" w:ascii="宋体" w:hAnsi="宋体" w:cs="宋体"/>
          <w:color w:val="auto"/>
          <w:spacing w:val="11"/>
          <w:position w:val="1"/>
          <w:sz w:val="24"/>
          <w:szCs w:val="24"/>
          <w:u w:val="single"/>
        </w:rPr>
        <w:t xml:space="preserve">    </w:t>
      </w:r>
      <w:r>
        <w:rPr>
          <w:rFonts w:hint="eastAsia" w:ascii="宋体" w:hAnsi="宋体" w:cs="宋体"/>
          <w:color w:val="auto"/>
          <w:spacing w:val="11"/>
          <w:position w:val="1"/>
          <w:sz w:val="24"/>
          <w:szCs w:val="24"/>
        </w:rPr>
        <w:t>月份。</w:t>
      </w:r>
    </w:p>
    <w:p w14:paraId="31F6A2D4">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（3）履约验收方式</w:t>
      </w:r>
    </w:p>
    <w:p w14:paraId="3F789692">
      <w:pPr>
        <w:keepNext w:val="0"/>
        <w:keepLines w:val="0"/>
        <w:pageBreakBefore w:val="0"/>
        <w:widowControl w:val="0"/>
        <w:kinsoku/>
        <w:wordWrap w:val="0"/>
        <w:overflowPunct/>
        <w:topLinePunct/>
        <w:autoSpaceDE/>
        <w:autoSpaceDN/>
        <w:bidi w:val="0"/>
        <w:spacing w:line="360" w:lineRule="auto"/>
        <w:ind w:firstLine="786" w:firstLineChars="3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采购人组织对供应商履约的验收。                                   </w:t>
      </w:r>
    </w:p>
    <w:p w14:paraId="666D1951">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（4）履约验收程序</w:t>
      </w:r>
    </w:p>
    <w:p w14:paraId="52E22D80">
      <w:pPr>
        <w:keepNext w:val="0"/>
        <w:keepLines w:val="0"/>
        <w:pageBreakBefore w:val="0"/>
        <w:widowControl w:val="0"/>
        <w:kinsoku/>
        <w:wordWrap w:val="0"/>
        <w:overflowPunct/>
        <w:topLinePunct/>
        <w:autoSpaceDE/>
        <w:autoSpaceDN/>
        <w:bidi w:val="0"/>
        <w:spacing w:line="360" w:lineRule="auto"/>
        <w:ind w:firstLine="786" w:firstLineChars="300"/>
        <w:jc w:val="left"/>
        <w:rPr>
          <w:rFonts w:ascii="宋体" w:hAnsi="宋体" w:cs="宋体"/>
          <w:color w:val="auto"/>
          <w:spacing w:val="11"/>
          <w:position w:val="1"/>
          <w:sz w:val="24"/>
          <w:szCs w:val="24"/>
          <w:u w:val="single"/>
        </w:rPr>
      </w:pPr>
      <w:r>
        <w:rPr>
          <w:rFonts w:hint="eastAsia" w:ascii="宋体" w:hAnsi="宋体" w:cs="宋体"/>
          <w:color w:val="auto"/>
          <w:spacing w:val="11"/>
          <w:position w:val="1"/>
          <w:sz w:val="24"/>
          <w:szCs w:val="24"/>
        </w:rPr>
        <w:t>供货单位提出验收申请，填写申请表，资产科审核并签署具体意见，经国有资产管理处主管处长审核，最后由国有资产管理处处长审批。验收工作应成立相应验收工作小组，小组成员由国有资产管理处、财务处、审计处及使用单位和技术管理部门有关工作人员及专家库抽取的专家（一般为单数）等人员组成。组长由大家临时推选。</w:t>
      </w:r>
    </w:p>
    <w:p w14:paraId="28C81A99">
      <w:pPr>
        <w:keepNext w:val="0"/>
        <w:keepLines w:val="0"/>
        <w:pageBreakBefore w:val="0"/>
        <w:widowControl w:val="0"/>
        <w:numPr>
          <w:ilvl w:val="0"/>
          <w:numId w:val="1"/>
        </w:numPr>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履约验收内容</w:t>
      </w:r>
    </w:p>
    <w:p w14:paraId="4FD2FE92">
      <w:pPr>
        <w:keepNext w:val="0"/>
        <w:keepLines w:val="0"/>
        <w:pageBreakBefore w:val="0"/>
        <w:widowControl w:val="0"/>
        <w:kinsoku/>
        <w:wordWrap w:val="0"/>
        <w:overflowPunct/>
        <w:topLinePunct/>
        <w:autoSpaceDE/>
        <w:autoSpaceDN/>
        <w:bidi w:val="0"/>
        <w:spacing w:line="360" w:lineRule="auto"/>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   </w:t>
      </w:r>
      <w:r>
        <w:rPr>
          <w:rFonts w:hint="eastAsia" w:ascii="宋体" w:hAnsi="宋体" w:cs="宋体"/>
          <w:color w:val="auto"/>
          <w:spacing w:val="11"/>
          <w:position w:val="1"/>
          <w:sz w:val="24"/>
          <w:szCs w:val="24"/>
          <w:lang w:eastAsia="zh-CN"/>
        </w:rPr>
        <w:t>南阳市安全生产直属考试点特种作业考试设备更新建设项目</w:t>
      </w:r>
      <w:r>
        <w:rPr>
          <w:rFonts w:hint="eastAsia" w:ascii="宋体" w:hAnsi="宋体" w:cs="宋体"/>
          <w:color w:val="auto"/>
          <w:spacing w:val="11"/>
          <w:position w:val="1"/>
          <w:sz w:val="24"/>
          <w:szCs w:val="24"/>
        </w:rPr>
        <w:t>清单、数量及服务质量是否符合采购合同要求。</w:t>
      </w:r>
    </w:p>
    <w:p w14:paraId="4B9A587D">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（6）履约验收验收标准</w:t>
      </w:r>
    </w:p>
    <w:p w14:paraId="77AEC7CE">
      <w:pPr>
        <w:keepNext w:val="0"/>
        <w:keepLines w:val="0"/>
        <w:pageBreakBefore w:val="0"/>
        <w:widowControl w:val="0"/>
        <w:kinsoku/>
        <w:wordWrap w:val="0"/>
        <w:overflowPunct/>
        <w:topLinePunct/>
        <w:autoSpaceDE/>
        <w:autoSpaceDN/>
        <w:bidi w:val="0"/>
        <w:spacing w:line="360" w:lineRule="auto"/>
        <w:ind w:firstLine="786" w:firstLineChars="3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合格</w:t>
      </w:r>
    </w:p>
    <w:p w14:paraId="1B7875E1">
      <w:pPr>
        <w:keepNext w:val="0"/>
        <w:keepLines w:val="0"/>
        <w:pageBreakBefore w:val="0"/>
        <w:widowControl w:val="0"/>
        <w:kinsoku/>
        <w:wordWrap w:val="0"/>
        <w:overflowPunct/>
        <w:topLinePunct/>
        <w:autoSpaceDE/>
        <w:autoSpaceDN/>
        <w:bidi w:val="0"/>
        <w:spacing w:line="360" w:lineRule="auto"/>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    （7）履约验收其他事项</w:t>
      </w:r>
    </w:p>
    <w:p w14:paraId="76750D08">
      <w:pPr>
        <w:keepNext w:val="0"/>
        <w:keepLines w:val="0"/>
        <w:pageBreakBefore w:val="0"/>
        <w:widowControl w:val="0"/>
        <w:kinsoku/>
        <w:wordWrap w:val="0"/>
        <w:overflowPunct/>
        <w:topLinePunct/>
        <w:autoSpaceDE/>
        <w:autoSpaceDN/>
        <w:bidi w:val="0"/>
        <w:spacing w:line="360" w:lineRule="auto"/>
        <w:ind w:firstLine="786" w:firstLineChars="300"/>
        <w:jc w:val="left"/>
        <w:rPr>
          <w:rFonts w:ascii="宋体" w:hAnsi="宋体" w:cs="宋体"/>
          <w:color w:val="auto"/>
          <w:spacing w:val="11"/>
          <w:position w:val="1"/>
          <w:sz w:val="24"/>
          <w:szCs w:val="24"/>
          <w:u w:val="single"/>
        </w:rPr>
      </w:pPr>
      <w:r>
        <w:rPr>
          <w:rFonts w:hint="eastAsia" w:ascii="宋体" w:hAnsi="宋体" w:cs="宋体"/>
          <w:color w:val="auto"/>
          <w:spacing w:val="11"/>
          <w:position w:val="1"/>
          <w:sz w:val="24"/>
          <w:szCs w:val="24"/>
        </w:rPr>
        <w:t>无</w:t>
      </w:r>
    </w:p>
    <w:p w14:paraId="11F18316">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b/>
          <w:bCs/>
          <w:color w:val="auto"/>
          <w:spacing w:val="11"/>
          <w:position w:val="1"/>
          <w:sz w:val="24"/>
          <w:szCs w:val="24"/>
        </w:rPr>
      </w:pPr>
      <w:r>
        <w:rPr>
          <w:rFonts w:hint="eastAsia" w:ascii="宋体" w:hAnsi="宋体" w:cs="宋体"/>
          <w:b/>
          <w:bCs/>
          <w:color w:val="auto"/>
          <w:spacing w:val="11"/>
          <w:position w:val="1"/>
          <w:sz w:val="24"/>
          <w:szCs w:val="24"/>
        </w:rPr>
        <w:t>（五）风险管控措施</w:t>
      </w:r>
    </w:p>
    <w:p w14:paraId="4FE2D40A">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（1）国家政策变化应对措施：国家政策发生调整，依照新的国家政策进行相应调整，符合国家新的政策法规。</w:t>
      </w:r>
    </w:p>
    <w:p w14:paraId="465BDF23">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（2）实施环境变化应对措施：如遇不可抗力影响，按照合同约定进行应对。</w:t>
      </w:r>
    </w:p>
    <w:p w14:paraId="7A612358">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（3）重大技术变化应对措施：如国家相关技术发生调整，需根据调整内容进行优化。</w:t>
      </w:r>
    </w:p>
    <w:p w14:paraId="6001B5FF">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（4）预算项目调整应对措施：如遇项目预算发生调整，双方应积极协商应对。</w:t>
      </w:r>
    </w:p>
    <w:p w14:paraId="123C643B">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（5）因质疑投诉影响采购进度应对措施：依照相关法律法规处理质疑投诉。</w:t>
      </w:r>
    </w:p>
    <w:p w14:paraId="1CAA6085">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（6）采购失败应对措施：依照政府采购法第三十七条规定。</w:t>
      </w:r>
    </w:p>
    <w:p w14:paraId="081AB9E8">
      <w:pPr>
        <w:keepNext w:val="0"/>
        <w:keepLines w:val="0"/>
        <w:pageBreakBefore w:val="0"/>
        <w:widowControl w:val="0"/>
        <w:kinsoku/>
        <w:wordWrap w:val="0"/>
        <w:overflowPunct/>
        <w:topLinePunct/>
        <w:autoSpaceDE/>
        <w:autoSpaceDN/>
        <w:bidi w:val="0"/>
        <w:spacing w:line="360" w:lineRule="auto"/>
        <w:ind w:firstLine="524" w:firstLineChars="200"/>
        <w:jc w:val="left"/>
        <w:rPr>
          <w:rFonts w:ascii="宋体" w:hAnsi="宋体" w:cs="宋体"/>
          <w:color w:val="auto"/>
          <w:spacing w:val="11"/>
          <w:position w:val="1"/>
          <w:sz w:val="24"/>
          <w:szCs w:val="24"/>
        </w:rPr>
      </w:pPr>
      <w:r>
        <w:rPr>
          <w:rFonts w:hint="eastAsia" w:ascii="宋体" w:hAnsi="宋体" w:cs="宋体"/>
          <w:color w:val="auto"/>
          <w:spacing w:val="11"/>
          <w:position w:val="1"/>
          <w:sz w:val="24"/>
          <w:szCs w:val="24"/>
        </w:rPr>
        <w:t xml:space="preserve">（7）不按规定签订或者履行合同应对措施：依照相关法律法规对未履行责任的进行处罚。 </w:t>
      </w:r>
    </w:p>
    <w:p w14:paraId="0B361E71">
      <w:pPr>
        <w:keepNext w:val="0"/>
        <w:keepLines w:val="0"/>
        <w:pageBreakBefore w:val="0"/>
        <w:widowControl w:val="0"/>
        <w:kinsoku/>
        <w:wordWrap w:val="0"/>
        <w:overflowPunct/>
        <w:topLinePunct/>
        <w:autoSpaceDE/>
        <w:autoSpaceDN/>
        <w:bidi w:val="0"/>
        <w:spacing w:line="360" w:lineRule="auto"/>
        <w:ind w:firstLine="524" w:firstLineChars="200"/>
        <w:jc w:val="left"/>
        <w:rPr>
          <w:rFonts w:hint="eastAsia" w:ascii="宋体" w:hAnsi="宋体" w:cs="宋体"/>
          <w:color w:val="auto"/>
          <w:spacing w:val="11"/>
          <w:position w:val="1"/>
          <w:sz w:val="24"/>
          <w:szCs w:val="24"/>
        </w:rPr>
      </w:pPr>
      <w:r>
        <w:rPr>
          <w:rFonts w:hint="eastAsia" w:ascii="宋体" w:hAnsi="宋体" w:cs="宋体"/>
          <w:color w:val="auto"/>
          <w:spacing w:val="11"/>
          <w:position w:val="1"/>
          <w:sz w:val="24"/>
          <w:szCs w:val="24"/>
        </w:rPr>
        <w:t>（8）出现损害国家利益和社会公共利益情形应对措施：终止合同，依照法律法规追究相关单位及人员责。本采购项目拟分</w:t>
      </w:r>
      <w:r>
        <w:rPr>
          <w:rFonts w:hint="eastAsia" w:ascii="宋体" w:hAnsi="宋体" w:cs="宋体"/>
          <w:color w:val="auto"/>
          <w:spacing w:val="11"/>
          <w:position w:val="1"/>
          <w:sz w:val="24"/>
          <w:szCs w:val="24"/>
          <w:lang w:val="en-US" w:eastAsia="zh-CN"/>
        </w:rPr>
        <w:t>2</w:t>
      </w:r>
      <w:r>
        <w:rPr>
          <w:rFonts w:hint="eastAsia" w:ascii="宋体" w:hAnsi="宋体" w:cs="宋体"/>
          <w:color w:val="auto"/>
          <w:spacing w:val="11"/>
          <w:position w:val="1"/>
          <w:sz w:val="24"/>
          <w:szCs w:val="24"/>
        </w:rPr>
        <w:t>个包进行招标采购；本项目不接受联合体投标。</w:t>
      </w:r>
    </w:p>
    <w:p w14:paraId="7B8231E2">
      <w:pPr>
        <w:keepNext w:val="0"/>
        <w:keepLines w:val="0"/>
        <w:pageBreakBefore w:val="0"/>
        <w:widowControl w:val="0"/>
        <w:kinsoku/>
        <w:wordWrap w:val="0"/>
        <w:overflowPunct/>
        <w:topLinePunct/>
        <w:autoSpaceDE/>
        <w:autoSpaceDN/>
        <w:bidi w:val="0"/>
        <w:adjustRightInd/>
        <w:snapToGrid/>
        <w:spacing w:after="0" w:line="360" w:lineRule="auto"/>
        <w:ind w:firstLine="480" w:firstLineChars="200"/>
        <w:textAlignment w:val="auto"/>
        <w:rPr>
          <w:rFonts w:hint="eastAsia"/>
          <w:sz w:val="24"/>
          <w:szCs w:val="24"/>
          <w:lang w:val="en-US" w:eastAsia="zh-CN"/>
        </w:rPr>
      </w:pPr>
      <w:r>
        <w:rPr>
          <w:rFonts w:hint="eastAsia"/>
          <w:sz w:val="24"/>
          <w:szCs w:val="24"/>
          <w:lang w:val="en-US" w:eastAsia="zh-CN"/>
        </w:rPr>
        <w:t>2.开标、评标期间，申请人不得向评委询问评标情况，不得进行旨在影响评标结果的活动。</w:t>
      </w:r>
    </w:p>
    <w:p w14:paraId="054DFC12">
      <w:pPr>
        <w:keepNext w:val="0"/>
        <w:keepLines w:val="0"/>
        <w:pageBreakBefore w:val="0"/>
        <w:widowControl w:val="0"/>
        <w:kinsoku/>
        <w:wordWrap w:val="0"/>
        <w:overflowPunct/>
        <w:topLinePunct/>
        <w:autoSpaceDE/>
        <w:autoSpaceDN/>
        <w:bidi w:val="0"/>
        <w:adjustRightInd/>
        <w:snapToGrid/>
        <w:spacing w:after="0" w:line="360" w:lineRule="auto"/>
        <w:ind w:firstLine="480" w:firstLineChars="200"/>
        <w:textAlignment w:val="auto"/>
        <w:rPr>
          <w:rFonts w:hint="eastAsia"/>
          <w:sz w:val="24"/>
          <w:szCs w:val="24"/>
          <w:lang w:val="en-US" w:eastAsia="zh-CN"/>
        </w:rPr>
      </w:pPr>
      <w:r>
        <w:rPr>
          <w:rFonts w:hint="eastAsia"/>
          <w:sz w:val="24"/>
          <w:szCs w:val="24"/>
          <w:lang w:val="en-US" w:eastAsia="zh-CN"/>
        </w:rPr>
        <w:t>3.为了保证评标的公正性，评委不得与申请人交换意见。无论评标工作结束与否，参与评标的任何人均不得私下向外透露评标中的任何情况。</w:t>
      </w:r>
    </w:p>
    <w:p w14:paraId="65407B37">
      <w:pPr>
        <w:keepNext w:val="0"/>
        <w:keepLines w:val="0"/>
        <w:pageBreakBefore w:val="0"/>
        <w:widowControl w:val="0"/>
        <w:kinsoku/>
        <w:wordWrap w:val="0"/>
        <w:overflowPunct/>
        <w:topLinePunct/>
        <w:autoSpaceDE/>
        <w:autoSpaceDN/>
        <w:bidi w:val="0"/>
        <w:adjustRightInd/>
        <w:snapToGrid/>
        <w:spacing w:after="0" w:line="360" w:lineRule="auto"/>
        <w:ind w:firstLine="480" w:firstLineChars="200"/>
        <w:textAlignment w:val="auto"/>
        <w:rPr>
          <w:rFonts w:hint="eastAsia"/>
          <w:sz w:val="24"/>
          <w:szCs w:val="24"/>
          <w:lang w:val="en-US" w:eastAsia="zh-CN"/>
        </w:rPr>
      </w:pPr>
      <w:r>
        <w:rPr>
          <w:rFonts w:hint="eastAsia"/>
          <w:sz w:val="24"/>
          <w:szCs w:val="24"/>
          <w:lang w:val="en-US" w:eastAsia="zh-CN"/>
        </w:rPr>
        <w:t>4.申请人应本着公平竞争的原则参与投标，不得用任何方式对其它申请人恶意攻击。</w:t>
      </w:r>
    </w:p>
    <w:p w14:paraId="1A2A21EE">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r>
        <w:rPr>
          <w:rFonts w:hint="eastAsia"/>
          <w:sz w:val="24"/>
          <w:szCs w:val="24"/>
          <w:lang w:val="en-US" w:eastAsia="zh-CN"/>
        </w:rPr>
        <w:t>5.申请人如有违反上述要求或违反国家法律、法规的行为，无论评标结果如何，其投标资格将被取消。</w:t>
      </w:r>
    </w:p>
    <w:p w14:paraId="2D0F651D">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554FA2C1">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4561862E">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5AE0E119">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75414A3E">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643F8A7E">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5BEB2923">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78E2FFED">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27801E24">
      <w:pPr>
        <w:pStyle w:val="4"/>
        <w:keepNext w:val="0"/>
        <w:keepLines w:val="0"/>
        <w:pageBreakBefore w:val="0"/>
        <w:kinsoku/>
        <w:wordWrap w:val="0"/>
        <w:overflowPunct/>
        <w:topLinePunct w:val="0"/>
        <w:bidi w:val="0"/>
        <w:spacing w:before="353" w:line="360" w:lineRule="auto"/>
        <w:jc w:val="center"/>
        <w:rPr>
          <w:rFonts w:hint="eastAsia"/>
          <w:sz w:val="24"/>
          <w:szCs w:val="24"/>
          <w:lang w:val="en-US" w:eastAsia="zh-CN"/>
        </w:rPr>
      </w:pPr>
    </w:p>
    <w:p w14:paraId="369A7AE8">
      <w:pPr>
        <w:pStyle w:val="4"/>
        <w:keepNext w:val="0"/>
        <w:keepLines w:val="0"/>
        <w:pageBreakBefore w:val="0"/>
        <w:kinsoku/>
        <w:wordWrap w:val="0"/>
        <w:overflowPunct/>
        <w:topLinePunct w:val="0"/>
        <w:bidi w:val="0"/>
        <w:spacing w:before="353" w:line="360" w:lineRule="auto"/>
        <w:jc w:val="center"/>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14:paraId="51EA539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14:paraId="48F7732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0500E5A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14:paraId="10A45398">
      <w:pPr>
        <w:keepNext w:val="0"/>
        <w:keepLines w:val="0"/>
        <w:pageBreakBefore w:val="0"/>
        <w:kinsoku/>
        <w:wordWrap w:val="0"/>
        <w:overflowPunct/>
        <w:topLinePunct w:val="0"/>
        <w:bidi w:val="0"/>
        <w:spacing w:line="219" w:lineRule="auto"/>
        <w:jc w:val="both"/>
        <w:rPr>
          <w:sz w:val="24"/>
          <w:szCs w:val="24"/>
        </w:rPr>
        <w:sectPr>
          <w:headerReference r:id="rId10" w:type="default"/>
          <w:footerReference r:id="rId11" w:type="default"/>
          <w:pgSz w:w="11907" w:h="16840"/>
          <w:pgMar w:top="1440" w:right="1800" w:bottom="1440" w:left="1800" w:header="878" w:footer="886" w:gutter="0"/>
          <w:pgNumType w:fmt="decimal"/>
          <w:cols w:space="720" w:num="1"/>
        </w:sectPr>
      </w:pPr>
    </w:p>
    <w:p w14:paraId="3886B897">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14:paraId="5C70127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B82574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响应函</w:t>
      </w:r>
    </w:p>
    <w:p w14:paraId="44EED777">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5142726">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377DDF3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项的响应文件电子版本一份。据此函，签字代表宣布同意并郑重承诺如下：</w:t>
      </w:r>
    </w:p>
    <w:p w14:paraId="2A5BA28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14:paraId="50E69E3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14:paraId="7F630398">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14:paraId="63000988">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14:paraId="481D3CB2">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14:paraId="17F70B72">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14:paraId="4806D966">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14:paraId="1B771D01">
      <w:pPr>
        <w:keepNext w:val="0"/>
        <w:keepLines w:val="0"/>
        <w:pageBreakBefore w:val="0"/>
        <w:kinsoku/>
        <w:wordWrap w:val="0"/>
        <w:overflowPunct/>
        <w:topLinePunct w:val="0"/>
        <w:bidi w:val="0"/>
        <w:spacing w:after="0" w:line="360" w:lineRule="auto"/>
        <w:ind w:firstLine="5073" w:firstLineChars="2168"/>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33B9CE6">
      <w:pPr>
        <w:keepNext w:val="0"/>
        <w:keepLines w:val="0"/>
        <w:pageBreakBefore w:val="0"/>
        <w:widowControl w:val="0"/>
        <w:kinsoku/>
        <w:wordWrap w:val="0"/>
        <w:overflowPunct/>
        <w:topLinePunct w:val="0"/>
        <w:autoSpaceDE w:val="0"/>
        <w:autoSpaceDN w:val="0"/>
        <w:bidi w:val="0"/>
        <w:adjustRightInd w:val="0"/>
        <w:spacing w:line="360" w:lineRule="auto"/>
        <w:ind w:firstLine="3604" w:firstLineChars="15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C95B5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p>
    <w:p w14:paraId="6FC829DB">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47163C7">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14:paraId="6711F0F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120A53E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法定代表人或负责人授权委托书</w:t>
      </w:r>
    </w:p>
    <w:p w14:paraId="0497F76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30C821A">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6218AF19">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14:paraId="5B80C640">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14:paraId="182BC108">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14:paraId="18502D0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3B894B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14:paraId="1D6C229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14:paraId="1A2999E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14:paraId="6DDDAD8A">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14:paraId="491C50E5">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198E2E1">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14:paraId="6C8F955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1942D33">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EC74C05">
      <w:pPr>
        <w:keepNext w:val="0"/>
        <w:keepLines w:val="0"/>
        <w:pageBreakBefore w:val="0"/>
        <w:kinsoku/>
        <w:wordWrap w:val="0"/>
        <w:overflowPunct/>
        <w:topLinePunct w:val="0"/>
        <w:bidi w:val="0"/>
        <w:spacing w:after="0" w:line="360" w:lineRule="auto"/>
        <w:ind w:firstLine="5148" w:firstLineChars="2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14:paraId="6884C277">
      <w:pPr>
        <w:keepNext w:val="0"/>
        <w:keepLines w:val="0"/>
        <w:pageBreakBefore w:val="0"/>
        <w:widowControl w:val="0"/>
        <w:kinsoku/>
        <w:wordWrap w:val="0"/>
        <w:overflowPunct/>
        <w:topLinePunct w:val="0"/>
        <w:autoSpaceDE w:val="0"/>
        <w:autoSpaceDN w:val="0"/>
        <w:bidi w:val="0"/>
        <w:adjustRightInd w:val="0"/>
        <w:spacing w:line="360" w:lineRule="auto"/>
        <w:ind w:firstLine="5044" w:firstLineChars="21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2B275F">
      <w:pPr>
        <w:keepNext w:val="0"/>
        <w:keepLines w:val="0"/>
        <w:pageBreakBefore w:val="0"/>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4539B2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24BFCC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078C672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1FCBFD2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35B3ABB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0CEE6DA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14:paraId="3F9C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287AA2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1B4F8C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4279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F1163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94B98F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68E3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04DCB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29F079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70F0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3B7825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谈判报价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670F95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大写：（￥：）</w:t>
            </w:r>
          </w:p>
        </w:tc>
      </w:tr>
      <w:tr w14:paraId="01AB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98DB4F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726511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088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4D9B95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24034D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p>
        </w:tc>
      </w:tr>
      <w:tr w14:paraId="26C2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597ED2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0EC334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p w14:paraId="250718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bl>
    <w:p w14:paraId="31E4AF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    法定代表人（负责人）或授权代表（签字）：</w:t>
      </w:r>
    </w:p>
    <w:p w14:paraId="50340C7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124EAA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00F0C0E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61DD5D4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06262E6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600B967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D140C4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41CDE6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FA5D7D0">
      <w:pPr>
        <w:keepNext w:val="0"/>
        <w:keepLines w:val="0"/>
        <w:pageBreakBefore w:val="0"/>
        <w:numPr>
          <w:ilvl w:val="0"/>
          <w:numId w:val="0"/>
        </w:numPr>
        <w:kinsoku/>
        <w:wordWrap w:val="0"/>
        <w:overflowPunct/>
        <w:topLinePunct w:val="0"/>
        <w:bidi w:val="0"/>
        <w:snapToGrid w:val="0"/>
        <w:spacing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3C96682">
      <w:pPr>
        <w:keepNext w:val="0"/>
        <w:keepLines w:val="0"/>
        <w:pageBreakBefore w:val="0"/>
        <w:numPr>
          <w:ilvl w:val="0"/>
          <w:numId w:val="0"/>
        </w:numPr>
        <w:kinsoku/>
        <w:wordWrap w:val="0"/>
        <w:overflowPunct/>
        <w:topLinePunct w:val="0"/>
        <w:bidi w:val="0"/>
        <w:snapToGrid w:val="0"/>
        <w:spacing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847B3D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A8D9A1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近三年内在经营活动中没有重大违法记录的声明等；</w:t>
      </w:r>
    </w:p>
    <w:p w14:paraId="76EFBF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14:paraId="1305DD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14:paraId="7D1594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14:paraId="549852A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14:paraId="019A57F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14:paraId="0716010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E5A467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声明函</w:t>
      </w:r>
    </w:p>
    <w:p w14:paraId="10D956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7BA6368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w:t>
      </w:r>
      <w:r>
        <w:rPr>
          <w:rFonts w:hint="eastAsia" w:asciiTheme="minorEastAsia" w:hAnsiTheme="minorEastAsia" w:eastAsiaTheme="minorEastAsia" w:cstheme="minorEastAsia"/>
          <w:b w:val="0"/>
          <w:bCs w:val="0"/>
          <w:sz w:val="24"/>
          <w:szCs w:val="24"/>
          <w:lang w:val="en-US" w:eastAsia="zh-CN"/>
        </w:rPr>
        <w:t>机构</w:t>
      </w:r>
      <w:r>
        <w:rPr>
          <w:rFonts w:hint="eastAsia" w:asciiTheme="minorEastAsia" w:hAnsiTheme="minorEastAsia" w:eastAsiaTheme="minorEastAsia" w:cstheme="minorEastAsia"/>
          <w:b w:val="0"/>
          <w:bCs w:val="0"/>
          <w:sz w:val="24"/>
          <w:szCs w:val="24"/>
          <w:lang w:eastAsia="zh-CN"/>
        </w:rPr>
        <w:t>郑重声明如下：</w:t>
      </w:r>
    </w:p>
    <w:p w14:paraId="268C547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14:paraId="354E11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14:paraId="49C964D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76181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384B90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14:paraId="2B3043E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14:paraId="3E5E2B6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BE2F44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953C4A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03AA8FA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71FF0F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FFB7C3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五、分项报价一览表、技术偏差表、商务偏差表、供货服务方案、售后服务计划等；</w:t>
      </w:r>
    </w:p>
    <w:p w14:paraId="0BF18DD1">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rPr>
        <w:sectPr>
          <w:headerReference r:id="rId12" w:type="default"/>
          <w:footerReference r:id="rId13" w:type="default"/>
          <w:pgSz w:w="11907" w:h="16840"/>
          <w:pgMar w:top="1440" w:right="1800" w:bottom="1440" w:left="1800" w:header="851" w:footer="992" w:gutter="0"/>
          <w:pgNumType w:fmt="decimal"/>
          <w:cols w:space="720" w:num="1"/>
          <w:docGrid w:linePitch="332" w:charSpace="0"/>
        </w:sectPr>
      </w:pPr>
    </w:p>
    <w:p w14:paraId="16679479">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1"/>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14:paraId="32194233">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14:paraId="11DED9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lang w:eastAsia="zh-CN"/>
              </w:rPr>
              <w:t>名称（公章）：</w:t>
            </w:r>
          </w:p>
        </w:tc>
        <w:tc>
          <w:tcPr>
            <w:tcW w:w="4536" w:type="dxa"/>
            <w:gridSpan w:val="2"/>
            <w:tcBorders>
              <w:top w:val="nil"/>
              <w:left w:val="nil"/>
              <w:bottom w:val="single" w:color="auto" w:sz="4" w:space="0"/>
              <w:right w:val="nil"/>
            </w:tcBorders>
            <w:noWrap w:val="0"/>
            <w:vAlign w:val="center"/>
          </w:tcPr>
          <w:p w14:paraId="06AA31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7A1C49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14:paraId="3BE39C7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14:paraId="25A5771C">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14:paraId="398BE4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689D91BD">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520251F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EB67A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FC43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1160ED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ED57B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3316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7C304F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4A3A2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B5F10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3F0C8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46669A28">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4558B5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B22FA3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D48FD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52C770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071A212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01ECF6A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FFDC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521844D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B1E677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399F423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3270307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A877AB9">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401F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DC083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3CCFBB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5644510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6941485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4A75072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9AD4C5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13ED70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691AD8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7AD474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27B64B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1B02556A">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78465F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44E5A2B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0FAA3F8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4C12CD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3256C7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37BEDDD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37179C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29ADCA6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3A88F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50E1501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835DBD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682784EE">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06AE072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474049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53E979C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66EE1A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4739FF1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3745E52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0C5DC20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3AEC51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4E6A485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467465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5EC864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F6F9335">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4CD1D5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173EA8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E2B21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41D37AF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339B0C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2D8A51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944BA8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615981D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1585C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173D86E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777FE5A4">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2F21BB8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C42E4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3577BE1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11711E3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096A4F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17BCD6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2CBDC1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0B4777C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D8D3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56C6512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EAB64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5A7E477">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764B3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66EF90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79D5C28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679701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2847C8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0450A0F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0CFB3B0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6592342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34A13ED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356A45B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749CFF">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14:paraId="52E2A68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报价金额合计（大写）：</w:t>
            </w:r>
          </w:p>
        </w:tc>
      </w:tr>
    </w:tbl>
    <w:p w14:paraId="1ACC9EE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1916010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32C99FD">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pPr>
    </w:p>
    <w:p w14:paraId="438D9F1E">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sectPr>
          <w:pgSz w:w="16840" w:h="11907" w:orient="landscape"/>
          <w:pgMar w:top="1440" w:right="1800" w:bottom="1440" w:left="1800" w:header="851" w:footer="992" w:gutter="0"/>
          <w:pgNumType w:fmt="decimal"/>
          <w:cols w:space="720" w:num="1"/>
          <w:docGrid w:linePitch="332" w:charSpace="0"/>
        </w:sectPr>
      </w:pPr>
    </w:p>
    <w:p w14:paraId="1976890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z w:val="24"/>
          <w:szCs w:val="24"/>
          <w:lang w:eastAsia="zh-CN"/>
        </w:rPr>
      </w:pPr>
    </w:p>
    <w:p w14:paraId="6E241E5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53DB405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58C02330">
      <w:pPr>
        <w:keepNext w:val="0"/>
        <w:keepLines w:val="0"/>
        <w:pageBreakBefore w:val="0"/>
        <w:kinsoku/>
        <w:wordWrap w:val="0"/>
        <w:overflowPunct/>
        <w:topLinePunct w:val="0"/>
        <w:bidi w:val="0"/>
        <w:spacing w:line="240" w:lineRule="atLeast"/>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110A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10DCB9E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82806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87531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5869C27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D2D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87B33D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3CE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E30D4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746DC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7A394C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41A191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76B59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A3FBB3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F65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7DB3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177BBC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65B327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6547E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0DD50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298487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DCC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153D2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978825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04408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0377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6399E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779160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4F7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D8AB1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057ED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D1705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51CC2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134103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D838A6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313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D752E7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F150B2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982B22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29219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BC68C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0ADB4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EA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680E4C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F1B9E2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7CAC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6E9EE0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841F4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7F49D1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DF8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B22C6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E3081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25059E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990E33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F2507A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0CFA4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8DC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C994D1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0A5FD1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56C0A9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10ED0F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1397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DDE74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69F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D39B29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E916C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D08C3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B45FA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871D3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75852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E55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67387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2570E7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AEC23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6B3EAB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2CEC4E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D8DD3F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827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FF63C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FF36C1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92DD4A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8272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4474E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EC870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325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B69066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24A9C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40F4F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B325A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B93B8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D916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23C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CBFBEE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27B089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012C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CB6281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B7D46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0CEDE9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F98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47F3F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80A7CF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2974C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A668C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433B8C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C80FC2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01C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454CA5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BA1943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B9C04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F3C72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554D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7AFCDA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550CAA97">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供应商</w:t>
      </w:r>
      <w:r>
        <w:rPr>
          <w:rFonts w:hint="eastAsia" w:asciiTheme="minorEastAsia" w:hAnsiTheme="minorEastAsia" w:eastAsiaTheme="minorEastAsia" w:cstheme="minorEastAsia"/>
          <w:b/>
          <w:sz w:val="24"/>
          <w:szCs w:val="24"/>
          <w:lang w:eastAsia="zh-CN"/>
        </w:rPr>
        <w:t>（公章）：法定代表人（负责人）或授权代表（签字）：</w:t>
      </w:r>
    </w:p>
    <w:p w14:paraId="4D340A27">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4516F30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49F31B3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43DBA07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E675EE">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9010102">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7AFD4B92">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74F7102D">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67386603">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3A2E6D0B">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60F6AD9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商务偏差表</w:t>
      </w:r>
    </w:p>
    <w:p w14:paraId="57E431F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47C5C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26FF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2F3FBD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4780EBB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14:paraId="52B6384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162D580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760522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046701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0595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CA7892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1ADB0B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115F2A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36F2E4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C2F6D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519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ECBB8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B725B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2EC9A3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EA57A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B0D17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E03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181275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2A1920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CE1D5F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216E1C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F12FBD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433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A0B46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1054E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CD7633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C57DF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AF58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31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A0FEC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17008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F4411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22595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AB409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505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784B2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81FE18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69C305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767DD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F611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37C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EBFEF6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A09CF8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CCA006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619104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2554E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4DA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72C73E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C22CE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0DAD94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6AAB11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6343B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43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F215E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314FEE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A65CD6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70DFF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D5C527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EC7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162D20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E6B25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62346A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DFA1A8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2D418A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1026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30019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2048F5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491F89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92B4ED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348622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502DD0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14:paraId="382FE03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C10A6E1">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320A60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F09A35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C63546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E4E4E3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DFF364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B79712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259EB2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5AC8495">
      <w:pPr>
        <w:pStyle w:val="13"/>
        <w:rPr>
          <w:rFonts w:hint="eastAsia"/>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六、关于符合本国产品标准的声明函（项目包含货物时适用）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7EFC6F1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七、供应商诚信承诺书</w:t>
      </w:r>
    </w:p>
    <w:p w14:paraId="5969C3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14:paraId="6476187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诚信承诺书</w:t>
      </w:r>
    </w:p>
    <w:p w14:paraId="73AB60F8">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3F4E2D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1840948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F3C598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BBD1D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2E904EE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151BB4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14:paraId="3BCFB0D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14:paraId="21CAFA1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14:paraId="141148D5">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5E9392C">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D4C41D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FB6574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B5B789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797892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D44B2C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E7A444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15DC00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86FDAD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700310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70846E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八、供应商认为需要的其他文件资料</w:t>
      </w:r>
    </w:p>
    <w:p w14:paraId="42CE33B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中小企业声明函（货物）格式</w:t>
      </w:r>
    </w:p>
    <w:p w14:paraId="55393C3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55796F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4"/>
          <w:sz w:val="24"/>
          <w:szCs w:val="24"/>
        </w:rPr>
        <w:t>供</w:t>
      </w:r>
      <w:r>
        <w:rPr>
          <w:rFonts w:hint="eastAsia" w:asciiTheme="minorEastAsia" w:hAnsiTheme="minorEastAsia" w:eastAsiaTheme="minorEastAsia" w:cstheme="minorEastAsia"/>
          <w:spacing w:val="14"/>
          <w:sz w:val="24"/>
          <w:szCs w:val="24"/>
        </w:rPr>
        <w:t>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0E5F761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从业人员人，营业收入为万元，资产总额为万元</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3"/>
          <w:sz w:val="24"/>
          <w:szCs w:val="24"/>
        </w:rPr>
        <w:t>，属于</w:t>
      </w:r>
    </w:p>
    <w:p w14:paraId="2B3EDE98">
      <w:pPr>
        <w:pStyle w:val="4"/>
        <w:keepNext w:val="0"/>
        <w:keepLines w:val="0"/>
        <w:pageBreakBefore w:val="0"/>
        <w:widowControl/>
        <w:tabs>
          <w:tab w:val="left" w:pos="243"/>
        </w:tabs>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01D4190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从业人员人，营业收入为万元，资产总额为万元，属于</w:t>
      </w:r>
      <w:r>
        <w:rPr>
          <w:rFonts w:hint="eastAsia" w:asciiTheme="minorEastAsia" w:hAnsiTheme="minorEastAsia" w:eastAsiaTheme="minorEastAsia" w:cstheme="minorEastAsia"/>
          <w:spacing w:val="-5"/>
          <w:sz w:val="24"/>
          <w:szCs w:val="24"/>
          <w:u w:val="single" w:color="auto"/>
        </w:rPr>
        <w:t>（中</w:t>
      </w:r>
    </w:p>
    <w:p w14:paraId="0C70AFD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361F1D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89978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34DF2A1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6813BED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28215FB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51A6504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21"/>
        </w:rPr>
      </w:pPr>
    </w:p>
    <w:p w14:paraId="6A5AE73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049FFD22">
      <w:pPr>
        <w:keepNext w:val="0"/>
        <w:keepLines w:val="0"/>
        <w:pageBreakBefore w:val="0"/>
        <w:widowControl w:val="0"/>
        <w:kinsoku/>
        <w:wordWrap w:val="0"/>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 xml:space="preserve">                    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B75B2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3D6A8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BE9849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34A7E0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14:paraId="405B1D1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14:paraId="3164D6B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471706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C0BB0A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201627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299E728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38F7C3D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21EC3B0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1C48CE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DD4AE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349168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59DDB2B2">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A858D5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14:paraId="6C26D6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51BB282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2CDD92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8C5DAD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00B2949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4AD353B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255935B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7A5F3C5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5F838C3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7804FCF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488C7FD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35EE858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监狱企业声明函格式</w:t>
      </w:r>
    </w:p>
    <w:p w14:paraId="051C0E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003861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spacing w:val="3"/>
          <w:sz w:val="24"/>
          <w:szCs w:val="24"/>
        </w:rPr>
        <w:t>〔201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napToGrid w:val="0"/>
          <w:color w:val="000000"/>
          <w:spacing w:val="7"/>
          <w:kern w:val="0"/>
          <w:sz w:val="24"/>
          <w:szCs w:val="24"/>
          <w:lang w:val="en-US" w:eastAsia="zh-CN" w:bidi="ar-SA"/>
        </w:rPr>
        <w:t>68号），本企业______（是、不是）监狱企业。后附省级以上监狱管理局、戒毒管理局（含新疆生产建设兵团）出具的属于监狱企业证明文件。</w:t>
      </w:r>
    </w:p>
    <w:p w14:paraId="12BCF8C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0EDD755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p>
    <w:p w14:paraId="60432856">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企业名称（盖章）：</w:t>
      </w:r>
    </w:p>
    <w:p w14:paraId="03DCC91C">
      <w:pPr>
        <w:keepNext w:val="0"/>
        <w:keepLines w:val="0"/>
        <w:pageBreakBefore w:val="0"/>
        <w:widowControl w:val="0"/>
        <w:kinsoku/>
        <w:wordWrap w:val="0"/>
        <w:overflowPunct/>
        <w:topLinePunct w:val="0"/>
        <w:autoSpaceDE w:val="0"/>
        <w:autoSpaceDN w:val="0"/>
        <w:bidi w:val="0"/>
        <w:adjustRightInd w:val="0"/>
        <w:spacing w:line="360" w:lineRule="auto"/>
        <w:ind w:firstLine="508" w:firstLineChars="2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131B63F">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u w:val="single" w:color="auto"/>
        </w:rPr>
      </w:pPr>
    </w:p>
    <w:p w14:paraId="48F41B0C">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5522FDC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5CC458E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21777B1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02D13341">
      <w:pPr>
        <w:pStyle w:val="4"/>
        <w:keepNext w:val="0"/>
        <w:keepLines w:val="0"/>
        <w:pageBreakBefore w:val="0"/>
        <w:kinsoku/>
        <w:wordWrap w:val="0"/>
        <w:overflowPunct/>
        <w:topLinePunct w:val="0"/>
        <w:bidi w:val="0"/>
        <w:spacing w:line="360" w:lineRule="auto"/>
        <w:ind w:firstLine="1446" w:firstLineChars="600"/>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2DA1200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52BA6A3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193E49D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0DEE00E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68864F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012E698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D4C394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14:paraId="6F38829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6893450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3DD9CAD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1FC9F0E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66F188F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4DB8CCF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24370D9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90CA6B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716ACE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533AB43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4C84F79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4159422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501620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6D077EB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C21B10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22933E29">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6413E00E">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0FCEEFEF">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1BC85D0">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34992BE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1B7AB5B7">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365C6F3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4" w:type="default"/>
      <w:footerReference r:id="rId15"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Arial Unicode MS">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1E93">
    <w:pPr>
      <w:pStyle w:val="7"/>
      <w:tabs>
        <w:tab w:val="center" w:pos="4579"/>
        <w:tab w:val="clear" w:pos="4153"/>
      </w:tabs>
    </w:pPr>
    <w:r>
      <w:rPr>
        <w:rFonts w:hint="eastAsia"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89193">
    <w:pPr>
      <w:pStyle w:val="7"/>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C8498">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C2C8498">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4227E">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4855B">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C84855B">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E5D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36464">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8136464">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95983">
                          <w:pPr>
                            <w:pStyle w:val="7"/>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1312;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14:paraId="4EB95983">
                    <w:pPr>
                      <w:pStyle w:val="7"/>
                      <w:rPr>
                        <w:rFonts w:hint="eastAsia" w:eastAsia="宋体"/>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FF2F9">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EEDD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97EEDD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A5BD">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54CED">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D554CED">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9BE4">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2CD5">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93DBB">
    <w:pPr>
      <w:pStyle w:val="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B00BE">
    <w:pPr>
      <w:pStyle w:val="8"/>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6E8F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BC07C"/>
    <w:multiLevelType w:val="singleLevel"/>
    <w:tmpl w:val="BE9BC07C"/>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DU5ODFjOGEyNWRlYTNkMjA0OTNkYmM2YTBlNjc3YTEifQ=="/>
  </w:docVars>
  <w:rsids>
    <w:rsidRoot w:val="00000000"/>
    <w:rsid w:val="00991589"/>
    <w:rsid w:val="01080A12"/>
    <w:rsid w:val="015C3E7B"/>
    <w:rsid w:val="01C501BB"/>
    <w:rsid w:val="064F4319"/>
    <w:rsid w:val="068E3768"/>
    <w:rsid w:val="06BC23B0"/>
    <w:rsid w:val="06EF5D41"/>
    <w:rsid w:val="07512AFF"/>
    <w:rsid w:val="07AB20F7"/>
    <w:rsid w:val="08743EB7"/>
    <w:rsid w:val="09593447"/>
    <w:rsid w:val="09A960A9"/>
    <w:rsid w:val="0A4E3858"/>
    <w:rsid w:val="0BCA5067"/>
    <w:rsid w:val="0C272EF4"/>
    <w:rsid w:val="0CEA544B"/>
    <w:rsid w:val="0D4C0C6C"/>
    <w:rsid w:val="0DA948FA"/>
    <w:rsid w:val="0DD9599C"/>
    <w:rsid w:val="0EC4025E"/>
    <w:rsid w:val="0EE04793"/>
    <w:rsid w:val="0EE83C0B"/>
    <w:rsid w:val="0F395841"/>
    <w:rsid w:val="0FFF7484"/>
    <w:rsid w:val="101132C2"/>
    <w:rsid w:val="11DE5D80"/>
    <w:rsid w:val="11E54B27"/>
    <w:rsid w:val="124675EC"/>
    <w:rsid w:val="12AF0CEE"/>
    <w:rsid w:val="12E03B1B"/>
    <w:rsid w:val="13346191"/>
    <w:rsid w:val="139C13E5"/>
    <w:rsid w:val="13F12C33"/>
    <w:rsid w:val="13FE2F34"/>
    <w:rsid w:val="14184102"/>
    <w:rsid w:val="145D4BFF"/>
    <w:rsid w:val="146A4EE4"/>
    <w:rsid w:val="147646D5"/>
    <w:rsid w:val="14A26966"/>
    <w:rsid w:val="14B05372"/>
    <w:rsid w:val="14B80C58"/>
    <w:rsid w:val="14C924CC"/>
    <w:rsid w:val="15103876"/>
    <w:rsid w:val="15EF58A5"/>
    <w:rsid w:val="1627027A"/>
    <w:rsid w:val="1735378C"/>
    <w:rsid w:val="17426AF8"/>
    <w:rsid w:val="17AC113D"/>
    <w:rsid w:val="18C921CA"/>
    <w:rsid w:val="19075642"/>
    <w:rsid w:val="196A0814"/>
    <w:rsid w:val="19E82D37"/>
    <w:rsid w:val="1C7B41D3"/>
    <w:rsid w:val="1D7F2147"/>
    <w:rsid w:val="1DA01659"/>
    <w:rsid w:val="1DE1641B"/>
    <w:rsid w:val="1FCF1E87"/>
    <w:rsid w:val="20E74DDD"/>
    <w:rsid w:val="20FB6077"/>
    <w:rsid w:val="21157CC7"/>
    <w:rsid w:val="21887424"/>
    <w:rsid w:val="2240630B"/>
    <w:rsid w:val="226F0499"/>
    <w:rsid w:val="23735491"/>
    <w:rsid w:val="240E1FB8"/>
    <w:rsid w:val="24333512"/>
    <w:rsid w:val="249B7305"/>
    <w:rsid w:val="253D7C8D"/>
    <w:rsid w:val="25F7793F"/>
    <w:rsid w:val="26A5448A"/>
    <w:rsid w:val="27840543"/>
    <w:rsid w:val="28C34872"/>
    <w:rsid w:val="29831B1F"/>
    <w:rsid w:val="29A9603F"/>
    <w:rsid w:val="2A9137CD"/>
    <w:rsid w:val="2B481888"/>
    <w:rsid w:val="2C956D4E"/>
    <w:rsid w:val="2D452BB2"/>
    <w:rsid w:val="2E375403"/>
    <w:rsid w:val="31E05F1C"/>
    <w:rsid w:val="320C16C0"/>
    <w:rsid w:val="322E0317"/>
    <w:rsid w:val="32D83E39"/>
    <w:rsid w:val="334A1323"/>
    <w:rsid w:val="33A371EA"/>
    <w:rsid w:val="34A47FC2"/>
    <w:rsid w:val="34B2130C"/>
    <w:rsid w:val="366B6ABE"/>
    <w:rsid w:val="372B776E"/>
    <w:rsid w:val="37542B18"/>
    <w:rsid w:val="37CA6352"/>
    <w:rsid w:val="39416B9D"/>
    <w:rsid w:val="39906272"/>
    <w:rsid w:val="3BAF7174"/>
    <w:rsid w:val="3C5C1B69"/>
    <w:rsid w:val="40EB4E21"/>
    <w:rsid w:val="41FD4D22"/>
    <w:rsid w:val="423746D8"/>
    <w:rsid w:val="42AC25ED"/>
    <w:rsid w:val="435968D0"/>
    <w:rsid w:val="44B74AB0"/>
    <w:rsid w:val="45485320"/>
    <w:rsid w:val="462D5E47"/>
    <w:rsid w:val="46832AB5"/>
    <w:rsid w:val="46837CA7"/>
    <w:rsid w:val="46B130B1"/>
    <w:rsid w:val="49AB21BF"/>
    <w:rsid w:val="4B9619CE"/>
    <w:rsid w:val="4BBB7B8C"/>
    <w:rsid w:val="4BD83AA6"/>
    <w:rsid w:val="4C3664B6"/>
    <w:rsid w:val="4D025E0C"/>
    <w:rsid w:val="4D8D53AE"/>
    <w:rsid w:val="4E5C03B2"/>
    <w:rsid w:val="4F561780"/>
    <w:rsid w:val="4FF86B2F"/>
    <w:rsid w:val="50232EC7"/>
    <w:rsid w:val="516C45A1"/>
    <w:rsid w:val="52E92543"/>
    <w:rsid w:val="54E833A6"/>
    <w:rsid w:val="55207B90"/>
    <w:rsid w:val="55473AD1"/>
    <w:rsid w:val="569C2904"/>
    <w:rsid w:val="583737A8"/>
    <w:rsid w:val="59C70462"/>
    <w:rsid w:val="5A1629CD"/>
    <w:rsid w:val="5A40750D"/>
    <w:rsid w:val="5C45162D"/>
    <w:rsid w:val="5C5B0B6B"/>
    <w:rsid w:val="5CB03C1D"/>
    <w:rsid w:val="5D1853FB"/>
    <w:rsid w:val="5D5C1168"/>
    <w:rsid w:val="5D740137"/>
    <w:rsid w:val="5DAE1464"/>
    <w:rsid w:val="5E401EE1"/>
    <w:rsid w:val="603E3E34"/>
    <w:rsid w:val="60811390"/>
    <w:rsid w:val="612C3317"/>
    <w:rsid w:val="61390221"/>
    <w:rsid w:val="62196E86"/>
    <w:rsid w:val="649C61C5"/>
    <w:rsid w:val="64E32222"/>
    <w:rsid w:val="655F65B8"/>
    <w:rsid w:val="66263390"/>
    <w:rsid w:val="6A443604"/>
    <w:rsid w:val="6A8A71EB"/>
    <w:rsid w:val="6B6E2D90"/>
    <w:rsid w:val="6BFF5555"/>
    <w:rsid w:val="6E085CF6"/>
    <w:rsid w:val="6E236DA6"/>
    <w:rsid w:val="6EC24A7A"/>
    <w:rsid w:val="6F1E4415"/>
    <w:rsid w:val="6F746490"/>
    <w:rsid w:val="6FA16FBF"/>
    <w:rsid w:val="6FC26D45"/>
    <w:rsid w:val="702B3BC3"/>
    <w:rsid w:val="70411D13"/>
    <w:rsid w:val="705047AD"/>
    <w:rsid w:val="70D70B1C"/>
    <w:rsid w:val="730438B3"/>
    <w:rsid w:val="735730CC"/>
    <w:rsid w:val="74143D3D"/>
    <w:rsid w:val="75654242"/>
    <w:rsid w:val="7721621A"/>
    <w:rsid w:val="7778698F"/>
    <w:rsid w:val="786749F3"/>
    <w:rsid w:val="78F607B2"/>
    <w:rsid w:val="79076D37"/>
    <w:rsid w:val="7BC65611"/>
    <w:rsid w:val="7C0A78A1"/>
    <w:rsid w:val="7C217284"/>
    <w:rsid w:val="7C2C76E7"/>
    <w:rsid w:val="7C7D54DC"/>
    <w:rsid w:val="7D192AAE"/>
    <w:rsid w:val="7D390946"/>
    <w:rsid w:val="7F3341BF"/>
    <w:rsid w:val="7FE30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autoRedefine/>
    <w:qFormat/>
    <w:uiPriority w:val="0"/>
    <w:pPr>
      <w:keepNext/>
      <w:keepLines/>
      <w:spacing w:line="360" w:lineRule="auto"/>
      <w:outlineLvl w:val="1"/>
    </w:pPr>
    <w:rPr>
      <w:rFonts w:ascii="Arial" w:hAnsi="Arial"/>
      <w:b/>
      <w:bCs/>
      <w:sz w:val="24"/>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rPr>
      <w:rFonts w:ascii="宋体" w:hAnsi="宋体" w:eastAsia="宋体" w:cs="宋体"/>
      <w:sz w:val="31"/>
      <w:szCs w:val="31"/>
      <w:lang w:val="en-US" w:eastAsia="en-US" w:bidi="ar-SA"/>
    </w:rPr>
  </w:style>
  <w:style w:type="paragraph" w:styleId="5">
    <w:name w:val="Body Text Indent"/>
    <w:basedOn w:val="1"/>
    <w:autoRedefine/>
    <w:qFormat/>
    <w:uiPriority w:val="0"/>
    <w:pPr>
      <w:tabs>
        <w:tab w:val="left" w:pos="0"/>
      </w:tabs>
      <w:ind w:firstLine="538" w:firstLineChars="192"/>
    </w:pPr>
    <w:rPr>
      <w:rFonts w:ascii="Tahoma" w:hAnsi="Tahoma"/>
      <w:kern w:val="2"/>
      <w:sz w:val="28"/>
      <w:szCs w:val="24"/>
    </w:rPr>
  </w:style>
  <w:style w:type="paragraph" w:styleId="6">
    <w:name w:val="Plain Text"/>
    <w:basedOn w:val="1"/>
    <w:autoRedefine/>
    <w:qFormat/>
    <w:uiPriority w:val="0"/>
    <w:rPr>
      <w:rFonts w:ascii="宋体" w:hAnsi="Courier New" w:cs="Courier New"/>
      <w:szCs w:val="21"/>
    </w:rPr>
  </w:style>
  <w:style w:type="paragraph" w:styleId="7">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0">
    <w:name w:val="Body Text First Indent 2"/>
    <w:basedOn w:val="5"/>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paragraph" w:customStyle="1" w:styleId="1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5">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paragraph" w:customStyle="1" w:styleId="17">
    <w:name w:val="Table Text"/>
    <w:basedOn w:val="1"/>
    <w:autoRedefine/>
    <w:semiHidden/>
    <w:qFormat/>
    <w:uiPriority w:val="0"/>
    <w:rPr>
      <w:rFonts w:ascii="Arial" w:hAnsi="Arial" w:eastAsia="Arial" w:cs="Arial"/>
      <w:sz w:val="21"/>
      <w:szCs w:val="21"/>
      <w:lang w:val="en-US" w:eastAsia="en-US" w:bidi="ar-SA"/>
    </w:rPr>
  </w:style>
  <w:style w:type="paragraph" w:customStyle="1" w:styleId="18">
    <w:name w:val="列出段落1"/>
    <w:basedOn w:val="1"/>
    <w:qFormat/>
    <w:uiPriority w:val="0"/>
    <w:pPr>
      <w:ind w:firstLine="420" w:firstLineChars="200"/>
    </w:pPr>
    <w:rPr>
      <w:szCs w:val="21"/>
    </w:rPr>
  </w:style>
  <w:style w:type="paragraph" w:customStyle="1" w:styleId="1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3873</Words>
  <Characters>4673</Characters>
  <TotalTime>28</TotalTime>
  <ScaleCrop>false</ScaleCrop>
  <LinksUpToDate>false</LinksUpToDate>
  <CharactersWithSpaces>4879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dcterms:modified xsi:type="dcterms:W3CDTF">2026-08-20T02:21:28Z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2052-12.1.0.28043</vt:lpwstr>
  </property>
  <property fmtid="{D5CDD505-2E9C-101B-9397-08002B2CF9AE}" pid="5" name="ICV">
    <vt:lpwstr>D3123814E134470AA7BA2B09F6C82BA9_13</vt:lpwstr>
  </property>
  <property fmtid="{D5CDD505-2E9C-101B-9397-08002B2CF9AE}" pid="6" name="KSOTemplateDocerSaveRecord">
    <vt:lpwstr>eyJoZGlkIjoiYTUyM2UwYjBmYzc3YmM3ZjI1ODg2NTk3ZGJhZGNiNGIiLCJ1c2VySWQiOiI0MTY3MTE2MDgifQ==</vt:lpwstr>
  </property>
</Properties>
</file>